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明朝" w:hAnsi="ＭＳ 明朝"/>
          <w:color w:val="FF0000"/>
          <w:sz w:val="24"/>
        </w:rPr>
      </w:pPr>
      <w:r>
        <w:rPr>
          <w:rFonts w:hint="eastAsia" w:ascii="ＭＳ 明朝" w:hAnsi="ＭＳ 明朝"/>
          <w:color w:val="000000"/>
          <w:sz w:val="24"/>
        </w:rPr>
        <w:t>廿日市市経営管理実施権の</w:t>
      </w:r>
      <w:r>
        <w:rPr>
          <w:rFonts w:hint="default" w:ascii="ＭＳ 明朝" w:hAnsi="ＭＳ 明朝"/>
          <w:color w:val="000000"/>
          <w:sz w:val="24"/>
        </w:rPr>
        <w:t>設定</w:t>
      </w:r>
      <w:r>
        <w:rPr>
          <w:rFonts w:hint="eastAsia" w:ascii="ＭＳ 明朝" w:hAnsi="ＭＳ 明朝"/>
          <w:color w:val="000000"/>
          <w:sz w:val="24"/>
        </w:rPr>
        <w:t>を</w:t>
      </w:r>
      <w:r>
        <w:rPr>
          <w:rFonts w:hint="default" w:ascii="ＭＳ 明朝" w:hAnsi="ＭＳ 明朝"/>
          <w:color w:val="000000"/>
          <w:sz w:val="24"/>
        </w:rPr>
        <w:t>受ける民間事業者の</w:t>
      </w:r>
      <w:r>
        <w:rPr>
          <w:rFonts w:hint="eastAsia" w:ascii="ＭＳ 明朝" w:hAnsi="ＭＳ 明朝"/>
          <w:color w:val="000000"/>
          <w:sz w:val="24"/>
        </w:rPr>
        <w:t>選定に</w:t>
      </w:r>
      <w:r>
        <w:rPr>
          <w:rFonts w:hint="default" w:ascii="ＭＳ 明朝" w:hAnsi="ＭＳ 明朝"/>
          <w:color w:val="000000"/>
          <w:sz w:val="24"/>
        </w:rPr>
        <w:t>かかる審査</w:t>
      </w:r>
      <w:r>
        <w:rPr>
          <w:rFonts w:hint="eastAsia" w:ascii="ＭＳ 明朝" w:hAnsi="ＭＳ 明朝"/>
          <w:color w:val="000000"/>
          <w:sz w:val="24"/>
        </w:rPr>
        <w:t>方法</w:t>
      </w:r>
      <w:r>
        <w:rPr>
          <w:rFonts w:hint="default" w:ascii="ＭＳ 明朝" w:hAnsi="ＭＳ 明朝"/>
          <w:color w:val="000000"/>
          <w:sz w:val="24"/>
        </w:rPr>
        <w:t>及び基準</w:t>
      </w:r>
    </w:p>
    <w:p>
      <w:pPr>
        <w:pStyle w:val="0"/>
        <w:rPr>
          <w:rFonts w:hint="default" w:ascii="ＭＳ 明朝" w:hAnsi="ＭＳ 明朝"/>
          <w:color w:val="000000"/>
          <w:sz w:val="22"/>
        </w:rPr>
      </w:pPr>
    </w:p>
    <w:p>
      <w:pPr>
        <w:pStyle w:val="0"/>
        <w:rPr>
          <w:rFonts w:hint="default" w:ascii="ＭＳ 明朝" w:hAnsi="ＭＳ 明朝"/>
          <w:color w:val="000000"/>
          <w:sz w:val="22"/>
        </w:rPr>
      </w:pPr>
      <w:r>
        <w:rPr>
          <w:rFonts w:hint="eastAsia" w:ascii="ＭＳ 明朝" w:hAnsi="ＭＳ 明朝"/>
          <w:color w:val="000000"/>
          <w:sz w:val="22"/>
        </w:rPr>
        <w:t>１　審査方法</w:t>
      </w:r>
    </w:p>
    <w:p>
      <w:pPr>
        <w:pStyle w:val="0"/>
        <w:ind w:left="440" w:hanging="440" w:hangingChars="200"/>
        <w:jc w:val="left"/>
        <w:rPr>
          <w:rFonts w:hint="default" w:ascii="ＭＳ 明朝" w:hAnsi="ＭＳ 明朝"/>
          <w:color w:val="000000"/>
          <w:sz w:val="22"/>
        </w:rPr>
      </w:pPr>
      <w:r>
        <w:rPr>
          <w:rFonts w:hint="eastAsia" w:ascii="ＭＳ 明朝" w:hAnsi="ＭＳ 明朝"/>
          <w:color w:val="000000"/>
          <w:sz w:val="22"/>
        </w:rPr>
        <w:t>（１）民間事業者が</w:t>
      </w:r>
      <w:r>
        <w:rPr>
          <w:rFonts w:hint="default" w:ascii="ＭＳ 明朝" w:hAnsi="ＭＳ 明朝"/>
          <w:color w:val="000000"/>
          <w:sz w:val="22"/>
        </w:rPr>
        <w:t>提出した企画提案書について、</w:t>
      </w:r>
      <w:r>
        <w:rPr>
          <w:rFonts w:hint="eastAsia" w:ascii="ＭＳ 明朝" w:hAnsi="ＭＳ 明朝"/>
          <w:color w:val="000000"/>
          <w:sz w:val="22"/>
        </w:rPr>
        <w:t>経営管理実施権の設定を</w:t>
      </w:r>
      <w:r>
        <w:rPr>
          <w:rFonts w:hint="default" w:ascii="ＭＳ 明朝" w:hAnsi="ＭＳ 明朝"/>
          <w:color w:val="000000"/>
          <w:sz w:val="22"/>
        </w:rPr>
        <w:t>受ける民間事業者</w:t>
      </w:r>
      <w:r>
        <w:rPr>
          <w:rFonts w:hint="eastAsia" w:ascii="ＭＳ 明朝" w:hAnsi="ＭＳ 明朝"/>
          <w:color w:val="000000"/>
          <w:sz w:val="22"/>
        </w:rPr>
        <w:t>の</w:t>
      </w:r>
      <w:r>
        <w:rPr>
          <w:rFonts w:hint="default" w:ascii="ＭＳ 明朝" w:hAnsi="ＭＳ 明朝"/>
          <w:color w:val="000000"/>
          <w:sz w:val="22"/>
        </w:rPr>
        <w:t>選定委員会</w:t>
      </w:r>
      <w:r>
        <w:rPr>
          <w:rFonts w:hint="eastAsia" w:ascii="ＭＳ 明朝" w:hAnsi="ＭＳ 明朝"/>
          <w:color w:val="000000"/>
          <w:sz w:val="22"/>
        </w:rPr>
        <w:t>が</w:t>
      </w:r>
      <w:r>
        <w:rPr>
          <w:rFonts w:hint="default" w:ascii="ＭＳ 明朝" w:hAnsi="ＭＳ 明朝"/>
          <w:color w:val="000000"/>
          <w:sz w:val="22"/>
        </w:rPr>
        <w:t>書類審査を行います</w:t>
      </w:r>
      <w:r>
        <w:rPr>
          <w:rFonts w:hint="eastAsia" w:ascii="ＭＳ 明朝" w:hAnsi="ＭＳ 明朝"/>
          <w:color w:val="000000"/>
          <w:sz w:val="22"/>
        </w:rPr>
        <w:t>。</w:t>
      </w:r>
    </w:p>
    <w:p>
      <w:pPr>
        <w:pStyle w:val="0"/>
        <w:rPr>
          <w:rFonts w:hint="default" w:ascii="ＭＳ 明朝" w:hAnsi="ＭＳ 明朝"/>
          <w:color w:val="000000"/>
          <w:sz w:val="22"/>
        </w:rPr>
      </w:pPr>
      <w:r>
        <w:rPr>
          <w:rFonts w:hint="eastAsia" w:ascii="ＭＳ 明朝" w:hAnsi="ＭＳ 明朝"/>
          <w:color w:val="000000"/>
          <w:sz w:val="22"/>
        </w:rPr>
        <w:t>（２）審査事項は、次のとおりとします。</w:t>
      </w:r>
    </w:p>
    <w:p>
      <w:pPr>
        <w:pStyle w:val="0"/>
        <w:rPr>
          <w:rFonts w:hint="default" w:ascii="ＭＳ 明朝" w:hAnsi="ＭＳ 明朝"/>
          <w:color w:val="000000"/>
          <w:sz w:val="22"/>
        </w:rPr>
      </w:pPr>
      <w:r>
        <w:rPr>
          <w:rFonts w:hint="eastAsia" w:ascii="ＭＳ 明朝" w:hAnsi="ＭＳ 明朝"/>
          <w:color w:val="000000"/>
          <w:sz w:val="22"/>
        </w:rPr>
        <w:t>　　①</w:t>
      </w:r>
      <w:r>
        <w:rPr>
          <w:rFonts w:hint="eastAsia" w:ascii="ＭＳ 明朝" w:hAnsi="ＭＳ 明朝"/>
          <w:color w:val="000000"/>
          <w:sz w:val="22"/>
        </w:rPr>
        <w:t xml:space="preserve"> </w:t>
      </w:r>
      <w:r>
        <w:rPr>
          <w:rFonts w:hint="eastAsia" w:ascii="ＭＳ 明朝" w:hAnsi="ＭＳ 明朝"/>
          <w:sz w:val="22"/>
        </w:rPr>
        <w:t>森林所有者に</w:t>
      </w:r>
      <w:r>
        <w:rPr>
          <w:rFonts w:hint="default" w:ascii="ＭＳ 明朝" w:hAnsi="ＭＳ 明朝"/>
          <w:sz w:val="22"/>
        </w:rPr>
        <w:t>支払う金額</w:t>
      </w:r>
      <w:r>
        <w:rPr>
          <w:rFonts w:hint="eastAsia" w:ascii="ＭＳ 明朝" w:hAnsi="ＭＳ 明朝"/>
          <w:color w:val="000000"/>
          <w:sz w:val="22"/>
        </w:rPr>
        <w:t>　　②</w:t>
      </w:r>
      <w:r>
        <w:rPr>
          <w:rFonts w:hint="eastAsia" w:ascii="ＭＳ 明朝" w:hAnsi="ＭＳ 明朝"/>
          <w:color w:val="000000"/>
          <w:sz w:val="22"/>
        </w:rPr>
        <w:t xml:space="preserve"> </w:t>
      </w:r>
      <w:r>
        <w:rPr>
          <w:rFonts w:hint="eastAsia" w:ascii="ＭＳ 明朝" w:hAnsi="ＭＳ 明朝"/>
          <w:color w:val="000000"/>
          <w:sz w:val="22"/>
        </w:rPr>
        <w:t>木材販売収益</w:t>
      </w:r>
      <w:r>
        <w:rPr>
          <w:rFonts w:hint="default" w:ascii="ＭＳ 明朝" w:hAnsi="ＭＳ 明朝"/>
          <w:color w:val="000000"/>
          <w:sz w:val="22"/>
        </w:rPr>
        <w:t>の</w:t>
      </w:r>
      <w:r>
        <w:rPr>
          <w:rFonts w:hint="eastAsia" w:ascii="ＭＳ 明朝" w:hAnsi="ＭＳ 明朝"/>
          <w:color w:val="000000"/>
          <w:sz w:val="22"/>
        </w:rPr>
        <w:t>安定</w:t>
      </w:r>
      <w:r>
        <w:rPr>
          <w:rFonts w:hint="default" w:ascii="ＭＳ 明朝" w:hAnsi="ＭＳ 明朝"/>
          <w:color w:val="000000"/>
          <w:sz w:val="22"/>
        </w:rPr>
        <w:t>・向上</w:t>
      </w:r>
    </w:p>
    <w:p>
      <w:pPr>
        <w:pStyle w:val="0"/>
        <w:rPr>
          <w:rFonts w:hint="default" w:ascii="ＭＳ 明朝" w:hAnsi="ＭＳ 明朝"/>
          <w:color w:val="000000"/>
          <w:sz w:val="22"/>
        </w:rPr>
      </w:pPr>
      <w:r>
        <w:rPr>
          <w:rFonts w:hint="eastAsia" w:ascii="ＭＳ 明朝" w:hAnsi="ＭＳ 明朝"/>
          <w:color w:val="000000"/>
          <w:sz w:val="22"/>
        </w:rPr>
        <w:t>　　③</w:t>
      </w:r>
      <w:r>
        <w:rPr>
          <w:rFonts w:hint="eastAsia" w:ascii="ＭＳ 明朝" w:hAnsi="ＭＳ 明朝"/>
          <w:color w:val="000000"/>
          <w:sz w:val="22"/>
        </w:rPr>
        <w:t xml:space="preserve"> </w:t>
      </w:r>
      <w:r>
        <w:rPr>
          <w:rFonts w:hint="eastAsia" w:ascii="ＭＳ 明朝" w:hAnsi="ＭＳ 明朝"/>
          <w:sz w:val="22"/>
        </w:rPr>
        <w:t>森林経営計画の作成予定</w:t>
      </w:r>
      <w:r>
        <w:rPr>
          <w:rFonts w:hint="eastAsia" w:ascii="ＭＳ 明朝" w:hAnsi="ＭＳ 明朝"/>
          <w:color w:val="000000"/>
          <w:sz w:val="22"/>
        </w:rPr>
        <w:t>　　④</w:t>
      </w:r>
      <w:r>
        <w:rPr>
          <w:rFonts w:hint="eastAsia" w:ascii="ＭＳ 明朝" w:hAnsi="ＭＳ 明朝"/>
          <w:color w:val="000000"/>
          <w:sz w:val="22"/>
        </w:rPr>
        <w:t xml:space="preserve"> </w:t>
      </w:r>
      <w:r>
        <w:rPr>
          <w:rFonts w:hint="eastAsia" w:ascii="ＭＳ 明朝" w:hAnsi="ＭＳ 明朝"/>
          <w:sz w:val="22"/>
        </w:rPr>
        <w:t>経営管理の</w:t>
      </w:r>
      <w:r>
        <w:rPr>
          <w:rFonts w:hint="default" w:ascii="ＭＳ 明朝" w:hAnsi="ＭＳ 明朝"/>
          <w:sz w:val="22"/>
        </w:rPr>
        <w:t>着実な実施</w:t>
      </w:r>
    </w:p>
    <w:p>
      <w:pPr>
        <w:pStyle w:val="0"/>
        <w:jc w:val="left"/>
        <w:rPr>
          <w:rFonts w:hint="default" w:ascii="ＭＳ 明朝" w:hAnsi="ＭＳ 明朝"/>
          <w:color w:val="000000"/>
          <w:sz w:val="22"/>
        </w:rPr>
      </w:pPr>
      <w:r>
        <w:rPr>
          <w:rFonts w:hint="eastAsia" w:ascii="ＭＳ 明朝" w:hAnsi="ＭＳ 明朝"/>
          <w:color w:val="000000"/>
          <w:sz w:val="22"/>
        </w:rPr>
        <w:t>　　⑤</w:t>
      </w:r>
      <w:r>
        <w:rPr>
          <w:rFonts w:hint="eastAsia" w:ascii="ＭＳ 明朝" w:hAnsi="ＭＳ 明朝"/>
          <w:color w:val="000000"/>
          <w:sz w:val="22"/>
        </w:rPr>
        <w:t xml:space="preserve"> </w:t>
      </w:r>
      <w:r>
        <w:rPr>
          <w:rFonts w:hint="eastAsia" w:ascii="ＭＳ 明朝" w:hAnsi="ＭＳ 明朝"/>
          <w:color w:val="000000"/>
          <w:sz w:val="22"/>
        </w:rPr>
        <w:t>地域への</w:t>
      </w:r>
      <w:r>
        <w:rPr>
          <w:rFonts w:hint="default" w:ascii="ＭＳ 明朝" w:hAnsi="ＭＳ 明朝"/>
          <w:color w:val="000000"/>
          <w:sz w:val="22"/>
        </w:rPr>
        <w:t>貢献度</w:t>
      </w:r>
      <w:r>
        <w:rPr>
          <w:rFonts w:hint="eastAsia" w:ascii="ＭＳ 明朝" w:hAnsi="ＭＳ 明朝"/>
          <w:color w:val="000000"/>
          <w:sz w:val="22"/>
        </w:rPr>
        <w:t>　　　　　　⑥</w:t>
      </w:r>
      <w:r>
        <w:rPr>
          <w:rFonts w:hint="eastAsia" w:ascii="ＭＳ 明朝" w:hAnsi="ＭＳ 明朝"/>
          <w:color w:val="000000"/>
          <w:sz w:val="22"/>
        </w:rPr>
        <w:t xml:space="preserve"> </w:t>
      </w:r>
      <w:r>
        <w:rPr>
          <w:rFonts w:hint="eastAsia" w:ascii="ＭＳ 明朝" w:hAnsi="ＭＳ 明朝"/>
          <w:color w:val="000000"/>
          <w:sz w:val="22"/>
        </w:rPr>
        <w:t>技術的な</w:t>
      </w:r>
      <w:r>
        <w:rPr>
          <w:rFonts w:hint="default" w:ascii="ＭＳ 明朝" w:hAnsi="ＭＳ 明朝"/>
          <w:color w:val="000000"/>
          <w:sz w:val="22"/>
        </w:rPr>
        <w:t>提案</w:t>
      </w:r>
    </w:p>
    <w:p>
      <w:pPr>
        <w:pStyle w:val="0"/>
        <w:rPr>
          <w:rFonts w:hint="default" w:ascii="ＭＳ 明朝" w:hAnsi="ＭＳ 明朝"/>
          <w:color w:val="000000"/>
          <w:sz w:val="22"/>
        </w:rPr>
      </w:pPr>
    </w:p>
    <w:p>
      <w:pPr>
        <w:pStyle w:val="0"/>
        <w:rPr>
          <w:rFonts w:hint="default" w:ascii="ＭＳ 明朝" w:hAnsi="ＭＳ 明朝"/>
          <w:color w:val="000000"/>
          <w:sz w:val="22"/>
        </w:rPr>
      </w:pPr>
      <w:r>
        <w:rPr>
          <w:rFonts w:hint="eastAsia" w:ascii="ＭＳ 明朝" w:hAnsi="ＭＳ 明朝"/>
          <w:color w:val="000000"/>
          <w:sz w:val="22"/>
        </w:rPr>
        <w:t>２　審査基準</w:t>
      </w:r>
    </w:p>
    <w:p>
      <w:pPr>
        <w:pStyle w:val="0"/>
        <w:ind w:left="220" w:hanging="220" w:hangingChars="100"/>
        <w:rPr>
          <w:rFonts w:hint="default" w:ascii="ＭＳ 明朝" w:hAnsi="ＭＳ 明朝"/>
          <w:color w:val="000000"/>
          <w:sz w:val="22"/>
        </w:rPr>
      </w:pPr>
      <w:r>
        <w:rPr>
          <w:rFonts w:hint="eastAsia" w:ascii="ＭＳ 明朝" w:hAnsi="ＭＳ 明朝"/>
          <w:color w:val="000000"/>
          <w:sz w:val="22"/>
        </w:rPr>
        <w:t>　　企画提案書の審査については、選定委員会を開催して提案内容を審査することによって行います。評価にあたっては前述の審査事項に基づき、次の表に示す各項目の基準点の合計を採点し、最も合計点が高い者を採用事業者として決定します。</w:t>
      </w:r>
    </w:p>
    <w:p>
      <w:pPr>
        <w:pStyle w:val="0"/>
        <w:rPr>
          <w:rFonts w:hint="default" w:ascii="ＭＳ 明朝" w:hAnsi="ＭＳ 明朝"/>
          <w:color w:val="000000"/>
          <w:sz w:val="22"/>
        </w:rPr>
      </w:pPr>
    </w:p>
    <w:tbl>
      <w:tblPr>
        <w:tblStyle w:val="11"/>
        <w:tblW w:w="93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271"/>
        <w:gridCol w:w="1843"/>
        <w:gridCol w:w="1276"/>
        <w:gridCol w:w="1275"/>
        <w:gridCol w:w="993"/>
        <w:gridCol w:w="1275"/>
        <w:gridCol w:w="1417"/>
      </w:tblGrid>
      <w:tr>
        <w:trPr/>
        <w:tc>
          <w:tcPr>
            <w:tcW w:w="3114" w:type="dxa"/>
            <w:gridSpan w:val="2"/>
            <w:vMerge w:val="restar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審査事項</w:t>
            </w:r>
          </w:p>
        </w:tc>
        <w:tc>
          <w:tcPr>
            <w:tcW w:w="6236" w:type="dxa"/>
            <w:gridSpan w:val="5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審査基準点</w:t>
            </w:r>
          </w:p>
        </w:tc>
      </w:tr>
      <w:tr>
        <w:trPr>
          <w:trHeight w:val="737" w:hRule="atLeast"/>
        </w:trPr>
        <w:tc>
          <w:tcPr>
            <w:tcW w:w="3114" w:type="dxa"/>
            <w:gridSpan w:val="2"/>
            <w:vMerge w:val="continue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1276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極めて</w:t>
            </w:r>
            <w:r>
              <w:rPr>
                <w:rFonts w:hint="default" w:ascii="ＭＳ 明朝" w:hAnsi="ＭＳ 明朝"/>
                <w:sz w:val="22"/>
              </w:rPr>
              <w:t>優れている</w:t>
            </w:r>
          </w:p>
        </w:tc>
        <w:tc>
          <w:tcPr>
            <w:tcW w:w="1275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優れている</w:t>
            </w:r>
          </w:p>
        </w:tc>
        <w:tc>
          <w:tcPr>
            <w:tcW w:w="993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普通</w:t>
            </w:r>
          </w:p>
        </w:tc>
        <w:tc>
          <w:tcPr>
            <w:tcW w:w="1275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やや</w:t>
            </w:r>
            <w:r>
              <w:rPr>
                <w:rFonts w:hint="default" w:ascii="ＭＳ 明朝" w:hAnsi="ＭＳ 明朝"/>
                <w:sz w:val="22"/>
              </w:rPr>
              <w:t>劣っている</w:t>
            </w:r>
          </w:p>
        </w:tc>
        <w:tc>
          <w:tcPr>
            <w:tcW w:w="1417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劣っている</w:t>
            </w:r>
          </w:p>
        </w:tc>
      </w:tr>
      <w:tr>
        <w:trPr>
          <w:trHeight w:val="564" w:hRule="atLeast"/>
        </w:trPr>
        <w:tc>
          <w:tcPr>
            <w:tcW w:w="1271" w:type="dxa"/>
            <w:vMerge w:val="restart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①森林所有者への支払い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金額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１０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８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６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４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２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</w:tr>
      <w:tr>
        <w:trPr>
          <w:trHeight w:val="716" w:hRule="atLeast"/>
        </w:trPr>
        <w:tc>
          <w:tcPr>
            <w:tcW w:w="1271" w:type="dxa"/>
            <w:vMerge w:val="continue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分配の算定</w:t>
            </w:r>
          </w:p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方法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５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４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３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２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１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</w:tr>
      <w:tr>
        <w:trPr>
          <w:trHeight w:val="540" w:hRule="atLeast"/>
        </w:trPr>
        <w:tc>
          <w:tcPr>
            <w:tcW w:w="3114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②木材販売収益の</w:t>
            </w:r>
            <w:r>
              <w:rPr>
                <w:rFonts w:hint="default" w:ascii="ＭＳ 明朝" w:hAnsi="ＭＳ 明朝"/>
              </w:rPr>
              <w:t>安定・向上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１０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８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６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４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２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</w:tr>
      <w:tr>
        <w:trPr/>
        <w:tc>
          <w:tcPr>
            <w:tcW w:w="3114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</w:rPr>
            </w:pPr>
            <w:r>
              <w:rPr>
                <w:rFonts w:hint="eastAsia" w:ascii="ＭＳ 明朝" w:hAnsi="ＭＳ 明朝"/>
              </w:rPr>
              <w:t>③森林経営計画</w:t>
            </w:r>
            <w:r>
              <w:rPr>
                <w:rFonts w:hint="eastAsia" w:ascii="ＭＳ 明朝" w:hAnsi="ＭＳ 明朝"/>
                <w:color w:val="000000" w:themeColor="text1"/>
              </w:rPr>
              <w:t>の</w:t>
            </w:r>
            <w:r>
              <w:rPr>
                <w:rFonts w:hint="default" w:ascii="ＭＳ 明朝" w:hAnsi="ＭＳ 明朝"/>
                <w:color w:val="000000" w:themeColor="text1"/>
              </w:rPr>
              <w:t>作成予定の有無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１０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８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６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４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２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</w:tr>
      <w:tr>
        <w:trPr/>
        <w:tc>
          <w:tcPr>
            <w:tcW w:w="1271" w:type="dxa"/>
            <w:vMerge w:val="restart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④経営管理の着実な実施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実施権を希望する対象面積・期間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１５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１２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９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６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３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</w:tr>
      <w:tr>
        <w:trPr>
          <w:trHeight w:val="512" w:hRule="atLeast"/>
        </w:trPr>
        <w:tc>
          <w:tcPr>
            <w:tcW w:w="1271" w:type="dxa"/>
            <w:vMerge w:val="continue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実施体制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５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４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３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２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１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</w:tr>
      <w:tr>
        <w:trPr>
          <w:trHeight w:val="548" w:hRule="atLeast"/>
        </w:trPr>
        <w:tc>
          <w:tcPr>
            <w:tcW w:w="1271" w:type="dxa"/>
            <w:vMerge w:val="continue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実績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１５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１２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bookmarkStart w:id="0" w:name="_GoBack"/>
            <w:bookmarkEnd w:id="0"/>
            <w:r>
              <w:rPr>
                <w:rFonts w:hint="eastAsia" w:ascii="ＭＳ 明朝" w:hAnsi="ＭＳ 明朝"/>
                <w:sz w:val="22"/>
              </w:rPr>
              <w:t>９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６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３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</w:tr>
      <w:tr>
        <w:trPr>
          <w:trHeight w:val="940" w:hRule="atLeast"/>
        </w:trPr>
        <w:tc>
          <w:tcPr>
            <w:tcW w:w="1271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⑤地域への</w:t>
            </w:r>
            <w:r>
              <w:rPr>
                <w:rFonts w:hint="default" w:ascii="ＭＳ 明朝" w:hAnsi="ＭＳ 明朝"/>
                <w:sz w:val="22"/>
              </w:rPr>
              <w:t>貢献度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地元住民の</w:t>
            </w:r>
            <w:r>
              <w:rPr>
                <w:rFonts w:hint="default" w:ascii="ＭＳ 明朝" w:hAnsi="ＭＳ 明朝"/>
              </w:rPr>
              <w:t>雇用</w:t>
            </w:r>
            <w:r>
              <w:rPr>
                <w:rFonts w:hint="eastAsia" w:ascii="ＭＳ 明朝" w:hAnsi="ＭＳ 明朝"/>
              </w:rPr>
              <w:t>や地域活動等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２０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１６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１２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８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４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</w:tr>
      <w:tr>
        <w:trPr>
          <w:trHeight w:val="660" w:hRule="atLeast"/>
        </w:trPr>
        <w:tc>
          <w:tcPr>
            <w:tcW w:w="3114" w:type="dxa"/>
            <w:gridSpan w:val="2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⑥技術的な</w:t>
            </w:r>
            <w:r>
              <w:rPr>
                <w:rFonts w:hint="default" w:ascii="ＭＳ 明朝" w:hAnsi="ＭＳ 明朝"/>
                <w:sz w:val="22"/>
              </w:rPr>
              <w:t>提案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１０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８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６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４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２</w:t>
            </w:r>
            <w:r>
              <w:rPr>
                <w:rFonts w:hint="default" w:ascii="ＭＳ 明朝" w:hAnsi="ＭＳ 明朝"/>
                <w:sz w:val="22"/>
              </w:rPr>
              <w:t>点</w:t>
            </w:r>
          </w:p>
        </w:tc>
      </w:tr>
    </w:tbl>
    <w:p>
      <w:pPr>
        <w:pStyle w:val="0"/>
        <w:rPr>
          <w:rFonts w:hint="default" w:ascii="ＭＳ 明朝" w:hAnsi="ＭＳ 明朝"/>
          <w:color w:val="000000"/>
          <w:sz w:val="22"/>
        </w:rPr>
      </w:pPr>
    </w:p>
    <w:sectPr>
      <w:pgSz w:w="11906" w:h="16838"/>
      <w:pgMar w:top="1259" w:right="1021" w:bottom="720" w:left="136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0"/>
    <w:next w:val="0"/>
    <w:link w:val="19"/>
    <w:uiPriority w:val="0"/>
    <w:qFormat/>
    <w:pPr>
      <w:keepNext w:val="1"/>
      <w:overflowPunct w:val="0"/>
      <w:textAlignment w:val="baseline"/>
      <w:outlineLvl w:val="0"/>
    </w:pPr>
    <w:rPr>
      <w:rFonts w:ascii="Arial" w:hAnsi="Arial" w:eastAsia="ＭＳ ゴシック"/>
      <w:kern w:val="0"/>
      <w:sz w:val="22"/>
    </w:rPr>
  </w:style>
  <w:style w:type="paragraph" w:styleId="2">
    <w:name w:val="heading 2"/>
    <w:basedOn w:val="0"/>
    <w:next w:val="0"/>
    <w:link w:val="20"/>
    <w:uiPriority w:val="0"/>
    <w:qFormat/>
    <w:pPr>
      <w:keepNext w:val="1"/>
      <w:overflowPunct w:val="0"/>
      <w:textAlignment w:val="baseline"/>
      <w:outlineLvl w:val="1"/>
    </w:pPr>
    <w:rPr>
      <w:rFonts w:ascii="Arial" w:hAnsi="Arial" w:eastAsia="ＭＳ ゴシック"/>
      <w:kern w:val="0"/>
      <w:sz w:val="20"/>
    </w:rPr>
  </w:style>
  <w:style w:type="paragraph" w:styleId="3">
    <w:name w:val="heading 3"/>
    <w:basedOn w:val="0"/>
    <w:next w:val="0"/>
    <w:link w:val="21"/>
    <w:uiPriority w:val="0"/>
    <w:qFormat/>
    <w:pPr>
      <w:keepNext w:val="1"/>
      <w:overflowPunct w:val="0"/>
      <w:ind w:left="400" w:leftChars="400"/>
      <w:textAlignment w:val="baseline"/>
      <w:outlineLvl w:val="2"/>
    </w:pPr>
    <w:rPr>
      <w:rFonts w:ascii="Arial" w:hAnsi="Arial" w:eastAsia="ＭＳ ゴシック"/>
      <w:kern w:val="0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kern w:val="2"/>
      <w:sz w:val="21"/>
    </w:rPr>
  </w:style>
  <w:style w:type="character" w:styleId="19" w:customStyle="1">
    <w:name w:val="見出し 1 (文字)"/>
    <w:basedOn w:val="10"/>
    <w:next w:val="19"/>
    <w:link w:val="1"/>
    <w:uiPriority w:val="0"/>
    <w:rPr>
      <w:rFonts w:ascii="Arial" w:hAnsi="Arial" w:eastAsia="ＭＳ ゴシック"/>
      <w:sz w:val="22"/>
    </w:rPr>
  </w:style>
  <w:style w:type="character" w:styleId="20" w:customStyle="1">
    <w:name w:val="見出し 2 (文字)"/>
    <w:basedOn w:val="10"/>
    <w:next w:val="20"/>
    <w:link w:val="2"/>
    <w:uiPriority w:val="0"/>
    <w:rPr>
      <w:rFonts w:ascii="Arial" w:hAnsi="Arial" w:eastAsia="ＭＳ ゴシック"/>
    </w:rPr>
  </w:style>
  <w:style w:type="character" w:styleId="21" w:customStyle="1">
    <w:name w:val="見出し 3 (文字)"/>
    <w:basedOn w:val="10"/>
    <w:next w:val="21"/>
    <w:link w:val="3"/>
    <w:uiPriority w:val="0"/>
    <w:rPr>
      <w:rFonts w:ascii="Arial" w:hAnsi="Arial" w:eastAsia="ＭＳ ゴシック"/>
    </w:rPr>
  </w:style>
  <w:style w:type="paragraph" w:styleId="22">
    <w:name w:val="Note Heading"/>
    <w:basedOn w:val="0"/>
    <w:next w:val="0"/>
    <w:link w:val="23"/>
    <w:uiPriority w:val="0"/>
    <w:pPr>
      <w:overflowPunct w:val="0"/>
      <w:jc w:val="center"/>
      <w:textAlignment w:val="baseline"/>
    </w:pPr>
    <w:rPr>
      <w:rFonts w:ascii="ＭＳ 明朝" w:hAnsi="ＭＳ 明朝"/>
      <w:kern w:val="0"/>
      <w:sz w:val="22"/>
    </w:rPr>
  </w:style>
  <w:style w:type="character" w:styleId="23" w:customStyle="1">
    <w:name w:val="記 (文字)"/>
    <w:basedOn w:val="10"/>
    <w:next w:val="23"/>
    <w:link w:val="22"/>
    <w:uiPriority w:val="0"/>
    <w:rPr>
      <w:rFonts w:ascii="ＭＳ 明朝" w:hAnsi="ＭＳ 明朝"/>
      <w:sz w:val="22"/>
    </w:rPr>
  </w:style>
  <w:style w:type="paragraph" w:styleId="24">
    <w:name w:val="Closing"/>
    <w:basedOn w:val="0"/>
    <w:next w:val="24"/>
    <w:link w:val="25"/>
    <w:uiPriority w:val="0"/>
    <w:pPr>
      <w:overflowPunct w:val="0"/>
      <w:jc w:val="right"/>
      <w:textAlignment w:val="baseline"/>
    </w:pPr>
    <w:rPr>
      <w:rFonts w:ascii="ＭＳ 明朝" w:hAnsi="ＭＳ 明朝"/>
      <w:kern w:val="0"/>
      <w:sz w:val="22"/>
    </w:rPr>
  </w:style>
  <w:style w:type="character" w:styleId="25" w:customStyle="1">
    <w:name w:val="結語 (文字)"/>
    <w:basedOn w:val="10"/>
    <w:next w:val="25"/>
    <w:link w:val="24"/>
    <w:uiPriority w:val="0"/>
    <w:rPr>
      <w:rFonts w:ascii="ＭＳ 明朝" w:hAnsi="ＭＳ 明朝"/>
      <w:sz w:val="22"/>
    </w:rPr>
  </w:style>
  <w:style w:type="paragraph" w:styleId="26">
    <w:name w:val="Balloon Text"/>
    <w:basedOn w:val="0"/>
    <w:next w:val="26"/>
    <w:link w:val="27"/>
    <w:uiPriority w:val="0"/>
    <w:semiHidden/>
    <w:pPr>
      <w:overflowPunct w:val="0"/>
      <w:textAlignment w:val="baseline"/>
    </w:pPr>
    <w:rPr>
      <w:rFonts w:ascii="Arial" w:hAnsi="Arial" w:eastAsia="ＭＳ ゴシック"/>
      <w:kern w:val="0"/>
      <w:sz w:val="18"/>
    </w:rPr>
  </w:style>
  <w:style w:type="character" w:styleId="27" w:customStyle="1">
    <w:name w:val="吹き出し (文字)"/>
    <w:basedOn w:val="10"/>
    <w:next w:val="27"/>
    <w:link w:val="26"/>
    <w:uiPriority w:val="0"/>
    <w:rPr>
      <w:rFonts w:ascii="Arial" w:hAnsi="Arial" w:eastAsia="ＭＳ ゴシック"/>
      <w:sz w:val="18"/>
    </w:rPr>
  </w:style>
  <w:style w:type="paragraph" w:styleId="28">
    <w:name w:val="toc 1"/>
    <w:basedOn w:val="0"/>
    <w:next w:val="0"/>
    <w:link w:val="0"/>
    <w:uiPriority w:val="0"/>
    <w:pPr>
      <w:overflowPunct w:val="0"/>
      <w:textAlignment w:val="baseline"/>
    </w:pPr>
    <w:rPr>
      <w:rFonts w:ascii="ＭＳ 明朝" w:hAnsi="ＭＳ 明朝"/>
      <w:kern w:val="0"/>
      <w:sz w:val="20"/>
    </w:rPr>
  </w:style>
  <w:style w:type="character" w:styleId="29">
    <w:name w:val="Hyperlink"/>
    <w:next w:val="29"/>
    <w:link w:val="0"/>
    <w:uiPriority w:val="0"/>
    <w:rPr>
      <w:color w:val="0563C1"/>
      <w:u w:val="single" w:color="auto"/>
    </w:rPr>
  </w:style>
  <w:style w:type="paragraph" w:styleId="30" w:customStyle="1">
    <w:name w:val="Default"/>
    <w:next w:val="30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paragraph" w:styleId="31">
    <w:name w:val="Date"/>
    <w:basedOn w:val="0"/>
    <w:next w:val="0"/>
    <w:link w:val="32"/>
    <w:uiPriority w:val="0"/>
    <w:rPr>
      <w:sz w:val="22"/>
    </w:rPr>
  </w:style>
  <w:style w:type="character" w:styleId="32" w:customStyle="1">
    <w:name w:val="日付 (文字)"/>
    <w:basedOn w:val="10"/>
    <w:next w:val="32"/>
    <w:link w:val="31"/>
    <w:uiPriority w:val="0"/>
    <w:rPr>
      <w:kern w:val="2"/>
      <w:sz w:val="22"/>
    </w:rPr>
  </w:style>
  <w:style w:type="paragraph" w:styleId="33">
    <w:name w:val="List Paragraph"/>
    <w:basedOn w:val="0"/>
    <w:next w:val="33"/>
    <w:link w:val="0"/>
    <w:uiPriority w:val="0"/>
    <w:qFormat/>
    <w:pPr>
      <w:ind w:left="840" w:leftChars="400"/>
    </w:pPr>
    <w:rPr>
      <w:sz w:val="22"/>
    </w:rPr>
  </w:style>
  <w:style w:type="character" w:styleId="34">
    <w:name w:val="footnote reference"/>
    <w:basedOn w:val="10"/>
    <w:next w:val="34"/>
    <w:link w:val="0"/>
    <w:uiPriority w:val="0"/>
    <w:semiHidden/>
    <w:rPr>
      <w:vertAlign w:val="superscript"/>
    </w:rPr>
  </w:style>
  <w:style w:type="character" w:styleId="35">
    <w:name w:val="endnote reference"/>
    <w:basedOn w:val="10"/>
    <w:next w:val="35"/>
    <w:link w:val="0"/>
    <w:uiPriority w:val="0"/>
    <w:semiHidden/>
    <w:rPr>
      <w:vertAlign w:val="superscript"/>
    </w:rPr>
  </w:style>
  <w:style w:type="table" w:styleId="36">
    <w:name w:val="Table Grid"/>
    <w:basedOn w:val="11"/>
    <w:next w:val="36"/>
    <w:link w:val="0"/>
    <w:uiPriority w:val="0"/>
    <w:rPr>
      <w:rFonts w:ascii="ＭＳ 明朝" w:hAnsi="ＭＳ 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7" w:customStyle="1">
    <w:name w:val="表 (格子)1"/>
    <w:basedOn w:val="11"/>
    <w:next w:val="3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</TotalTime>
  <Pages>1</Pages>
  <Words>0</Words>
  <Characters>543</Characters>
  <Application>JUST Note</Application>
  <Lines>155</Lines>
  <Paragraphs>74</Paragraphs>
  <Company>Microsoft</Company>
  <CharactersWithSpaces>569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土地基本台帳と地図情報管理の必要性</dc:title>
  <dc:creator>公社</dc:creator>
  <cp:lastModifiedBy>Domoto Tomoko</cp:lastModifiedBy>
  <cp:lastPrinted>2022-09-06T08:45:00Z</cp:lastPrinted>
  <dcterms:created xsi:type="dcterms:W3CDTF">2022-11-01T05:31:00Z</dcterms:created>
  <dcterms:modified xsi:type="dcterms:W3CDTF">2026-08-07T02:23:43Z</dcterms:modified>
  <cp:revision>2</cp:revision>
</cp:coreProperties>
</file>