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left="153" w:leftChars="73"/>
        <w:jc w:val="right"/>
        <w:rPr>
          <w:rFonts w:hint="default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9" behindDoc="0" locked="0" layoutInCell="1" hidden="0" allowOverlap="1">
                <wp:simplePos x="0" y="0"/>
                <wp:positionH relativeFrom="column">
                  <wp:posOffset>4897755</wp:posOffset>
                </wp:positionH>
                <wp:positionV relativeFrom="paragraph">
                  <wp:posOffset>-693420</wp:posOffset>
                </wp:positionV>
                <wp:extent cx="919480" cy="55816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919480" cy="558165"/>
                        </a:xfrm>
                        <a:prstGeom prst="wedgeRectCallout">
                          <a:avLst>
                            <a:gd name="adj1" fmla="val -36848"/>
                            <a:gd name="adj2" fmla="val -46214"/>
                          </a:avLst>
                        </a:prstGeom>
                        <a:solidFill>
                          <a:srgbClr val="FFFF99"/>
                        </a:solidFill>
                        <a:ln w="19050" cmpd="sng">
                          <a:solidFill>
                            <a:srgbClr val="FF99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HGPｺﾞｼｯｸM" w:hAnsi="HGPｺﾞｼｯｸM" w:eastAsia="HGPｺﾞｼｯｸM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オブジェクト 0" style="z-index:49;height:43.95pt;mso-wrap-distance-left:16pt;width:72.400000000000006pt;mso-wrap-distance-top:0pt;mso-position-horizontal-relative:text;position:absolute;margin-top:-54.6pt;margin-left:385.65pt;mso-position-vertical-relative:text;mso-wrap-distance-bottom:0pt;mso-wrap-distance-right:16pt;v-text-anchor:middle;" o:spid="_x0000_s1026" o:allowincell="t" o:allowoverlap="t" filled="t" fillcolor="#ffff99" stroked="t" strokecolor="#ff9900" strokeweight="1.5pt" o:spt="61" type="#_x0000_t61" adj="2841,818">
                <v:fill/>
                <v:stroke linestyle="single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HGPｺﾞｼｯｸM" w:hAnsi="HGPｺﾞｼｯｸM" w:eastAsia="HGPｺﾞｼｯｸM"/>
                          <w:b w:val="1"/>
                          <w:sz w:val="32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sz w:val="32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8" behindDoc="0" locked="0" layoutInCell="1" hidden="0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-693420</wp:posOffset>
                </wp:positionV>
                <wp:extent cx="4712335" cy="55816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712335" cy="558165"/>
                        </a:xfrm>
                        <a:prstGeom prst="wedgeRectCallout">
                          <a:avLst>
                            <a:gd name="adj1" fmla="val -36848"/>
                            <a:gd name="adj2" fmla="val -46214"/>
                          </a:avLst>
                        </a:prstGeom>
                        <a:solidFill>
                          <a:srgbClr val="FFFF99"/>
                        </a:solidFill>
                        <a:ln w="19050" cmpd="sng">
                          <a:solidFill>
                            <a:srgbClr val="FF99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HGPｺﾞｼｯｸM" w:hAnsi="HGPｺﾞｼｯｸM" w:eastAsia="HGPｺﾞｼｯｸM"/>
                                <w:sz w:val="22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sz w:val="21"/>
                              </w:rPr>
                              <w:t>報告書及び計算シートは市ＨＰからダウンロードできます。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HGPｺﾞｼｯｸM" w:hAnsi="HGPｺﾞｼｯｸM" w:eastAsia="HGPｺﾞｼｯｸM"/>
                                <w:sz w:val="22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sz w:val="22"/>
                                <w:u w:val="single"/>
                              </w:rPr>
                              <w:t>https://www.city.hatsukaichi.hiroshima.jp/soshiki/131/95612.html</w:t>
                            </w:r>
                          </w:p>
                        </w:txbxContent>
                      </wps:txbx>
                      <wps:bodyPr vertOverflow="overflow" horzOverflow="overflow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オブジェクト 0" style="z-index:48;height:43.95pt;mso-wrap-distance-left:16pt;width:371.05pt;mso-wrap-distance-top:0pt;mso-position-horizontal-relative:text;position:absolute;margin-top:-54.6pt;margin-left:-1.35pt;mso-position-vertical-relative:text;mso-wrap-distance-bottom:0pt;mso-wrap-distance-right:16pt;v-text-anchor:middle;" o:spid="_x0000_s1027" o:allowincell="t" o:allowoverlap="t" filled="t" fillcolor="#ffff99" stroked="t" strokecolor="#ff9900" strokeweight="1.5pt" o:spt="61" type="#_x0000_t61" adj="2841,818">
                <v:fill/>
                <v:stroke linestyle="single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HGPｺﾞｼｯｸM" w:hAnsi="HGPｺﾞｼｯｸM" w:eastAsia="HGPｺﾞｼｯｸM"/>
                          <w:sz w:val="22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sz w:val="21"/>
                        </w:rPr>
                        <w:t>報告書及び計算シートは市ＨＰからダウンロードできます。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 w:ascii="HGPｺﾞｼｯｸM" w:hAnsi="HGPｺﾞｼｯｸM" w:eastAsia="HGPｺﾞｼｯｸM"/>
                          <w:sz w:val="22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sz w:val="22"/>
                          <w:u w:val="single"/>
                        </w:rPr>
                        <w:t>https://www.city.hatsukaichi.hiroshima.jp/soshiki/131/95612.html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  <w:r>
        <w:rPr>
          <w:rFonts w:hint="eastAsia" w:ascii="HG丸ｺﾞｼｯｸM-PRO" w:hAnsi="HG丸ｺﾞｼｯｸM-PRO" w:eastAsia="HG丸ｺﾞｼｯｸM-PRO"/>
          <w:color w:val="FF0000"/>
          <w:kern w:val="2"/>
          <w:sz w:val="24"/>
        </w:rPr>
        <w:t>令和</w:t>
      </w:r>
      <w:r>
        <w:rPr>
          <w:rFonts w:hint="eastAsia" w:ascii="HG丸ｺﾞｼｯｸM-PRO" w:hAnsi="HG丸ｺﾞｼｯｸM-PRO" w:eastAsia="HG丸ｺﾞｼｯｸM-PRO"/>
          <w:color w:val="FF0000"/>
          <w:kern w:val="2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FF0000"/>
          <w:kern w:val="2"/>
          <w:sz w:val="24"/>
        </w:rPr>
        <w:t>９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年</w:t>
      </w:r>
      <w:r>
        <w:rPr>
          <w:rFonts w:hint="eastAsia" w:ascii="HG丸ｺﾞｼｯｸM-PRO" w:hAnsi="HG丸ｺﾞｼｯｸM-PRO" w:eastAsia="HG丸ｺﾞｼｯｸM-PRO"/>
          <w:kern w:val="2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FF0000"/>
          <w:kern w:val="2"/>
          <w:sz w:val="24"/>
        </w:rPr>
        <w:t>12</w:t>
      </w:r>
      <w:r>
        <w:rPr>
          <w:rFonts w:hint="eastAsia" w:ascii="HG丸ｺﾞｼｯｸM-PRO" w:hAnsi="HG丸ｺﾞｼｯｸM-PRO" w:eastAsia="HG丸ｺﾞｼｯｸM-PRO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月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color w:val="FF0000"/>
          <w:kern w:val="2"/>
          <w:sz w:val="24"/>
        </w:rPr>
        <w:t>１</w:t>
      </w:r>
      <w:r>
        <w:rPr>
          <w:rFonts w:hint="eastAsia" w:ascii="HG丸ｺﾞｼｯｸM-PRO" w:hAnsi="HG丸ｺﾞｼｯｸM-PRO" w:eastAsia="HG丸ｺﾞｼｯｸM-PRO"/>
          <w:color w:val="FF0000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日　</w:t>
      </w:r>
    </w:p>
    <w:p>
      <w:pPr>
        <w:pStyle w:val="0"/>
        <w:ind w:left="175" w:hanging="153" w:hangingChars="73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廿日市市長　様</w:t>
      </w:r>
    </w:p>
    <w:p>
      <w:pPr>
        <w:pStyle w:val="0"/>
        <w:jc w:val="both"/>
        <w:rPr>
          <w:rFonts w:hint="eastAsia"/>
          <w:sz w:val="24"/>
        </w:rPr>
      </w:pPr>
      <w:r>
        <w:rPr>
          <w:rFonts w:hint="eastAsia"/>
          <w:sz w:val="24"/>
        </w:rPr>
        <w:t>　　　　　　　　　　　　　　　　　　　　　　〒</w:t>
      </w:r>
      <w:r>
        <w:rPr>
          <w:rFonts w:hint="eastAsia" w:ascii="HG丸ｺﾞｼｯｸM-PRO" w:hAnsi="HG丸ｺﾞｼｯｸM-PRO" w:eastAsia="HG丸ｺﾞｼｯｸM-PRO"/>
          <w:color w:val="FF0000"/>
          <w:sz w:val="24"/>
        </w:rPr>
        <w:t>738-00</w:t>
      </w:r>
      <w:r>
        <w:rPr>
          <w:rFonts w:hint="eastAsia" w:ascii="HG丸ｺﾞｼｯｸM-PRO" w:hAnsi="HG丸ｺﾞｼｯｸM-PRO" w:eastAsia="HG丸ｺﾞｼｯｸM-PRO"/>
          <w:color w:val="FF0000"/>
          <w:sz w:val="24"/>
        </w:rPr>
        <w:t>０１</w:t>
      </w:r>
    </w:p>
    <w:p>
      <w:pPr>
        <w:pStyle w:val="0"/>
        <w:jc w:val="both"/>
        <w:rPr>
          <w:rFonts w:hint="eastAsia"/>
          <w:sz w:val="24"/>
        </w:rPr>
      </w:pPr>
      <w:r>
        <w:rPr>
          <w:rFonts w:hint="eastAsia"/>
          <w:sz w:val="24"/>
        </w:rPr>
        <w:t>　　　　　　　　　　　　　　　　所　在　地　</w:t>
      </w:r>
      <w:r>
        <w:rPr>
          <w:rFonts w:hint="eastAsia" w:ascii="HG丸ｺﾞｼｯｸM-PRO" w:hAnsi="HG丸ｺﾞｼｯｸM-PRO" w:eastAsia="HG丸ｺﾞｼｯｸM-PRO"/>
          <w:color w:val="FF0000"/>
          <w:kern w:val="2"/>
          <w:sz w:val="24"/>
        </w:rPr>
        <w:t>廿日市市下平良１－１１－１</w:t>
      </w:r>
    </w:p>
    <w:p>
      <w:pPr>
        <w:pStyle w:val="0"/>
        <w:jc w:val="both"/>
        <w:rPr>
          <w:rFonts w:hint="eastAsia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5367655</wp:posOffset>
                </wp:positionH>
                <wp:positionV relativeFrom="paragraph">
                  <wp:posOffset>82550</wp:posOffset>
                </wp:positionV>
                <wp:extent cx="514350" cy="516890"/>
                <wp:effectExtent l="19685" t="19685" r="29845" b="20320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514350" cy="51689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FF0000"/>
                                <w:sz w:val="28"/>
                              </w:rPr>
                              <w:t>印</w:t>
                            </w:r>
                          </w:p>
                        </w:txbxContent>
                      </wps:txbx>
                      <wps:bodyPr vertOverflow="overflow" horzOverflow="overflow" wrap="square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オブジェクト 0" style="z-index:2;height:40.700000000000003pt;mso-wrap-distance-left:16pt;width:40.5pt;mso-wrap-distance-top:0pt;mso-position-horizontal-relative:text;position:absolute;margin-top:6.5pt;margin-left:422.65pt;mso-position-vertical-relative:text;mso-wrap-distance-bottom:0pt;mso-wrap-distance-right:16pt;v-text-anchor:middle;" o:spid="_x0000_s1028" o:allowincell="t" o:allowoverlap="t" filled="f" stroked="t" strokecolor="#ff0000" strokeweight="2.25pt" o:spt="3">
                <v:fill/>
                <v:stroke linestyle="single" miterlimit="8" endcap="flat" dashstyle="solid" filltype="solid"/>
                <v:textbox style="layout-flow:horizontal;mso-fit-shape-to-text:t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color w:val="FF0000"/>
                          <w:sz w:val="28"/>
                        </w:rPr>
                        <w:t>印</w:t>
                      </w:r>
                    </w:p>
                  </w:txbxContent>
                </v:textbox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z w:val="24"/>
        </w:rPr>
        <w:t>　　　　　　　　　　　　　　　　事業者名称　</w:t>
      </w:r>
      <w:r>
        <w:rPr>
          <w:rFonts w:hint="eastAsia" w:ascii="HG丸ｺﾞｼｯｸM-PRO" w:hAnsi="HG丸ｺﾞｼｯｸM-PRO" w:eastAsia="HG丸ｺﾞｼｯｸM-PRO"/>
          <w:color w:val="FF0000"/>
          <w:sz w:val="24"/>
        </w:rPr>
        <w:t>株式会社はつかいち</w:t>
      </w:r>
    </w:p>
    <w:p>
      <w:pPr>
        <w:pStyle w:val="0"/>
        <w:jc w:val="both"/>
        <w:rPr>
          <w:rFonts w:hint="eastAsia"/>
          <w:sz w:val="24"/>
        </w:rPr>
      </w:pPr>
      <w:r>
        <w:rPr>
          <w:rFonts w:hint="eastAsia"/>
          <w:sz w:val="24"/>
        </w:rPr>
        <w:t>　　　　　　　　　　　　　　　　代表者氏名　</w:t>
      </w:r>
      <w:r>
        <w:rPr>
          <w:rFonts w:hint="eastAsia" w:ascii="HG丸ｺﾞｼｯｸM-PRO" w:hAnsi="HG丸ｺﾞｼｯｸM-PRO" w:eastAsia="HG丸ｺﾞｼｯｸM-PRO"/>
          <w:color w:val="FF0000"/>
          <w:kern w:val="2"/>
          <w:sz w:val="24"/>
        </w:rPr>
        <w:t>代表取締役　廿日市　太郎</w:t>
      </w:r>
    </w:p>
    <w:p>
      <w:pPr>
        <w:pStyle w:val="0"/>
        <w:jc w:val="both"/>
        <w:rPr>
          <w:rFonts w:hint="eastAsia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kern w:val="2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省エネ設備導入効果報告書</w:t>
      </w:r>
    </w:p>
    <w:p>
      <w:pPr>
        <w:pStyle w:val="0"/>
        <w:jc w:val="center"/>
        <w:rPr>
          <w:rFonts w:hint="eastAsia" w:ascii="ＭＳ 明朝" w:hAnsi="ＭＳ 明朝" w:eastAsia="ＭＳ 明朝"/>
          <w:kern w:val="2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廿日市市事業所用創エネ・省エネ設備導入促進補助金交付要綱第２２条の規定に基づき、次のとおり補助対象設備の導入効果を報告します。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/>
          <w:sz w:val="24"/>
        </w:rPr>
        <w:t>１　補助事業の概要</w:t>
      </w:r>
    </w:p>
    <w:tbl>
      <w:tblPr>
        <w:tblStyle w:val="28"/>
        <w:tblW w:w="9007" w:type="dxa"/>
        <w:tblInd w:w="205" w:type="dxa"/>
        <w:tblLayout w:type="fixed"/>
        <w:tblLook w:firstRow="1" w:lastRow="0" w:firstColumn="1" w:lastColumn="0" w:noHBand="0" w:noVBand="1" w:val="04A0"/>
      </w:tblPr>
      <w:tblGrid>
        <w:gridCol w:w="2940"/>
        <w:gridCol w:w="1562"/>
        <w:gridCol w:w="4505"/>
      </w:tblGrid>
      <w:tr>
        <w:trPr>
          <w:trHeight w:val="388" w:hRule="atLeast"/>
        </w:trPr>
        <w:tc>
          <w:tcPr>
            <w:tcW w:w="2940" w:type="dxa"/>
            <w:vMerge w:val="restart"/>
            <w:vAlign w:val="top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省エネルギー設備の</w:t>
            </w:r>
          </w:p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導入等を行った物件</w:t>
            </w:r>
          </w:p>
        </w:tc>
        <w:tc>
          <w:tcPr>
            <w:tcW w:w="1562" w:type="dxa"/>
            <w:vAlign w:val="top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事業所名</w:t>
            </w:r>
          </w:p>
        </w:tc>
        <w:tc>
          <w:tcPr>
            <w:tcW w:w="45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株式会社廿日市企画　廿日市事務所</w:t>
            </w:r>
          </w:p>
        </w:tc>
      </w:tr>
      <w:tr>
        <w:trPr/>
        <w:tc>
          <w:tcPr>
            <w:tcW w:w="2940" w:type="dxa"/>
            <w:vMerge w:val="continue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1562" w:type="dxa"/>
            <w:vAlign w:val="top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45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廿日市市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kern w:val="2"/>
                <w:sz w:val="22"/>
              </w:rPr>
              <w:t>下平良◇丁目○番△号</w:t>
            </w:r>
          </w:p>
        </w:tc>
      </w:tr>
      <w:tr>
        <w:trPr>
          <w:trHeight w:val="950" w:hRule="atLeast"/>
        </w:trPr>
        <w:tc>
          <w:tcPr>
            <w:tcW w:w="29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導入した省エネルギー設備</w:t>
            </w:r>
          </w:p>
        </w:tc>
        <w:tc>
          <w:tcPr>
            <w:tcW w:w="6067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left="0" w:leftChars="0" w:right="0" w:rightChars="0" w:firstLineChars="0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" behindDoc="0" locked="0" layoutInCell="1" hidden="0" allowOverlap="1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1270</wp:posOffset>
                      </wp:positionV>
                      <wp:extent cx="677545" cy="257175"/>
                      <wp:effectExtent l="635" t="635" r="29845" b="1079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/>
                            <wps:spPr>
                              <a:xfrm>
                                <a:off x="0" y="0"/>
                                <a:ext cx="677545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z-index:3;height:20.25pt;mso-wrap-distance-left:16pt;width:53.35pt;mso-wrap-distance-top:0pt;mso-position-horizontal-relative:text;position:absolute;margin-top:0.1pt;margin-left:51.95pt;mso-position-vertical-relative:text;mso-wrap-distance-bottom:0pt;mso-wrap-distance-right:16pt;" o:spid="_x0000_s1029" o:allowincell="t" o:allowoverlap="t" filled="f" stroked="t" strokecolor="#ff0000" strokeweight="1.5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4" behindDoc="0" locked="0" layoutInCell="1" hidden="0" allowOverlap="1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1270</wp:posOffset>
                      </wp:positionV>
                      <wp:extent cx="677545" cy="257175"/>
                      <wp:effectExtent l="635" t="635" r="29845" b="10795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/>
                            <wps:spPr>
                              <a:xfrm>
                                <a:off x="0" y="0"/>
                                <a:ext cx="677545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z-index:4;height:20.25pt;mso-wrap-distance-left:16pt;width:53.35pt;mso-wrap-distance-top:0pt;mso-position-horizontal-relative:text;position:absolute;margin-top:0.1pt;margin-left:184.8pt;mso-position-vertical-relative:text;mso-wrap-distance-bottom:0pt;mso-wrap-distance-right:16pt;" o:spid="_x0000_s1030" o:allowincell="t" o:allowoverlap="t" filled="f" stroked="t" strokecolor="#ff0000" strokeweight="1.5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高効率空調機器　　／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高効率照明機器</w:t>
            </w:r>
          </w:p>
          <w:p>
            <w:pPr>
              <w:pStyle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高効率給湯器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／　　高機能換気設備</w:t>
            </w:r>
          </w:p>
        </w:tc>
      </w:tr>
      <w:tr>
        <w:trPr>
          <w:trHeight w:val="388" w:hRule="atLeast"/>
        </w:trPr>
        <w:tc>
          <w:tcPr>
            <w:tcW w:w="29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補助金交付額</w:t>
            </w:r>
          </w:p>
        </w:tc>
        <w:tc>
          <w:tcPr>
            <w:tcW w:w="606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1340" w:rightChars="638"/>
              <w:jc w:val="right"/>
              <w:rPr>
                <w:rFonts w:hint="eastAsia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２，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0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００，０００</w:t>
            </w:r>
            <w:r>
              <w:rPr>
                <w:rFonts w:hint="eastAsia"/>
                <w:sz w:val="22"/>
              </w:rPr>
              <w:t>円</w:t>
            </w:r>
          </w:p>
        </w:tc>
      </w:tr>
      <w:tr>
        <w:trPr/>
        <w:tc>
          <w:tcPr>
            <w:tcW w:w="29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設備稼働年月日</w:t>
            </w:r>
          </w:p>
        </w:tc>
        <w:tc>
          <w:tcPr>
            <w:tcW w:w="6067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1340" w:rightChars="638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１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</w:tr>
    </w:tbl>
    <w:p>
      <w:pPr>
        <w:pStyle w:val="0"/>
        <w:ind w:left="175" w:hanging="153" w:hangingChars="73"/>
        <w:jc w:val="both"/>
        <w:rPr>
          <w:rFonts w:hint="default"/>
          <w:sz w:val="24"/>
        </w:rPr>
      </w:pPr>
    </w:p>
    <w:p>
      <w:pPr>
        <w:pStyle w:val="0"/>
        <w:ind w:left="175" w:hanging="153" w:hangingChars="73"/>
        <w:jc w:val="both"/>
        <w:rPr>
          <w:rFonts w:hint="default"/>
          <w:sz w:val="24"/>
        </w:rPr>
      </w:pPr>
      <w:r>
        <w:rPr>
          <w:rFonts w:hint="eastAsia"/>
          <w:sz w:val="24"/>
        </w:rPr>
        <w:t>２　導入効果</w:t>
      </w:r>
    </w:p>
    <w:tbl>
      <w:tblPr>
        <w:tblStyle w:val="28"/>
        <w:tblW w:w="9005" w:type="dxa"/>
        <w:tblInd w:w="205" w:type="dxa"/>
        <w:tblLayout w:type="fixed"/>
        <w:tblLook w:firstRow="1" w:lastRow="0" w:firstColumn="1" w:lastColumn="0" w:noHBand="0" w:noVBand="1" w:val="04A0"/>
      </w:tblPr>
      <w:tblGrid>
        <w:gridCol w:w="1801"/>
        <w:gridCol w:w="1801"/>
        <w:gridCol w:w="1801"/>
        <w:gridCol w:w="1801"/>
        <w:gridCol w:w="1801"/>
      </w:tblGrid>
      <w:tr>
        <w:trPr/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区分</w:t>
            </w:r>
          </w:p>
        </w:tc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導入前１年間</w:t>
            </w:r>
          </w:p>
        </w:tc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導入後１年目</w:t>
            </w:r>
          </w:p>
        </w:tc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導入後２年目</w:t>
            </w:r>
          </w:p>
        </w:tc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導入後３年目</w:t>
            </w:r>
          </w:p>
        </w:tc>
      </w:tr>
      <w:tr>
        <w:trPr/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二酸化炭素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排出量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※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80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２１．２</w:t>
            </w: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１５．４</w:t>
            </w: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１５．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0</w:t>
            </w: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．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1</w:t>
            </w: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</w:tr>
      <w:tr>
        <w:trPr/>
        <w:tc>
          <w:tcPr>
            <w:tcW w:w="18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二酸化炭素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削減量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single" w:color="auto" w:sz="4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80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５．８</w:t>
            </w: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6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．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2</w:t>
            </w: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6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．</w:t>
            </w:r>
            <w:r>
              <w:rPr>
                <w:rFonts w:hint="eastAsia" w:ascii="HG丸ｺﾞｼｯｸM-PRO" w:hAnsi="HG丸ｺﾞｼｯｸM-PRO" w:eastAsia="HG丸ｺﾞｼｯｸM-PRO"/>
                <w:color w:val="FF0000"/>
                <w:sz w:val="22"/>
              </w:rPr>
              <w:t>1</w:t>
            </w: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7" behindDoc="0" locked="0" layoutInCell="1" hidden="0" allowOverlap="1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12700</wp:posOffset>
                      </wp:positionV>
                      <wp:extent cx="0" cy="618490"/>
                      <wp:effectExtent l="635" t="0" r="29845" b="10160"/>
                      <wp:wrapNone/>
                      <wp:docPr id="103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オブジェクト 0"/>
                            <wps:cNvSpPr/>
                            <wps:spPr>
                              <a:xfrm>
                                <a:off x="0" y="0"/>
                                <a:ext cx="0" cy="61849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FF99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オブジェクト 0" style="z-index:7;mso-wrap-distance-top:0pt;mso-position-horizontal-relative:text;position:absolute;mso-position-vertical-relative:text;mso-wrap-distance-bottom:0pt;mso-wrap-distance-left:16pt;mso-wrap-distance-right:16pt;" o:spid="_x0000_s1031" o:allowincell="t" o:allowoverlap="t" filled="f" stroked="t" strokecolor="#ff9900" strokeweight="1.5pt" o:spt="20" from="24.950000000000003pt,1pt" to="24.950000000000003pt,49.7pt">
                      <v:fill/>
                      <v:stroke linestyle="single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</w:tr>
      <w:tr>
        <w:trPr>
          <w:trHeight w:val="2034" w:hRule="atLeast"/>
        </w:trPr>
        <w:tc>
          <w:tcPr>
            <w:tcW w:w="900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5" behindDoc="0" locked="0" layoutInCell="1" hidden="0" allowOverlap="1">
                      <wp:simplePos x="0" y="0"/>
                      <wp:positionH relativeFrom="column">
                        <wp:posOffset>4338955</wp:posOffset>
                      </wp:positionH>
                      <wp:positionV relativeFrom="paragraph">
                        <wp:posOffset>378460</wp:posOffset>
                      </wp:positionV>
                      <wp:extent cx="1600200" cy="558165"/>
                      <wp:effectExtent l="635" t="635" r="29845" b="10795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00200" cy="558165"/>
                              </a:xfrm>
                              <a:prstGeom prst="wedgeRectCallout">
                                <a:avLst>
                                  <a:gd name="adj1" fmla="val -19245"/>
                                  <a:gd name="adj2" fmla="val -8477"/>
                                </a:avLst>
                              </a:prstGeom>
                              <a:solidFill>
                                <a:srgbClr val="FFFF99"/>
                              </a:solidFill>
                              <a:ln w="19050" cmpd="sng">
                                <a:solidFill>
                                  <a:srgbClr val="FF99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HGPｺﾞｼｯｸM" w:hAnsi="HGPｺﾞｼｯｸM" w:eastAsia="HGPｺﾞｼｯｸM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HGPｺﾞｼｯｸM" w:hAnsi="HGPｺﾞｼｯｸM" w:eastAsia="HGPｺﾞｼｯｸM"/>
                                      <w:sz w:val="21"/>
                                    </w:rPr>
                                    <w:t>導入前</w:t>
                                  </w:r>
                                  <w:r>
                                    <w:rPr>
                                      <w:rFonts w:hint="eastAsia" w:ascii="HGPｺﾞｼｯｸM" w:hAnsi="HGPｺﾞｼｯｸM" w:eastAsia="HGPｺﾞｼｯｸM"/>
                                      <w:sz w:val="22"/>
                                    </w:rPr>
                                    <w:t>１年間</w:t>
                                  </w:r>
                                  <w:r>
                                    <w:rPr>
                                      <w:rFonts w:hint="eastAsia" w:ascii="HGPｺﾞｼｯｸM" w:hAnsi="HGPｺﾞｼｯｸM" w:eastAsia="HGPｺﾞｼｯｸM"/>
                                      <w:sz w:val="21"/>
                                    </w:rPr>
                                    <w:t>と比較</w:t>
                                  </w:r>
                                </w:p>
                              </w:txbxContent>
                            </wps:txbx>
                            <wps:bodyPr vertOverflow="overflow" horzOverflow="overflow"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オブジェクト 0" style="z-index:5;height:43.95pt;mso-wrap-distance-left:16pt;width:126pt;mso-wrap-distance-top:0pt;mso-position-horizontal-relative:text;position:absolute;margin-top:29.8pt;margin-left:341.65pt;mso-position-vertical-relative:text;mso-wrap-distance-bottom:0pt;mso-wrap-distance-right:16pt;v-text-anchor:middle;" o:spid="_x0000_s1032" o:allowincell="t" o:allowoverlap="t" filled="t" fillcolor="#ffff99" stroked="t" strokecolor="#ff9900" strokeweight="1.5pt" o:spt="61" type="#_x0000_t61" adj="6643,8969">
                      <v:fill/>
                      <v:stroke linestyle="single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HGPｺﾞｼｯｸM" w:hAnsi="HGPｺﾞｼｯｸM" w:eastAsia="HGPｺﾞｼｯｸM"/>
                                <w:sz w:val="22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sz w:val="21"/>
                              </w:rPr>
                              <w:t>導入前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sz w:val="22"/>
                              </w:rPr>
                              <w:t>１年間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sz w:val="21"/>
                              </w:rPr>
                              <w:t>と比較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8" behindDoc="0" locked="0" layoutInCell="1" hidden="0" allowOverlap="1">
                      <wp:simplePos x="0" y="0"/>
                      <wp:positionH relativeFrom="column">
                        <wp:posOffset>4272915</wp:posOffset>
                      </wp:positionH>
                      <wp:positionV relativeFrom="paragraph">
                        <wp:posOffset>-240030</wp:posOffset>
                      </wp:positionV>
                      <wp:extent cx="534035" cy="618490"/>
                      <wp:effectExtent l="635" t="635" r="29845" b="10795"/>
                      <wp:wrapNone/>
                      <wp:docPr id="1033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オブジェクト 0"/>
                            <wps:cNvSpPr/>
                            <wps:spPr>
                              <a:xfrm>
                                <a:off x="0" y="0"/>
                                <a:ext cx="534035" cy="61849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FF99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オブジェクト 0" style="z-index:8;mso-wrap-distance-top:0pt;mso-position-horizontal-relative:text;position:absolute;mso-position-vertical-relative:text;mso-wrap-distance-bottom:0pt;mso-wrap-distance-left:16pt;mso-wrap-distance-right:16pt;" o:spid="_x0000_s1033" o:allowincell="t" o:allowoverlap="t" filled="f" stroked="t" strokecolor="#ff9900" strokeweight="1.5pt" o:spt="20" from="336.45000000000005pt,-18.900000000000002pt" to="378.5pt,29.8pt">
                      <v:fill/>
                      <v:stroke linestyle="single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6" behindDoc="0" locked="0" layoutInCell="1" hidden="0" allowOverlap="1">
                      <wp:simplePos x="0" y="0"/>
                      <wp:positionH relativeFrom="column">
                        <wp:posOffset>3288665</wp:posOffset>
                      </wp:positionH>
                      <wp:positionV relativeFrom="paragraph">
                        <wp:posOffset>-240030</wp:posOffset>
                      </wp:positionV>
                      <wp:extent cx="1317625" cy="618490"/>
                      <wp:effectExtent l="635" t="635" r="29845" b="10795"/>
                      <wp:wrapNone/>
                      <wp:docPr id="1034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4" name="オブジェクト 0"/>
                            <wps:cNvSpPr/>
                            <wps:spPr>
                              <a:xfrm>
                                <a:off x="0" y="0"/>
                                <a:ext cx="1317625" cy="61849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FF99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オブジェクト 0" style="z-index:6;mso-wrap-distance-top:0pt;mso-position-horizontal-relative:text;position:absolute;mso-position-vertical-relative:text;mso-wrap-distance-bottom:0pt;mso-wrap-distance-left:16pt;mso-wrap-distance-right:16pt;" o:spid="_x0000_s1034" o:allowincell="t" o:allowoverlap="t" filled="f" stroked="t" strokecolor="#ff9900" strokeweight="1.5pt" o:spt="20" from="258.95pt,-18.900000000000002pt" to="362.70000000000005pt,29.8pt">
                      <v:fill/>
                      <v:stroke linestyle="single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 w:ascii="ＭＳ ゴシック" w:hAnsi="ＭＳ ゴシック" w:eastAsia="ＭＳ ゴシック"/>
                <w:sz w:val="20"/>
              </w:rPr>
              <w:t>（二酸化炭素削減量がマイナスとなった場合は、本欄に理由を記入してください。）</w:t>
            </w:r>
          </w:p>
        </w:tc>
      </w:tr>
    </w:tbl>
    <w:p>
      <w:pPr>
        <w:pStyle w:val="0"/>
        <w:ind w:leftChars="0" w:hanging="418" w:hangingChars="190"/>
        <w:jc w:val="both"/>
        <w:rPr>
          <w:rFonts w:hint="default"/>
          <w:sz w:val="22"/>
        </w:rPr>
      </w:pPr>
      <w:r>
        <w:rPr>
          <w:rFonts w:hint="eastAsia"/>
          <w:sz w:val="22"/>
        </w:rPr>
        <w:t>　※　電気、ガス等の月別使用量を基に、省エネルギー設備導入効果計算シートを活用するなどして、年毎の二酸化炭素排出量を計算してください。</w:t>
      </w:r>
    </w:p>
    <w:p>
      <w:pPr>
        <w:pStyle w:val="0"/>
        <w:ind w:left="175" w:hanging="153" w:hangingChars="73"/>
        <w:jc w:val="both"/>
        <w:rPr>
          <w:rFonts w:hint="default"/>
          <w:sz w:val="24"/>
        </w:rPr>
      </w:pPr>
    </w:p>
    <w:p>
      <w:pPr>
        <w:pStyle w:val="0"/>
        <w:ind w:left="175" w:hanging="153" w:hangingChars="73"/>
        <w:jc w:val="both"/>
        <w:rPr>
          <w:rFonts w:hint="default"/>
          <w:sz w:val="24"/>
        </w:rPr>
      </w:pPr>
      <w:r>
        <w:rPr>
          <w:rFonts w:hint="eastAsia"/>
          <w:sz w:val="24"/>
        </w:rPr>
        <w:t>備考　用紙の大きさは、日本産業規格Ａ列４番とする。</w:t>
      </w:r>
    </w:p>
    <w:sectPr>
      <w:headerReference r:id="rId5" w:type="default"/>
      <w:pgSz w:w="11906" w:h="16838"/>
      <w:pgMar w:top="1701" w:right="1276" w:bottom="1134" w:left="1418" w:header="851" w:footer="567" w:gutter="0"/>
      <w:cols w:space="720"/>
      <w:textDirection w:val="lrTb"/>
      <w:docGrid w:type="linesAndChars" w:linePitch="38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ingLiU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icrosoft YaHei U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icrosoft JhengHei UI Light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ngLiU-Ext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SimSun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 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 Semibold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明朝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ngLiU_HKSCS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icrosoft YaHei UI Light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icrosoft JhengHei U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游明朝 Demibold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明朝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GulimCh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ﾌﾟﾚｾﾞﾝｽE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IPAmj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icrosoft YaHei Light">
    <w:panose1 w:val="00000000000000000000"/>
    <w:charset w:val="86"/>
    <w:family w:val="swiss"/>
    <w:notTrueType/>
    <w:pitch w:val="variable"/>
    <w:sig w:usb0="00000000" w:usb1="00000000" w:usb2="00000000" w:usb3="00000000" w:csb0="010004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Dotum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algun Gothic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PMingLi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Ebrima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Microsoft Sans Serif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lfae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Palatino Linotype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aettenschweiler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ook Antiqu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Corbe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Leelawadee UI Semiligh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arlett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Microsoft PhagsP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Nirmala UI Semiligh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itka Subheading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Segoe Script">
    <w:panose1 w:val="00000000000000000000"/>
    <w:charset w:val="00"/>
    <w:family w:val="script"/>
    <w:notTrueType/>
    <w:pitch w:val="variable"/>
    <w:sig w:usb0="00000000" w:usb1="00000000" w:usb2="00000000" w:usb3="00000000" w:csb0="FF000000" w:csb1="00000000"/>
  </w:font>
  <w:font w:name="Microsoft JhengHe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Arial Black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ゴシック Mediu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  <w:bdr w:val="single" w:color="auto" w:sz="4" w:space="0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40"/>
  <w:defaultTableStyle w:val="28"/>
  <w:drawingGridHorizontalSpacing w:val="210"/>
  <w:drawingGridVerticalSpacing w:val="19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4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  <w:qFormat/>
    <w:rPr>
      <w:rFonts w:ascii="ＭＳ 明朝" w:hAnsi="ＭＳ 明朝" w:eastAsia="ＭＳ 明朝"/>
      <w:kern w:val="2"/>
      <w:sz w:val="24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qFormat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qFormat/>
    <w:rPr>
      <w:rFonts w:ascii="Arial" w:hAnsi="Arial" w:eastAsia="ＭＳ ゴシック"/>
      <w:kern w:val="2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294</TotalTime>
  <Pages>1</Pages>
  <Words>20</Words>
  <Characters>531</Characters>
  <Application>JUST Note</Application>
  <Lines>76</Lines>
  <Paragraphs>49</Paragraphs>
  <CharactersWithSpaces>640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shirota tsudumi 2826</cp:lastModifiedBy>
  <cp:lastPrinted>2021-04-16T05:26:06Z</cp:lastPrinted>
  <dcterms:created xsi:type="dcterms:W3CDTF">2019-07-11T13:10:00Z</dcterms:created>
  <dcterms:modified xsi:type="dcterms:W3CDTF">2026-07-22T06:34:00Z</dcterms:modified>
  <cp:revision>27</cp:revision>
</cp:coreProperties>
</file>