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-256" w:rightChars="-122"/>
        <w:jc w:val="left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様式第５号（第７条関係）</w:t>
      </w:r>
    </w:p>
    <w:p>
      <w:pPr>
        <w:pStyle w:val="0"/>
        <w:jc w:val="left"/>
        <w:rPr>
          <w:rFonts w:hint="default"/>
          <w:color w:val="auto"/>
          <w:sz w:val="22"/>
        </w:rPr>
      </w:pPr>
    </w:p>
    <w:p>
      <w:pPr>
        <w:pStyle w:val="0"/>
        <w:jc w:val="center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導入計画書（省エネ設備）</w:t>
      </w:r>
    </w:p>
    <w:p>
      <w:pPr>
        <w:pStyle w:val="0"/>
        <w:jc w:val="both"/>
        <w:rPr>
          <w:rFonts w:hint="default"/>
          <w:color w:val="auto"/>
          <w:sz w:val="22"/>
        </w:rPr>
      </w:pPr>
    </w:p>
    <w:p>
      <w:pPr>
        <w:pStyle w:val="0"/>
        <w:jc w:val="both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2"/>
        </w:rPr>
        <w:t>１　更新予定の補助対象設備　　　　　　</w:t>
      </w:r>
      <w:r>
        <w:rPr>
          <w:rFonts w:hint="eastAsia"/>
          <w:color w:val="auto"/>
          <w:sz w:val="24"/>
        </w:rPr>
        <w:t>　　　　　　　　　</w:t>
      </w:r>
      <w:r>
        <w:rPr>
          <w:rFonts w:hint="eastAsia"/>
          <w:color w:val="auto"/>
          <w:sz w:val="20"/>
        </w:rPr>
        <w:t>（該当する□に✓してください。）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40"/>
        <w:gridCol w:w="6300"/>
      </w:tblGrid>
      <w:tr>
        <w:trPr>
          <w:trHeight w:val="510" w:hRule="atLeast"/>
        </w:trPr>
        <w:tc>
          <w:tcPr>
            <w:tcW w:w="304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導入設備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要件</w:t>
            </w:r>
          </w:p>
        </w:tc>
      </w:tr>
      <w:tr>
        <w:trPr>
          <w:trHeight w:val="655" w:hRule="atLeast"/>
        </w:trPr>
        <w:tc>
          <w:tcPr>
            <w:tcW w:w="3040" w:type="dxa"/>
            <w:vAlign w:val="top"/>
          </w:tcPr>
          <w:p>
            <w:pPr>
              <w:pStyle w:val="0"/>
              <w:ind w:left="0" w:leftChars="0" w:right="0" w:rightChars="0" w:firstLine="220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□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b w:val="1"/>
                <w:color w:val="auto"/>
                <w:sz w:val="22"/>
              </w:rPr>
              <w:t>高効率空調機器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ind w:left="0" w:leftChars="0" w:right="0" w:rightChars="0" w:hanging="210" w:hanging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□従来の空調機器等に対して、</w:t>
            </w:r>
            <w:r>
              <w:rPr>
                <w:rFonts w:hint="eastAsia"/>
                <w:color w:val="auto"/>
                <w:sz w:val="21"/>
              </w:rPr>
              <w:t>30</w:t>
            </w:r>
            <w:r>
              <w:rPr>
                <w:rFonts w:hint="eastAsia"/>
                <w:color w:val="auto"/>
                <w:sz w:val="21"/>
              </w:rPr>
              <w:t>％以上省</w:t>
            </w:r>
            <w:r>
              <w:rPr>
                <w:rFonts w:hint="eastAsia"/>
                <w:color w:val="auto"/>
                <w:sz w:val="21"/>
              </w:rPr>
              <w:t>CO</w:t>
            </w:r>
            <w:r>
              <w:rPr>
                <w:rFonts w:hint="eastAsia"/>
                <w:color w:val="auto"/>
                <w:sz w:val="21"/>
              </w:rPr>
              <w:t>₂効果が得られる機器への更新であること。</w:t>
            </w:r>
          </w:p>
        </w:tc>
      </w:tr>
      <w:tr>
        <w:trPr>
          <w:trHeight w:val="2296" w:hRule="atLeast"/>
        </w:trPr>
        <w:tc>
          <w:tcPr>
            <w:tcW w:w="3040" w:type="dxa"/>
            <w:vAlign w:val="top"/>
          </w:tcPr>
          <w:p>
            <w:pPr>
              <w:pStyle w:val="0"/>
              <w:ind w:left="430" w:leftChars="100" w:right="0" w:rightChars="0" w:hanging="220" w:hangingChars="100"/>
              <w:jc w:val="left"/>
              <w:rPr>
                <w:rFonts w:hint="eastAsia"/>
                <w:b w:val="1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auto"/>
                <w:sz w:val="22"/>
                <w:u w:val="none" w:color="auto"/>
              </w:rPr>
              <w:t>高効率照明機器</w:t>
            </w:r>
          </w:p>
          <w:p>
            <w:pPr>
              <w:pStyle w:val="0"/>
              <w:ind w:left="0" w:leftChars="0" w:right="0" w:rightChars="0" w:hanging="480" w:hangingChars="20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6300" w:type="dxa"/>
            <w:vAlign w:val="top"/>
          </w:tcPr>
          <w:p>
            <w:pPr>
              <w:pStyle w:val="0"/>
              <w:ind w:left="0" w:leftChars="0" w:right="0" w:rightChars="0" w:hanging="210" w:hangingChars="10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次の①及び②の要件を満たす</w:t>
            </w:r>
            <w:r>
              <w:rPr>
                <w:rFonts w:hint="eastAsia"/>
                <w:color w:val="auto"/>
                <w:sz w:val="21"/>
              </w:rPr>
              <w:t>LED</w:t>
            </w:r>
            <w:r>
              <w:rPr>
                <w:rFonts w:hint="eastAsia"/>
                <w:color w:val="auto"/>
                <w:sz w:val="21"/>
              </w:rPr>
              <w:t>への更新であること</w:t>
            </w:r>
            <w:r>
              <w:rPr>
                <w:rFonts w:hint="eastAsia"/>
                <w:color w:val="auto"/>
                <w:sz w:val="22"/>
              </w:rPr>
              <w:t>。</w:t>
            </w:r>
          </w:p>
          <w:p>
            <w:pPr>
              <w:pStyle w:val="0"/>
              <w:ind w:left="210" w:leftChars="50" w:right="0" w:rightChars="0" w:hanging="105" w:hangingChars="5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①次のいずれかの機能を有すること。</w:t>
            </w:r>
          </w:p>
          <w:p>
            <w:pPr>
              <w:pStyle w:val="0"/>
              <w:ind w:left="420" w:leftChars="100" w:right="0" w:rightChars="0" w:hanging="210" w:hanging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□</w:t>
            </w:r>
            <w:r>
              <w:rPr>
                <w:rFonts w:hint="eastAsia"/>
                <w:b w:val="1"/>
                <w:color w:val="auto"/>
                <w:sz w:val="18"/>
              </w:rPr>
              <w:t>スケジュール制御</w:t>
            </w:r>
            <w:r>
              <w:rPr>
                <w:rFonts w:hint="eastAsia"/>
                <w:color w:val="auto"/>
                <w:sz w:val="18"/>
              </w:rPr>
              <w:t>（予め設定したタイムスケジュールに従い、個別回路、グループ化又はパターン化した回路を自動的に点滅又は調光制御する機能）</w:t>
            </w:r>
          </w:p>
          <w:p>
            <w:pPr>
              <w:pStyle w:val="0"/>
              <w:ind w:left="420" w:leftChars="100" w:right="0" w:rightChars="0" w:hanging="210" w:hanging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□</w:t>
            </w:r>
            <w:r>
              <w:rPr>
                <w:rFonts w:hint="eastAsia"/>
                <w:b w:val="1"/>
                <w:color w:val="auto"/>
                <w:sz w:val="18"/>
              </w:rPr>
              <w:t>明るさセンサによる一定照度制御</w:t>
            </w:r>
            <w:r>
              <w:rPr>
                <w:rFonts w:hint="eastAsia"/>
                <w:color w:val="auto"/>
                <w:sz w:val="18"/>
              </w:rPr>
              <w:t>（明るさセンサからの信号により、予め</w:t>
            </w:r>
            <w:bookmarkStart w:id="0" w:name="_GoBack"/>
            <w:bookmarkEnd w:id="0"/>
            <w:r>
              <w:rPr>
                <w:rFonts w:hint="eastAsia"/>
                <w:color w:val="auto"/>
                <w:sz w:val="18"/>
              </w:rPr>
              <w:t>設定した照度に調光制御する機能）</w:t>
            </w:r>
          </w:p>
          <w:p>
            <w:pPr>
              <w:pStyle w:val="0"/>
              <w:ind w:left="420" w:leftChars="100" w:right="0" w:rightChars="0" w:hanging="210" w:hanging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□</w:t>
            </w:r>
            <w:r>
              <w:rPr>
                <w:rFonts w:hint="eastAsia"/>
                <w:b w:val="1"/>
                <w:color w:val="auto"/>
                <w:sz w:val="18"/>
              </w:rPr>
              <w:t>在</w:t>
            </w:r>
            <w:r>
              <w:rPr>
                <w:rFonts w:hint="eastAsia"/>
                <w:b w:val="1"/>
                <w:color w:val="auto"/>
                <w:sz w:val="18"/>
              </w:rPr>
              <w:t>/</w:t>
            </w:r>
            <w:r>
              <w:rPr>
                <w:rFonts w:hint="eastAsia"/>
                <w:b w:val="1"/>
                <w:color w:val="auto"/>
                <w:sz w:val="18"/>
              </w:rPr>
              <w:t>不在調光制御</w:t>
            </w:r>
            <w:r>
              <w:rPr>
                <w:rFonts w:hint="eastAsia"/>
                <w:color w:val="auto"/>
                <w:sz w:val="18"/>
              </w:rPr>
              <w:t>（人感センサ又は微動検知人感センサからの信号により、予め設定した個別回路を点滅又は調光制御する機能）</w:t>
            </w:r>
          </w:p>
          <w:p>
            <w:pPr>
              <w:pStyle w:val="0"/>
              <w:ind w:left="0" w:leftChars="0" w:right="0" w:rightChars="0" w:firstLine="105" w:firstLineChars="5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②固有エネルギー消費効率（</w:t>
            </w:r>
            <w:r>
              <w:rPr>
                <w:rFonts w:hint="eastAsia"/>
                <w:color w:val="auto"/>
                <w:sz w:val="21"/>
              </w:rPr>
              <w:t>lm/W</w:t>
            </w:r>
            <w:r>
              <w:rPr>
                <w:rFonts w:hint="eastAsia"/>
                <w:color w:val="auto"/>
                <w:sz w:val="21"/>
              </w:rPr>
              <w:t>）について、次のいずれかを</w:t>
            </w:r>
          </w:p>
          <w:p>
            <w:pPr>
              <w:pStyle w:val="0"/>
              <w:ind w:left="0" w:leftChars="0" w:right="0" w:rightChars="0" w:firstLine="210" w:firstLineChars="10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満たすこと。</w:t>
            </w:r>
          </w:p>
          <w:p>
            <w:pPr>
              <w:pStyle w:val="0"/>
              <w:ind w:left="0" w:leftChars="0" w:right="0" w:rightChars="0" w:firstLine="21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□光源色が昼光色・昼白色・白色の場合：</w:t>
            </w:r>
            <w:r>
              <w:rPr>
                <w:rFonts w:hint="eastAsia"/>
                <w:color w:val="auto"/>
                <w:sz w:val="18"/>
              </w:rPr>
              <w:t>100</w:t>
            </w:r>
            <w:r>
              <w:rPr>
                <w:rFonts w:hint="eastAsia"/>
                <w:color w:val="auto"/>
                <w:sz w:val="18"/>
              </w:rPr>
              <w:t>以上</w:t>
            </w:r>
          </w:p>
          <w:p>
            <w:pPr>
              <w:pStyle w:val="0"/>
              <w:ind w:left="0" w:leftChars="0" w:right="0" w:rightChars="0"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□光源色が温白色・電球色の場合：</w:t>
            </w:r>
            <w:r>
              <w:rPr>
                <w:rFonts w:hint="eastAsia"/>
                <w:color w:val="auto"/>
                <w:sz w:val="18"/>
              </w:rPr>
              <w:t>50</w:t>
            </w:r>
            <w:r>
              <w:rPr>
                <w:rFonts w:hint="eastAsia"/>
                <w:color w:val="auto"/>
                <w:sz w:val="18"/>
              </w:rPr>
              <w:t>以上</w:t>
            </w:r>
          </w:p>
        </w:tc>
      </w:tr>
      <w:tr>
        <w:trPr>
          <w:trHeight w:val="656" w:hRule="atLeast"/>
        </w:trPr>
        <w:tc>
          <w:tcPr>
            <w:tcW w:w="3040" w:type="dxa"/>
            <w:vAlign w:val="top"/>
          </w:tcPr>
          <w:p>
            <w:pPr>
              <w:pStyle w:val="0"/>
              <w:spacing w:before="0" w:beforeLines="0" w:beforeAutospacing="0" w:after="0" w:afterLines="0" w:afterAutospacing="0" w:line="240" w:lineRule="atLeast"/>
              <w:ind w:left="0" w:leftChars="0" w:right="0" w:rightChars="0" w:firstLine="220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auto"/>
                <w:sz w:val="22"/>
                <w:u w:val="none" w:color="auto"/>
              </w:rPr>
              <w:t>□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auto"/>
                <w:sz w:val="22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auto"/>
                <w:sz w:val="22"/>
                <w:u w:val="none" w:color="auto"/>
              </w:rPr>
              <w:t>高効率給湯器</w:t>
            </w: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6300" w:type="dxa"/>
            <w:vAlign w:val="top"/>
          </w:tcPr>
          <w:p>
            <w:pPr>
              <w:pStyle w:val="0"/>
              <w:ind w:left="0" w:leftChars="0" w:right="0" w:rightChars="0" w:hanging="210" w:hanging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□従来の給湯機器等に対して、</w:t>
            </w:r>
            <w:r>
              <w:rPr>
                <w:rFonts w:hint="eastAsia"/>
                <w:color w:val="auto"/>
                <w:sz w:val="21"/>
              </w:rPr>
              <w:t>30</w:t>
            </w:r>
            <w:r>
              <w:rPr>
                <w:rFonts w:hint="eastAsia"/>
                <w:color w:val="auto"/>
                <w:sz w:val="21"/>
              </w:rPr>
              <w:t>％以上省</w:t>
            </w:r>
            <w:r>
              <w:rPr>
                <w:rFonts w:hint="eastAsia"/>
                <w:color w:val="auto"/>
                <w:sz w:val="21"/>
              </w:rPr>
              <w:t>CO</w:t>
            </w:r>
            <w:r>
              <w:rPr>
                <w:rFonts w:hint="eastAsia"/>
                <w:color w:val="auto"/>
                <w:sz w:val="21"/>
              </w:rPr>
              <w:t>₂効果が得られる機器への更新であること。</w:t>
            </w:r>
          </w:p>
        </w:tc>
      </w:tr>
      <w:tr>
        <w:trPr>
          <w:trHeight w:val="1290" w:hRule="atLeast"/>
        </w:trPr>
        <w:tc>
          <w:tcPr>
            <w:tcW w:w="3040" w:type="dxa"/>
            <w:vAlign w:val="top"/>
          </w:tcPr>
          <w:p>
            <w:pPr>
              <w:pStyle w:val="0"/>
              <w:spacing w:before="0" w:beforeLines="0" w:beforeAutospacing="0" w:after="0" w:afterLines="0" w:afterAutospacing="0" w:line="240" w:lineRule="atLeast"/>
              <w:ind w:left="0" w:leftChars="0" w:right="0" w:rightChars="0" w:firstLine="220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auto"/>
                <w:sz w:val="22"/>
                <w:u w:val="none" w:color="auto"/>
              </w:rPr>
              <w:t>□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auto"/>
                <w:sz w:val="22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auto"/>
                <w:sz w:val="22"/>
                <w:u w:val="none" w:color="auto"/>
              </w:rPr>
              <w:t>高機能換気設備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平時に活用するものであり、次の要件を全て満たすこと。</w:t>
            </w:r>
          </w:p>
          <w:p>
            <w:pPr>
              <w:pStyle w:val="0"/>
              <w:ind w:left="0" w:leftChars="0" w:right="0" w:rightChars="0" w:firstLine="90" w:firstLineChars="5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□全熱交換器（</w:t>
            </w:r>
            <w:r>
              <w:rPr>
                <w:rFonts w:hint="eastAsia"/>
                <w:color w:val="auto"/>
                <w:sz w:val="18"/>
              </w:rPr>
              <w:t>JIS B 8628</w:t>
            </w:r>
            <w:r>
              <w:rPr>
                <w:rFonts w:hint="eastAsia"/>
                <w:color w:val="auto"/>
                <w:sz w:val="18"/>
              </w:rPr>
              <w:t>に規定されるもの）であること</w:t>
            </w:r>
          </w:p>
          <w:p>
            <w:pPr>
              <w:pStyle w:val="0"/>
              <w:ind w:left="0" w:leftChars="0" w:right="0" w:rightChars="0" w:firstLine="90" w:firstLineChars="5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□必要換気量（１人当たり毎時</w:t>
            </w:r>
            <w:r>
              <w:rPr>
                <w:rFonts w:hint="eastAsia"/>
                <w:color w:val="auto"/>
                <w:sz w:val="18"/>
              </w:rPr>
              <w:t>30</w:t>
            </w:r>
            <w:r>
              <w:rPr>
                <w:rFonts w:hint="eastAsia"/>
                <w:color w:val="auto"/>
                <w:sz w:val="18"/>
              </w:rPr>
              <w:t>㎥以上）を確保すること</w:t>
            </w:r>
          </w:p>
          <w:p>
            <w:pPr>
              <w:pStyle w:val="0"/>
              <w:ind w:left="0" w:leftChars="0" w:right="0" w:rightChars="0" w:firstLine="90" w:firstLineChars="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□熱交換率</w:t>
            </w:r>
            <w:r>
              <w:rPr>
                <w:rFonts w:hint="eastAsia"/>
                <w:color w:val="auto"/>
                <w:sz w:val="18"/>
              </w:rPr>
              <w:t>40</w:t>
            </w:r>
            <w:r>
              <w:rPr>
                <w:rFonts w:hint="eastAsia"/>
                <w:color w:val="auto"/>
                <w:sz w:val="18"/>
              </w:rPr>
              <w:t>％以上（</w:t>
            </w:r>
            <w:r>
              <w:rPr>
                <w:rFonts w:hint="eastAsia"/>
                <w:color w:val="auto"/>
                <w:sz w:val="18"/>
              </w:rPr>
              <w:t>JIS B 8639</w:t>
            </w:r>
            <w:r>
              <w:rPr>
                <w:rFonts w:hint="eastAsia"/>
                <w:color w:val="auto"/>
                <w:sz w:val="18"/>
              </w:rPr>
              <w:t>で規定）であること</w:t>
            </w:r>
          </w:p>
        </w:tc>
      </w:tr>
    </w:tbl>
    <w:p>
      <w:pPr>
        <w:pStyle w:val="0"/>
        <w:spacing w:before="0" w:beforeLines="0" w:beforeAutospacing="0" w:after="0" w:afterLines="0" w:afterAutospacing="0" w:line="240" w:lineRule="atLeast"/>
        <w:ind w:left="0" w:leftChars="0" w:right="0" w:rightChars="0" w:firstLine="240" w:firstLineChars="100"/>
        <w:jc w:val="left"/>
        <w:rPr>
          <w:rFonts w:hint="default"/>
          <w:color w:val="auto"/>
          <w:sz w:val="21"/>
        </w:rPr>
      </w:pP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340"/>
      </w:tblGrid>
      <w:tr>
        <w:trPr>
          <w:trHeight w:val="550" w:hRule="atLeast"/>
        </w:trPr>
        <w:tc>
          <w:tcPr>
            <w:tcW w:w="934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導入設備の概要（メーカー</w:t>
            </w:r>
            <w:r>
              <w:rPr>
                <w:rFonts w:hint="eastAsia"/>
                <w:color w:val="auto"/>
                <w:sz w:val="22"/>
              </w:rPr>
              <w:t>/</w:t>
            </w:r>
            <w:r>
              <w:rPr>
                <w:rFonts w:hint="eastAsia"/>
                <w:color w:val="auto"/>
                <w:sz w:val="22"/>
              </w:rPr>
              <w:t>型式番号</w:t>
            </w:r>
            <w:r>
              <w:rPr>
                <w:rFonts w:hint="eastAsia"/>
                <w:color w:val="auto"/>
                <w:sz w:val="22"/>
              </w:rPr>
              <w:t>/</w:t>
            </w:r>
            <w:r>
              <w:rPr>
                <w:rFonts w:hint="eastAsia"/>
                <w:color w:val="auto"/>
                <w:sz w:val="22"/>
              </w:rPr>
              <w:t>台数）</w:t>
            </w:r>
          </w:p>
        </w:tc>
      </w:tr>
      <w:tr>
        <w:trPr>
          <w:trHeight w:val="4790" w:hRule="atLeast"/>
        </w:trPr>
        <w:tc>
          <w:tcPr>
            <w:tcW w:w="9340" w:type="dxa"/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jc w:val="lef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備考　用紙の大きさは、日本産業規格Ａ列４番とする。</w:t>
      </w:r>
    </w:p>
    <w:p>
      <w:pPr>
        <w:pStyle w:val="0"/>
        <w:spacing w:before="0" w:beforeLines="0" w:beforeAutospacing="0" w:after="0" w:afterLines="0" w:afterAutospacing="0" w:line="240" w:lineRule="atLeast"/>
        <w:ind w:left="0" w:leftChars="0" w:right="0" w:rightChars="0" w:firstLine="240" w:firstLineChars="10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（裏面）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２　省エネルギー設備導入による省</w:t>
      </w:r>
      <w:r>
        <w:rPr>
          <w:rFonts w:hint="eastAsia"/>
          <w:color w:val="auto"/>
          <w:sz w:val="24"/>
        </w:rPr>
        <w:t>CO</w:t>
      </w:r>
      <w:r>
        <w:rPr>
          <w:rFonts w:hint="eastAsia"/>
          <w:color w:val="auto"/>
          <w:sz w:val="24"/>
        </w:rPr>
        <w:t>₂効果等</w:t>
      </w:r>
    </w:p>
    <w:p>
      <w:pPr>
        <w:pStyle w:val="0"/>
        <w:ind w:left="0" w:leftChars="0" w:right="0" w:rightChars="0" w:hanging="240" w:hangingChars="100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（１）従来の機器による二酸化炭素排出量（年間）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340"/>
      </w:tblGrid>
      <w:tr>
        <w:trPr>
          <w:trHeight w:val="3334" w:hRule="atLeast"/>
        </w:trPr>
        <w:tc>
          <w:tcPr>
            <w:tcW w:w="9340" w:type="dxa"/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2"/>
              </w:rPr>
              <w:t>（算定根拠）</w:t>
            </w:r>
          </w:p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b w:val="1"/>
                <w:color w:val="auto"/>
                <w:sz w:val="24"/>
              </w:rPr>
              <w:t>（　　　　　　　　）ｔ</w:t>
            </w:r>
            <w:r>
              <w:rPr>
                <w:rFonts w:hint="eastAsia"/>
                <w:b w:val="1"/>
                <w:color w:val="auto"/>
                <w:sz w:val="24"/>
              </w:rPr>
              <w:t>-CO</w:t>
            </w:r>
            <w:r>
              <w:rPr>
                <w:rFonts w:hint="eastAsia"/>
                <w:b w:val="1"/>
                <w:color w:val="auto"/>
                <w:sz w:val="24"/>
              </w:rPr>
              <w:t>₂</w:t>
            </w:r>
            <w:r>
              <w:rPr>
                <w:rFonts w:hint="eastAsia"/>
                <w:b w:val="1"/>
                <w:color w:val="auto"/>
                <w:sz w:val="24"/>
              </w:rPr>
              <w:t>/</w:t>
            </w:r>
            <w:r>
              <w:rPr>
                <w:rFonts w:hint="eastAsia"/>
                <w:b w:val="1"/>
                <w:color w:val="auto"/>
                <w:sz w:val="24"/>
              </w:rPr>
              <w:t>年</w:t>
            </w:r>
          </w:p>
        </w:tc>
      </w:tr>
    </w:tbl>
    <w:p>
      <w:pPr>
        <w:pStyle w:val="0"/>
        <w:rPr>
          <w:rFonts w:hint="default"/>
          <w:color w:val="auto"/>
          <w:kern w:val="0"/>
          <w:sz w:val="24"/>
        </w:rPr>
      </w:pPr>
    </w:p>
    <w:p>
      <w:pPr>
        <w:pStyle w:val="0"/>
        <w:rPr>
          <w:rFonts w:hint="default"/>
          <w:color w:val="auto"/>
          <w:kern w:val="0"/>
          <w:sz w:val="24"/>
        </w:rPr>
      </w:pPr>
      <w:r>
        <w:rPr>
          <w:rFonts w:hint="eastAsia"/>
          <w:color w:val="auto"/>
          <w:kern w:val="0"/>
          <w:sz w:val="24"/>
        </w:rPr>
        <w:t>（２）導入を計画する機器による二酸化炭素排出量（年間）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340"/>
      </w:tblGrid>
      <w:tr>
        <w:trPr>
          <w:trHeight w:val="3380" w:hRule="atLeast"/>
        </w:trPr>
        <w:tc>
          <w:tcPr>
            <w:tcW w:w="9340" w:type="dxa"/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2"/>
              </w:rPr>
              <w:t>（算定根拠）</w:t>
            </w:r>
          </w:p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b w:val="1"/>
                <w:color w:val="auto"/>
                <w:sz w:val="24"/>
              </w:rPr>
              <w:t>（　　　　　　　　）ｔ</w:t>
            </w:r>
            <w:r>
              <w:rPr>
                <w:rFonts w:hint="eastAsia"/>
                <w:b w:val="1"/>
                <w:color w:val="auto"/>
                <w:sz w:val="24"/>
              </w:rPr>
              <w:t>-CO</w:t>
            </w:r>
            <w:r>
              <w:rPr>
                <w:rFonts w:hint="eastAsia"/>
                <w:b w:val="1"/>
                <w:color w:val="auto"/>
                <w:sz w:val="24"/>
              </w:rPr>
              <w:t>₂</w:t>
            </w:r>
            <w:r>
              <w:rPr>
                <w:rFonts w:hint="eastAsia"/>
                <w:b w:val="1"/>
                <w:color w:val="auto"/>
                <w:sz w:val="24"/>
              </w:rPr>
              <w:t>/</w:t>
            </w:r>
            <w:r>
              <w:rPr>
                <w:rFonts w:hint="eastAsia"/>
                <w:b w:val="1"/>
                <w:color w:val="auto"/>
                <w:sz w:val="24"/>
              </w:rPr>
              <w:t>年</w:t>
            </w:r>
          </w:p>
        </w:tc>
      </w:tr>
    </w:tbl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kern w:val="0"/>
          <w:sz w:val="24"/>
        </w:rPr>
        <w:t>（３）導入による削減効果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340"/>
      </w:tblGrid>
      <w:tr>
        <w:trPr>
          <w:trHeight w:val="914" w:hRule="atLeast"/>
        </w:trPr>
        <w:tc>
          <w:tcPr>
            <w:tcW w:w="9340" w:type="dxa"/>
            <w:vAlign w:val="center"/>
          </w:tcPr>
          <w:p>
            <w:pPr>
              <w:pStyle w:val="0"/>
              <w:ind w:left="0" w:leftChars="0" w:right="0" w:rightChars="0" w:firstLine="105" w:firstLineChars="50"/>
              <w:jc w:val="both"/>
              <w:rPr>
                <w:rFonts w:hint="default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二酸化炭素削減量　（１）－（２）　　　　　　…</w:t>
            </w:r>
            <w:r>
              <w:rPr>
                <w:rFonts w:hint="eastAsia"/>
                <w:b w:val="1"/>
                <w:color w:val="auto"/>
                <w:kern w:val="0"/>
                <w:sz w:val="24"/>
              </w:rPr>
              <w:t>（　　　　　　　　）</w:t>
            </w:r>
            <w:r>
              <w:rPr>
                <w:rFonts w:hint="eastAsia"/>
                <w:b w:val="1"/>
                <w:color w:val="auto"/>
                <w:sz w:val="24"/>
              </w:rPr>
              <w:t>ｔ</w:t>
            </w:r>
            <w:r>
              <w:rPr>
                <w:rFonts w:hint="eastAsia"/>
                <w:b w:val="1"/>
                <w:color w:val="auto"/>
                <w:sz w:val="24"/>
              </w:rPr>
              <w:t>-CO</w:t>
            </w:r>
            <w:r>
              <w:rPr>
                <w:rFonts w:hint="eastAsia"/>
                <w:b w:val="1"/>
                <w:color w:val="auto"/>
                <w:sz w:val="24"/>
              </w:rPr>
              <w:t>₂</w:t>
            </w:r>
            <w:r>
              <w:rPr>
                <w:rFonts w:hint="eastAsia"/>
                <w:b w:val="1"/>
                <w:color w:val="auto"/>
                <w:sz w:val="24"/>
              </w:rPr>
              <w:t>/</w:t>
            </w:r>
            <w:r>
              <w:rPr>
                <w:rFonts w:hint="eastAsia"/>
                <w:b w:val="1"/>
                <w:color w:val="auto"/>
                <w:sz w:val="24"/>
              </w:rPr>
              <w:t>年</w:t>
            </w:r>
          </w:p>
          <w:p>
            <w:pPr>
              <w:pStyle w:val="0"/>
              <w:ind w:left="0" w:leftChars="0" w:right="0" w:rightChars="0" w:firstLine="105" w:firstLineChars="5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削減率　（（１）－（２））÷（１）×１００％　…</w:t>
            </w:r>
            <w:r>
              <w:rPr>
                <w:rFonts w:hint="eastAsia"/>
                <w:b w:val="1"/>
                <w:color w:val="auto"/>
                <w:sz w:val="24"/>
              </w:rPr>
              <w:t>（　　　　　　　　）％</w:t>
            </w:r>
          </w:p>
        </w:tc>
      </w:tr>
    </w:tbl>
    <w:p>
      <w:pPr>
        <w:pStyle w:val="0"/>
        <w:rPr>
          <w:rFonts w:hint="default"/>
          <w:color w:val="auto"/>
          <w:kern w:val="0"/>
          <w:sz w:val="24"/>
        </w:rPr>
      </w:pPr>
    </w:p>
    <w:p>
      <w:pPr>
        <w:pStyle w:val="0"/>
        <w:rPr>
          <w:rFonts w:hint="default"/>
          <w:color w:val="auto"/>
          <w:kern w:val="0"/>
          <w:sz w:val="24"/>
        </w:rPr>
      </w:pPr>
      <w:r>
        <w:rPr>
          <w:rFonts w:hint="eastAsia"/>
          <w:color w:val="auto"/>
          <w:kern w:val="0"/>
          <w:sz w:val="24"/>
        </w:rPr>
        <w:t>（４）費用効率性（法定耐用年数累計）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340"/>
      </w:tblGrid>
      <w:tr>
        <w:trPr>
          <w:trHeight w:val="1680" w:hRule="atLeast"/>
        </w:trPr>
        <w:tc>
          <w:tcPr>
            <w:tcW w:w="9340" w:type="dxa"/>
            <w:vAlign w:val="top"/>
          </w:tcPr>
          <w:p>
            <w:pPr>
              <w:pStyle w:val="0"/>
              <w:ind w:leftChars="0" w:right="0" w:rightChars="0" w:firstLineChars="0"/>
              <w:jc w:val="lef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補助対象事業費（円）÷（二酸化炭素削減量（ｔ</w:t>
            </w:r>
            <w:r>
              <w:rPr>
                <w:rFonts w:hint="eastAsia"/>
                <w:color w:val="auto"/>
                <w:sz w:val="21"/>
              </w:rPr>
              <w:t>-CO</w:t>
            </w:r>
            <w:r>
              <w:rPr>
                <w:rFonts w:hint="eastAsia"/>
                <w:color w:val="auto"/>
                <w:sz w:val="21"/>
                <w:vertAlign w:val="subscript"/>
              </w:rPr>
              <w:t>2</w:t>
            </w:r>
            <w:r>
              <w:rPr>
                <w:rFonts w:hint="eastAsia"/>
                <w:color w:val="auto"/>
                <w:sz w:val="21"/>
              </w:rPr>
              <w:t>/</w:t>
            </w:r>
            <w:r>
              <w:rPr>
                <w:rFonts w:hint="eastAsia"/>
                <w:color w:val="auto"/>
                <w:sz w:val="21"/>
              </w:rPr>
              <w:t>年）×法定耐用年数（年））</w:t>
            </w:r>
          </w:p>
          <w:p>
            <w:pPr>
              <w:pStyle w:val="0"/>
              <w:ind w:left="0" w:leftChars="0" w:right="630" w:rightChars="300" w:firstLine="0" w:firstLineChars="0"/>
              <w:jc w:val="left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="0" w:leftChars="0" w:right="630" w:rightChars="300" w:firstLine="0" w:firstLineChars="0"/>
              <w:jc w:val="left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="0" w:leftChars="0" w:right="630" w:rightChars="300" w:firstLine="0" w:firstLineChars="0"/>
              <w:jc w:val="left"/>
              <w:rPr>
                <w:rFonts w:hint="eastAsia"/>
                <w:color w:val="auto"/>
                <w:sz w:val="21"/>
              </w:rPr>
            </w:pPr>
          </w:p>
          <w:p>
            <w:pPr>
              <w:pStyle w:val="0"/>
              <w:ind w:left="0" w:leftChars="0" w:right="210" w:rightChars="100" w:firstLine="0" w:firstLineChars="0"/>
              <w:jc w:val="righ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b w:val="1"/>
                <w:color w:val="auto"/>
                <w:sz w:val="21"/>
              </w:rPr>
              <w:t>…（　　　　　　　　）円</w:t>
            </w:r>
            <w:r>
              <w:rPr>
                <w:rFonts w:hint="eastAsia"/>
                <w:b w:val="1"/>
                <w:color w:val="auto"/>
                <w:sz w:val="21"/>
              </w:rPr>
              <w:t>/</w:t>
            </w:r>
            <w:r>
              <w:rPr>
                <w:rFonts w:hint="eastAsia"/>
                <w:b w:val="1"/>
                <w:color w:val="auto"/>
                <w:sz w:val="21"/>
              </w:rPr>
              <w:t>ｔ</w:t>
            </w:r>
            <w:r>
              <w:rPr>
                <w:rFonts w:hint="eastAsia"/>
                <w:b w:val="1"/>
                <w:color w:val="auto"/>
                <w:sz w:val="21"/>
              </w:rPr>
              <w:t>-CO</w:t>
            </w:r>
            <w:r>
              <w:rPr>
                <w:rFonts w:hint="eastAsia"/>
                <w:b w:val="1"/>
                <w:color w:val="auto"/>
                <w:sz w:val="21"/>
              </w:rPr>
              <w:t>₂</w:t>
            </w:r>
          </w:p>
          <w:p>
            <w:pPr>
              <w:pStyle w:val="0"/>
              <w:jc w:val="righ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kern w:val="0"/>
                <w:sz w:val="21"/>
              </w:rPr>
              <w:t>※</w:t>
            </w:r>
            <w:r>
              <w:rPr>
                <w:rFonts w:hint="eastAsia"/>
                <w:color w:val="auto"/>
                <w:kern w:val="0"/>
                <w:sz w:val="21"/>
              </w:rPr>
              <w:t>25</w:t>
            </w:r>
            <w:r>
              <w:rPr>
                <w:rFonts w:hint="eastAsia"/>
                <w:color w:val="auto"/>
                <w:kern w:val="0"/>
                <w:sz w:val="21"/>
              </w:rPr>
              <w:t>万円</w:t>
            </w:r>
            <w:r>
              <w:rPr>
                <w:rFonts w:hint="eastAsia"/>
                <w:color w:val="auto"/>
                <w:kern w:val="0"/>
                <w:sz w:val="21"/>
              </w:rPr>
              <w:t>/t-CO2</w:t>
            </w:r>
            <w:r>
              <w:rPr>
                <w:rFonts w:hint="eastAsia"/>
                <w:color w:val="auto"/>
                <w:kern w:val="0"/>
                <w:sz w:val="21"/>
              </w:rPr>
              <w:t>を超える場合は申請不可</w:t>
            </w:r>
          </w:p>
        </w:tc>
      </w:tr>
    </w:tbl>
    <w:p>
      <w:pPr>
        <w:pStyle w:val="0"/>
        <w:rPr>
          <w:rFonts w:hint="default"/>
          <w:color w:val="auto"/>
          <w:kern w:val="0"/>
          <w:sz w:val="24"/>
        </w:rPr>
      </w:pPr>
    </w:p>
    <w:sectPr>
      <w:headerReference r:id="rId5" w:type="default"/>
      <w:footerReference r:id="rId7" w:type="default"/>
      <w:footerReference r:id="rId6" w:type="first"/>
      <w:pgSz w:w="11906" w:h="16838"/>
      <w:pgMar w:top="608" w:right="1152" w:bottom="613" w:left="1304" w:header="284" w:footer="340" w:gutter="0"/>
      <w:cols w:space="720"/>
      <w:titlePg w:val="1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="0" w:leftChars="0" w:right="0" w:rightChars="0" w:firstLine="0" w:firstLineChars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9"/>
  <w:bordersDoNotSurroundHeader/>
  <w:bordersDoNotSurroundFooter/>
  <w:doNotTrackMoves/>
  <w:defaultTabStop w:val="840"/>
  <w:defaultTableStyle w:val="28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1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游ゴシック Light" w:hAnsi="游ゴシック Light" w:eastAsia="游ゴシック Light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1645</TotalTime>
  <Pages>2</Pages>
  <Words>25</Words>
  <Characters>886</Characters>
  <Application>JUST Note</Application>
  <Lines>78</Lines>
  <Paragraphs>41</Paragraphs>
  <CharactersWithSpaces>963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shirota tsudumi 2826</cp:lastModifiedBy>
  <cp:lastPrinted>2026-04-08T01:58:25Z</cp:lastPrinted>
  <dcterms:created xsi:type="dcterms:W3CDTF">2022-06-10T06:01:00Z</dcterms:created>
  <dcterms:modified xsi:type="dcterms:W3CDTF">2026-04-08T10:27:09Z</dcterms:modified>
  <cp:revision>140</cp:revision>
</cp:coreProperties>
</file>