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firstLineChars="0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様式第１０号（第１１条関係）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再生可能エネルギー発電設備撤去完了届出書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廿日市市再生可能エネルギー発電事業と地域との調和に関する条例第１６条第３項の規定により、必要書類を添えて、次のとおり届け出ます。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984"/>
        <w:gridCol w:w="6237"/>
      </w:tblGrid>
      <w:tr>
        <w:trPr>
          <w:trHeight w:val="35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53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廃止年月日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撤去完了年月日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発電設備の撤去方法及び処分方法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事業区域の跡地利用計画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bookmarkStart w:id="1" w:name="_Hlk160434220"/>
      <w:r>
        <w:rPr>
          <w:rFonts w:hint="eastAsia"/>
          <w:snapToGrid w:val="0"/>
          <w:sz w:val="20"/>
        </w:rPr>
        <w:t>　　</w:t>
      </w:r>
      <w:bookmarkEnd w:id="1"/>
      <w:r>
        <w:rPr>
          <w:rFonts w:hint="eastAsia"/>
          <w:snapToGrid w:val="0"/>
          <w:sz w:val="20"/>
        </w:rPr>
        <w:t>　　</w:t>
      </w:r>
    </w:p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265</Characters>
  <Application>JUST Note</Application>
  <Lines>82</Lines>
  <Paragraphs>27</Paragraphs>
  <CharactersWithSpaces>336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2026-01-18T12:57:00Z</dcterms:created>
  <dcterms:modified xsi:type="dcterms:W3CDTF">2026-03-31T01:37:49Z</dcterms:modified>
  <cp:revision>6</cp:revision>
</cp:coreProperties>
</file>