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rPr>
      </w:pPr>
      <w:r>
        <w:rPr>
          <w:rFonts w:hint="eastAsia"/>
          <w:color w:val="auto"/>
        </w:rPr>
        <w:t>蓄電池仕様確認チェックシート</w:t>
      </w:r>
    </w:p>
    <w:p>
      <w:pPr>
        <w:pStyle w:val="0"/>
        <w:jc w:val="center"/>
        <w:rPr>
          <w:rFonts w:hint="eastAsia"/>
          <w:color w:val="auto"/>
        </w:rPr>
      </w:pPr>
      <w:r>
        <w:rPr>
          <w:rFonts w:hint="eastAsia"/>
          <w:color w:val="auto"/>
        </w:rPr>
        <w:t>　　　　　</w:t>
      </w:r>
    </w:p>
    <w:p>
      <w:pPr>
        <w:pStyle w:val="0"/>
        <w:wordWrap w:val="0"/>
        <w:jc w:val="right"/>
        <w:rPr>
          <w:rFonts w:hint="eastAsia"/>
          <w:color w:val="auto"/>
        </w:rPr>
      </w:pPr>
      <w:r>
        <w:rPr>
          <w:rFonts w:hint="eastAsia"/>
          <w:color w:val="auto"/>
          <w:sz w:val="20"/>
          <w:u w:val="single" w:color="auto"/>
        </w:rPr>
        <w:t>事業者名　　　　　　　　　　　　</w:t>
      </w:r>
    </w:p>
    <w:p>
      <w:pPr>
        <w:pStyle w:val="0"/>
        <w:wordWrap w:val="0"/>
        <w:ind w:right="420" w:rightChars="200"/>
        <w:jc w:val="right"/>
        <w:rPr>
          <w:rFonts w:hint="eastAsia"/>
          <w:color w:val="auto"/>
        </w:rPr>
      </w:pPr>
      <w:r>
        <w:rPr>
          <w:rFonts w:hint="eastAsia"/>
          <w:color w:val="auto"/>
        </w:rPr>
        <w:t>　　　　</w:t>
      </w:r>
    </w:p>
    <w:tbl>
      <w:tblPr>
        <w:tblStyle w:val="23"/>
        <w:tblW w:w="9025" w:type="dxa"/>
        <w:jc w:val="left"/>
        <w:tblInd w:w="0" w:type="dxa"/>
        <w:tblLayout w:type="fixed"/>
        <w:tblLook w:firstRow="1" w:lastRow="0" w:firstColumn="1" w:lastColumn="0" w:noHBand="0" w:noVBand="1" w:val="04A0"/>
      </w:tblPr>
      <w:tblGrid>
        <w:gridCol w:w="754"/>
        <w:gridCol w:w="7221"/>
        <w:gridCol w:w="1050"/>
      </w:tblGrid>
      <w:tr>
        <w:trPr/>
        <w:tc>
          <w:tcPr>
            <w:tcW w:w="7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rPr>
                <w:rFonts w:hint="eastAsia"/>
              </w:rPr>
            </w:pPr>
            <w:r>
              <w:rPr>
                <w:rFonts w:hint="eastAsia"/>
                <w:b w:val="0"/>
              </w:rPr>
              <w:t>蓄電池の仕様について、</w:t>
            </w:r>
            <w:r>
              <w:rPr>
                <w:rFonts w:hint="eastAsia"/>
                <w:b w:val="0"/>
              </w:rPr>
              <w:t>(1)</w:t>
            </w:r>
            <w:r>
              <w:rPr>
                <w:rFonts w:hint="eastAsia"/>
                <w:b w:val="0"/>
              </w:rPr>
              <w:t>～</w:t>
            </w:r>
            <w:r>
              <w:rPr>
                <w:rFonts w:hint="eastAsia"/>
                <w:b w:val="0"/>
              </w:rPr>
              <w:t>(4)</w:t>
            </w:r>
            <w:r>
              <w:rPr>
                <w:rFonts w:hint="eastAsia"/>
                <w:b w:val="0"/>
              </w:rPr>
              <w:t>を満たすこと。</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spacing w:line="240" w:lineRule="auto"/>
              <w:jc w:val="both"/>
              <w:rPr>
                <w:rFonts w:hint="eastAsia"/>
                <w:sz w:val="16"/>
              </w:rPr>
            </w:pPr>
            <w:r>
              <w:rPr>
                <w:rFonts w:hint="eastAsia"/>
                <w:sz w:val="16"/>
              </w:rPr>
              <w:t>チェック欄</w:t>
            </w: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b w:val="0"/>
                <w:u w:val="single" w:color="auto"/>
              </w:rPr>
            </w:pPr>
            <w:r>
              <w:rPr>
                <w:rFonts w:hint="eastAsia"/>
                <w:b w:val="0"/>
                <w:u w:val="single" w:color="auto"/>
              </w:rPr>
              <w:t>(1)</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初期実効容量</w:t>
            </w:r>
            <w:r>
              <w:rPr>
                <w:rFonts w:hint="eastAsia"/>
                <w:b w:val="0"/>
                <w:vertAlign w:val="superscript"/>
              </w:rPr>
              <w:t>※１</w:t>
            </w:r>
            <w:r>
              <w:rPr>
                <w:rFonts w:hint="eastAsia"/>
                <w:b w:val="0"/>
              </w:rPr>
              <w:t>が</w:t>
            </w:r>
            <w:r>
              <w:rPr>
                <w:rFonts w:hint="eastAsia"/>
                <w:b w:val="0"/>
              </w:rPr>
              <w:t xml:space="preserve">1.0kWh </w:t>
            </w:r>
            <w:r>
              <w:rPr>
                <w:rFonts w:hint="eastAsia"/>
                <w:b w:val="0"/>
              </w:rPr>
              <w:t>以上である。</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b w:val="0"/>
              </w:rPr>
            </w:pPr>
            <w:r>
              <w:rPr>
                <w:rFonts w:hint="eastAsia"/>
                <w:b w:val="0"/>
              </w:rPr>
              <w:t>(2)</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蓄電容量が、単電池の定格容量、単電池の公称電圧及び使用する単電池の数の積で算出される蓄電池部の容量である。</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b w:val="0"/>
              </w:rPr>
            </w:pPr>
            <w:r>
              <w:rPr>
                <w:rFonts w:hint="eastAsia"/>
                <w:b w:val="0"/>
              </w:rPr>
              <w:t>(3)</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蓄電池部とパワーコンディショナー等の電力変換装置等から構成されるシステムであり、蓄電システム本体機器を含むシステム全体を一つのパッケージとして取り扱うものである。（システム全体を統合して管理するための番号が付与されていること。）</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b w:val="0"/>
              </w:rPr>
            </w:pPr>
            <w:r>
              <w:rPr>
                <w:rFonts w:hint="eastAsia"/>
                <w:b w:val="0"/>
              </w:rPr>
              <w:t>(4)</w:t>
            </w:r>
          </w:p>
        </w:tc>
        <w:tc>
          <w:tcPr>
            <w:tcW w:w="722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メーカー保証</w:t>
            </w:r>
            <w:r>
              <w:rPr>
                <w:rFonts w:hint="eastAsia"/>
                <w:b w:val="0"/>
                <w:vertAlign w:val="superscript"/>
              </w:rPr>
              <w:t>※２</w:t>
            </w:r>
            <w:r>
              <w:rPr>
                <w:rFonts w:hint="eastAsia"/>
                <w:b w:val="0"/>
              </w:rPr>
              <w:t>及びサイクル試験による性能の双方が</w:t>
            </w:r>
            <w:r>
              <w:rPr>
                <w:rFonts w:hint="eastAsia"/>
                <w:b w:val="0"/>
              </w:rPr>
              <w:t xml:space="preserve">10 </w:t>
            </w:r>
            <w:r>
              <w:rPr>
                <w:rFonts w:hint="eastAsia"/>
                <w:b w:val="0"/>
              </w:rPr>
              <w:t>年以上の蓄電システムである。</w:t>
            </w:r>
          </w:p>
        </w:tc>
        <w:tc>
          <w:tcPr>
            <w:tcW w:w="105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360" w:hRule="atLeast"/>
        </w:trPr>
        <w:tc>
          <w:tcPr>
            <w:tcW w:w="90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rPr>
                <w:rFonts w:hint="eastAsia"/>
              </w:rPr>
            </w:pPr>
            <w:r>
              <w:rPr>
                <w:rFonts w:hint="eastAsia"/>
                <w:b w:val="0"/>
              </w:rPr>
              <w:t>(5)</w:t>
            </w:r>
            <w:r>
              <w:rPr>
                <w:rFonts w:hint="eastAsia"/>
                <w:b w:val="0"/>
              </w:rPr>
              <w:t>～</w:t>
            </w:r>
            <w:r>
              <w:rPr>
                <w:rFonts w:hint="eastAsia"/>
                <w:b w:val="0"/>
              </w:rPr>
              <w:t>(9)</w:t>
            </w:r>
            <w:r>
              <w:rPr>
                <w:rFonts w:hint="eastAsia"/>
                <w:b w:val="0"/>
              </w:rPr>
              <w:t>について、所定の表示</w:t>
            </w:r>
            <w:r>
              <w:rPr>
                <w:rFonts w:hint="eastAsia"/>
                <w:b w:val="0"/>
                <w:vertAlign w:val="superscript"/>
              </w:rPr>
              <w:t>※３</w:t>
            </w:r>
            <w:r>
              <w:rPr>
                <w:rFonts w:hint="eastAsia"/>
                <w:b w:val="0"/>
              </w:rPr>
              <w:t>がなされていること。</w:t>
            </w:r>
          </w:p>
        </w:tc>
      </w:tr>
      <w:tr>
        <w:trPr>
          <w:trHeight w:val="320" w:hRule="atLeast"/>
        </w:trPr>
        <w:tc>
          <w:tcPr>
            <w:tcW w:w="75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eastAsia"/>
                <w:b w:val="0"/>
                <w:u w:val="single" w:color="auto"/>
              </w:rPr>
            </w:pPr>
            <w:r>
              <w:rPr>
                <w:rFonts w:hint="eastAsia"/>
                <w:b w:val="0"/>
                <w:u w:val="single" w:color="auto"/>
              </w:rPr>
              <w:t>(5)</w:t>
            </w:r>
          </w:p>
        </w:tc>
        <w:tc>
          <w:tcPr>
            <w:tcW w:w="722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ind w:left="0" w:leftChars="0" w:firstLine="0" w:firstLineChars="0"/>
              <w:rPr>
                <w:rFonts w:hint="eastAsia"/>
                <w:b w:val="0"/>
              </w:rPr>
            </w:pPr>
            <w:r>
              <w:rPr>
                <w:rFonts w:hint="eastAsia"/>
                <w:b w:val="0"/>
              </w:rPr>
              <w:t>初期実効容量</w:t>
            </w:r>
          </w:p>
        </w:tc>
        <w:tc>
          <w:tcPr>
            <w:tcW w:w="105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eastAsia"/>
                <w:b w:val="0"/>
                <w:u w:val="none" w:color="auto"/>
              </w:rPr>
            </w:pPr>
            <w:r>
              <w:rPr>
                <w:rFonts w:hint="eastAsia"/>
                <w:b w:val="0"/>
                <w:u w:val="none" w:color="auto"/>
              </w:rPr>
              <w:t>(6)</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定格出力</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eastAsia"/>
                <w:b w:val="0"/>
                <w:u w:val="single" w:color="auto"/>
              </w:rPr>
            </w:pPr>
            <w:r>
              <w:rPr>
                <w:rFonts w:hint="eastAsia"/>
                <w:b w:val="0"/>
                <w:u w:val="single" w:color="auto"/>
              </w:rPr>
              <w:t>(7)</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出力可能時間</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eastAsia"/>
                <w:b w:val="0"/>
              </w:rPr>
            </w:pPr>
            <w:r>
              <w:rPr>
                <w:rFonts w:hint="eastAsia"/>
                <w:b w:val="0"/>
              </w:rPr>
              <w:t>(8)</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廃棄方法</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b w:val="0"/>
              </w:rPr>
            </w:pPr>
            <w:r>
              <w:rPr>
                <w:rFonts w:hint="eastAsia"/>
                <w:b w:val="0"/>
              </w:rPr>
              <w:t>(9)</w:t>
            </w:r>
          </w:p>
        </w:tc>
        <w:tc>
          <w:tcPr>
            <w:tcW w:w="722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アフターサービス</w:t>
            </w:r>
          </w:p>
        </w:tc>
        <w:tc>
          <w:tcPr>
            <w:tcW w:w="105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360" w:hRule="atLeast"/>
        </w:trPr>
        <w:tc>
          <w:tcPr>
            <w:tcW w:w="90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rPr>
                <w:rFonts w:hint="eastAsia"/>
              </w:rPr>
            </w:pPr>
            <w:r>
              <w:rPr>
                <w:rFonts w:hint="eastAsia"/>
                <w:b w:val="0"/>
              </w:rPr>
              <w:t>安全基準について、</w:t>
            </w:r>
            <w:r>
              <w:rPr>
                <w:rFonts w:hint="eastAsia"/>
                <w:b w:val="0"/>
              </w:rPr>
              <w:t>(10)</w:t>
            </w:r>
            <w:r>
              <w:rPr>
                <w:rFonts w:hint="eastAsia"/>
                <w:b w:val="0"/>
              </w:rPr>
              <w:t>～</w:t>
            </w:r>
            <w:r>
              <w:rPr>
                <w:rFonts w:hint="eastAsia"/>
                <w:b w:val="0"/>
              </w:rPr>
              <w:t>(12)</w:t>
            </w:r>
            <w:r>
              <w:rPr>
                <w:rFonts w:hint="eastAsia"/>
                <w:b w:val="0"/>
              </w:rPr>
              <w:t>を満たすこと。</w:t>
            </w:r>
          </w:p>
        </w:tc>
      </w:tr>
      <w:tr>
        <w:trPr>
          <w:trHeight w:val="360" w:hRule="atLeast"/>
        </w:trPr>
        <w:tc>
          <w:tcPr>
            <w:tcW w:w="75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eastAsia"/>
                <w:b w:val="0"/>
              </w:rPr>
            </w:pPr>
            <w:r>
              <w:rPr>
                <w:rFonts w:hint="eastAsia"/>
                <w:b w:val="0"/>
              </w:rPr>
              <w:t>(10)</w:t>
            </w:r>
          </w:p>
        </w:tc>
        <w:tc>
          <w:tcPr>
            <w:tcW w:w="722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蓄電池部について、</w:t>
            </w:r>
            <w:r>
              <w:rPr>
                <w:rFonts w:hint="eastAsia"/>
                <w:b w:val="0"/>
              </w:rPr>
              <w:t>JIS C 8715</w:t>
            </w:r>
            <w:r>
              <w:rPr>
                <w:rFonts w:hint="eastAsia"/>
                <w:b w:val="0"/>
              </w:rPr>
              <w:t>－</w:t>
            </w:r>
            <w:r>
              <w:rPr>
                <w:rFonts w:hint="eastAsia"/>
                <w:b w:val="0"/>
              </w:rPr>
              <w:t>2</w:t>
            </w:r>
            <w:r>
              <w:rPr>
                <w:rFonts w:hint="eastAsia"/>
                <w:b w:val="0"/>
              </w:rPr>
              <w:t>又は</w:t>
            </w:r>
            <w:r>
              <w:rPr>
                <w:rFonts w:hint="eastAsia"/>
                <w:b w:val="0"/>
              </w:rPr>
              <w:t>IEC62619</w:t>
            </w:r>
            <w:r>
              <w:rPr>
                <w:rFonts w:hint="eastAsia"/>
                <w:b w:val="0"/>
              </w:rPr>
              <w:t>の規格を満足</w:t>
            </w:r>
            <w:bookmarkStart w:id="0" w:name="_GoBack"/>
            <w:bookmarkEnd w:id="0"/>
            <w:r>
              <w:rPr>
                <w:rFonts w:hint="eastAsia"/>
                <w:b w:val="0"/>
              </w:rPr>
              <w:t>している。</w:t>
            </w:r>
          </w:p>
        </w:tc>
        <w:tc>
          <w:tcPr>
            <w:tcW w:w="105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eastAsia"/>
                <w:b w:val="0"/>
              </w:rPr>
            </w:pPr>
            <w:r>
              <w:rPr>
                <w:rFonts w:hint="eastAsia"/>
                <w:b w:val="0"/>
              </w:rPr>
              <w:t>(11)</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ind w:firstLineChars="0"/>
              <w:rPr>
                <w:rFonts w:hint="eastAsia"/>
                <w:b w:val="0"/>
              </w:rPr>
            </w:pPr>
            <w:r>
              <w:rPr>
                <w:rFonts w:hint="eastAsia"/>
                <w:b w:val="0"/>
                <w:shd w:val="pct15" w:color="auto" w:fill="auto"/>
              </w:rPr>
              <w:t>（リチウムイオン蓄電池部を使用した蓄電システムのみ）</w:t>
            </w:r>
          </w:p>
          <w:p>
            <w:pPr>
              <w:pStyle w:val="0"/>
              <w:ind w:firstLineChars="0"/>
              <w:rPr>
                <w:rFonts w:hint="eastAsia"/>
                <w:b w:val="0"/>
              </w:rPr>
            </w:pPr>
            <w:r>
              <w:rPr>
                <w:rFonts w:hint="eastAsia"/>
                <w:b w:val="0"/>
              </w:rPr>
              <w:t>蓄電システム部について、</w:t>
            </w:r>
            <w:r>
              <w:rPr>
                <w:rFonts w:hint="eastAsia"/>
                <w:b w:val="0"/>
              </w:rPr>
              <w:t xml:space="preserve">JIS C 4412 </w:t>
            </w:r>
            <w:r>
              <w:rPr>
                <w:rFonts w:hint="eastAsia"/>
                <w:b w:val="0"/>
              </w:rPr>
              <w:t>の規格を満足している。</w:t>
            </w:r>
          </w:p>
          <w:p>
            <w:pPr>
              <w:pStyle w:val="0"/>
              <w:ind w:firstLineChars="0"/>
              <w:rPr>
                <w:rFonts w:hint="eastAsia"/>
                <w:b w:val="0"/>
              </w:rPr>
            </w:pPr>
            <w:r>
              <w:rPr>
                <w:rFonts w:hint="eastAsia"/>
                <w:b w:val="0"/>
              </w:rPr>
              <w:t>（ただし、電気製品認証協議会が定める</w:t>
            </w:r>
            <w:r>
              <w:rPr>
                <w:rFonts w:hint="eastAsia"/>
                <w:b w:val="0"/>
              </w:rPr>
              <w:t xml:space="preserve">JIS C 4412 </w:t>
            </w:r>
            <w:r>
              <w:rPr>
                <w:rFonts w:hint="eastAsia"/>
                <w:b w:val="0"/>
              </w:rPr>
              <w:t>適用の猶予期間中は、</w:t>
            </w:r>
            <w:r>
              <w:rPr>
                <w:rFonts w:hint="eastAsia"/>
                <w:b w:val="0"/>
              </w:rPr>
              <w:t>JIS C 4412</w:t>
            </w:r>
            <w:r>
              <w:rPr>
                <w:rFonts w:hint="eastAsia"/>
                <w:b w:val="0"/>
              </w:rPr>
              <w:t>－</w:t>
            </w:r>
            <w:r>
              <w:rPr>
                <w:rFonts w:hint="eastAsia"/>
                <w:b w:val="0"/>
              </w:rPr>
              <w:t xml:space="preserve">1 </w:t>
            </w:r>
            <w:r>
              <w:rPr>
                <w:rFonts w:hint="eastAsia"/>
                <w:b w:val="0"/>
              </w:rPr>
              <w:t>若しくは</w:t>
            </w:r>
            <w:r>
              <w:rPr>
                <w:rFonts w:hint="eastAsia"/>
                <w:b w:val="0"/>
              </w:rPr>
              <w:t>JIS C 4412</w:t>
            </w:r>
            <w:r>
              <w:rPr>
                <w:rFonts w:hint="eastAsia"/>
                <w:b w:val="0"/>
              </w:rPr>
              <w:t>－</w:t>
            </w:r>
            <w:r>
              <w:rPr>
                <w:rFonts w:hint="eastAsia"/>
                <w:b w:val="0"/>
              </w:rPr>
              <w:t>2</w:t>
            </w:r>
            <w:r>
              <w:rPr>
                <w:rFonts w:hint="eastAsia"/>
                <w:b w:val="0"/>
                <w:vertAlign w:val="superscript"/>
              </w:rPr>
              <w:t>※４</w:t>
            </w:r>
            <w:r>
              <w:rPr>
                <w:rFonts w:hint="eastAsia"/>
                <w:b w:val="0"/>
              </w:rPr>
              <w:t>の規格も可とする。）</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b w:val="0"/>
              </w:rPr>
            </w:pPr>
            <w:r>
              <w:rPr>
                <w:rFonts w:hint="eastAsia"/>
                <w:b w:val="0"/>
              </w:rPr>
              <w:t>(12)</w:t>
            </w:r>
          </w:p>
        </w:tc>
        <w:tc>
          <w:tcPr>
            <w:tcW w:w="72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Chars="0"/>
              <w:rPr>
                <w:rFonts w:hint="eastAsia"/>
                <w:b w:val="0"/>
              </w:rPr>
            </w:pPr>
            <w:r>
              <w:rPr>
                <w:rFonts w:hint="eastAsia"/>
                <w:b w:val="0"/>
                <w:shd w:val="pct15" w:color="auto" w:fill="auto"/>
              </w:rPr>
              <w:t>（リチウムイオン蓄電池部を使用した蓄電システムのみ）</w:t>
            </w:r>
          </w:p>
          <w:p>
            <w:pPr>
              <w:pStyle w:val="0"/>
              <w:ind w:firstLineChars="0"/>
              <w:rPr>
                <w:rFonts w:hint="eastAsia"/>
                <w:b w:val="0"/>
              </w:rPr>
            </w:pPr>
            <w:r>
              <w:rPr>
                <w:rFonts w:hint="eastAsia"/>
                <w:b w:val="0"/>
              </w:rPr>
              <w:t>震災対策基準について、蓄電容量</w:t>
            </w:r>
            <w:r>
              <w:rPr>
                <w:rFonts w:hint="eastAsia"/>
                <w:b w:val="0"/>
              </w:rPr>
              <w:t xml:space="preserve">10kWh </w:t>
            </w:r>
            <w:r>
              <w:rPr>
                <w:rFonts w:hint="eastAsia"/>
                <w:b w:val="0"/>
              </w:rPr>
              <w:t>未満の蓄電池は、第三者認証機関</w:t>
            </w:r>
            <w:r>
              <w:rPr>
                <w:rFonts w:hint="eastAsia"/>
                <w:b w:val="0"/>
                <w:vertAlign w:val="superscript"/>
              </w:rPr>
              <w:t>※５</w:t>
            </w:r>
            <w:r>
              <w:rPr>
                <w:rFonts w:hint="eastAsia"/>
                <w:b w:val="0"/>
              </w:rPr>
              <w:t>の製品審査により、「蓄電システムの震災対策基準」の製品審査に合格したものである。</w:t>
            </w:r>
          </w:p>
        </w:tc>
        <w:tc>
          <w:tcPr>
            <w:tcW w:w="105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wordWrap w:val="0"/>
        <w:jc w:val="right"/>
        <w:rPr>
          <w:rFonts w:hint="eastAsia"/>
          <w:b w:val="0"/>
          <w:color w:val="000000" w:themeColor="text1"/>
        </w:rPr>
      </w:pPr>
    </w:p>
    <w:p>
      <w:pPr>
        <w:pStyle w:val="0"/>
        <w:ind w:left="420" w:hanging="420" w:hangingChars="200"/>
        <w:jc w:val="left"/>
        <w:rPr>
          <w:rFonts w:hint="eastAsia"/>
        </w:rPr>
      </w:pPr>
      <w:r>
        <w:rPr>
          <w:rFonts w:hint="eastAsia"/>
        </w:rPr>
        <w:t>※１初期実効容量</w:t>
      </w:r>
    </w:p>
    <w:p>
      <w:pPr>
        <w:pStyle w:val="0"/>
        <w:wordWrap w:val="0"/>
        <w:ind w:left="420" w:leftChars="200" w:right="0" w:rightChars="0" w:firstLine="0" w:firstLineChars="0"/>
        <w:jc w:val="left"/>
        <w:rPr>
          <w:rFonts w:hint="eastAsia"/>
          <w:b w:val="0"/>
          <w:color w:val="000000" w:themeColor="text1"/>
        </w:rPr>
      </w:pPr>
      <w:r>
        <w:rPr>
          <w:rFonts w:hint="eastAsia"/>
        </w:rPr>
        <w:t>JEM1511</w:t>
      </w:r>
      <w:r>
        <w:rPr>
          <w:rFonts w:hint="eastAsia"/>
        </w:rPr>
        <w:t>または</w:t>
      </w:r>
      <w:r>
        <w:rPr>
          <w:rFonts w:hint="eastAsia"/>
        </w:rPr>
        <w:t>JIS C 4413</w:t>
      </w:r>
      <w:r>
        <w:rPr>
          <w:rFonts w:hint="eastAsia"/>
        </w:rPr>
        <w:t>の規格で定義された初期実効容量のうち、計算値と計測値のいずれか低い方を適用する。</w:t>
      </w:r>
    </w:p>
    <w:p>
      <w:pPr>
        <w:pStyle w:val="0"/>
        <w:ind w:left="420" w:hanging="420" w:hangingChars="200"/>
        <w:rPr>
          <w:rFonts w:hint="eastAsia"/>
          <w:b w:val="0"/>
          <w:color w:val="000000" w:themeColor="text1"/>
        </w:rPr>
      </w:pPr>
      <w:r>
        <w:rPr>
          <w:rFonts w:hint="eastAsia"/>
        </w:rPr>
        <w:t>※２メーカー保証</w:t>
      </w:r>
    </w:p>
    <w:p>
      <w:pPr>
        <w:pStyle w:val="0"/>
        <w:ind w:left="420" w:leftChars="200" w:firstLine="0" w:firstLineChars="0"/>
        <w:rPr>
          <w:rFonts w:hint="eastAsia"/>
          <w:b w:val="0"/>
          <w:color w:val="000000" w:themeColor="text1"/>
        </w:rPr>
      </w:pPr>
      <w:r>
        <w:rPr>
          <w:rFonts w:hint="eastAsia"/>
        </w:rPr>
        <w:t>蓄電システムの製造を製造事業者に委託し、自社の製品として販売する事業者も含む。当該機器製造事業者以外の保証（販売店保証等）は含めない。メーカー保証期間内の補償費用は無償であることを条件とする。</w:t>
      </w:r>
    </w:p>
    <w:p>
      <w:pPr>
        <w:pStyle w:val="0"/>
        <w:ind w:left="420" w:leftChars="200" w:firstLine="0" w:firstLineChars="0"/>
        <w:rPr>
          <w:rFonts w:hint="eastAsia"/>
          <w:b w:val="0"/>
          <w:color w:val="000000" w:themeColor="text1"/>
        </w:rPr>
      </w:pPr>
    </w:p>
    <w:p>
      <w:pPr>
        <w:pStyle w:val="0"/>
        <w:ind w:leftChars="0" w:firstLineChars="0"/>
        <w:rPr>
          <w:rFonts w:hint="eastAsia"/>
          <w:b w:val="0"/>
          <w:color w:val="000000" w:themeColor="text1"/>
        </w:rPr>
      </w:pPr>
      <w:r>
        <w:rPr>
          <w:rFonts w:hint="eastAsia"/>
        </w:rPr>
        <w:t>※３所定の表示</w:t>
      </w:r>
    </w:p>
    <w:p>
      <w:pPr>
        <w:pStyle w:val="0"/>
        <w:ind w:left="0" w:leftChars="0" w:hanging="525" w:hangingChars="250"/>
        <w:rPr>
          <w:rFonts w:hint="eastAsia"/>
        </w:rPr>
      </w:pPr>
      <w:r>
        <w:rPr>
          <w:rFonts w:hint="eastAsia"/>
        </w:rPr>
        <w:t>　</w:t>
      </w:r>
      <w:r>
        <w:rPr>
          <w:rFonts w:hint="eastAsia"/>
        </w:rPr>
        <w:t>(5)</w:t>
      </w:r>
      <w:r>
        <w:rPr>
          <w:rFonts w:hint="eastAsia"/>
        </w:rPr>
        <w:t>製造業者が指定する、工場出荷時の蓄電システムの放電時に供給可能な交流側の出力容量のこと。使用者が独自に指定できない領域は含まない。（算出方法については、一般社団法人日本電機工業会</w:t>
      </w:r>
      <w:r>
        <w:rPr>
          <w:rFonts w:hint="eastAsia"/>
        </w:rPr>
        <w:t xml:space="preserve"> </w:t>
      </w:r>
      <w:r>
        <w:rPr>
          <w:rFonts w:hint="eastAsia"/>
        </w:rPr>
        <w:t>日本電機工業会規格「</w:t>
      </w:r>
      <w:r>
        <w:rPr>
          <w:rFonts w:hint="eastAsia"/>
        </w:rPr>
        <w:t xml:space="preserve">JEM1511 </w:t>
      </w:r>
      <w:r>
        <w:rPr>
          <w:rFonts w:hint="eastAsia"/>
        </w:rPr>
        <w:t>低圧蓄電システムの初期実効容量算出方法」または</w:t>
      </w:r>
      <w:r>
        <w:rPr>
          <w:rFonts w:hint="eastAsia"/>
        </w:rPr>
        <w:t>JIS C 4413</w:t>
      </w:r>
      <w:r>
        <w:rPr>
          <w:rFonts w:hint="eastAsia"/>
        </w:rPr>
        <w:t>を参照すること）</w:t>
      </w:r>
    </w:p>
    <w:p>
      <w:pPr>
        <w:pStyle w:val="0"/>
        <w:ind w:left="525" w:hanging="525" w:hangingChars="250"/>
        <w:rPr>
          <w:rFonts w:hint="eastAsia"/>
        </w:rPr>
      </w:pPr>
      <w:r>
        <w:rPr>
          <w:rFonts w:hint="eastAsia"/>
          <w:b w:val="0"/>
          <w:color w:val="000000" w:themeColor="text1"/>
        </w:rPr>
        <w:t>　</w:t>
      </w:r>
      <w:r>
        <w:rPr>
          <w:rFonts w:hint="eastAsia"/>
          <w:b w:val="0"/>
          <w:color w:val="000000" w:themeColor="text1"/>
        </w:rPr>
        <w:t>(6)</w:t>
      </w:r>
      <w:r>
        <w:rPr>
          <w:rFonts w:hint="eastAsia"/>
        </w:rPr>
        <w:t>蓄電システムが連続して出力を維持できる製造事業者が指定する最大出力とする。定格出力の単位は</w:t>
      </w:r>
      <w:r>
        <w:rPr>
          <w:rFonts w:hint="eastAsia"/>
        </w:rPr>
        <w:t>W</w:t>
      </w:r>
      <w:r>
        <w:rPr>
          <w:rFonts w:hint="eastAsia"/>
        </w:rPr>
        <w:t>、</w:t>
      </w:r>
      <w:r>
        <w:rPr>
          <w:rFonts w:hint="eastAsia"/>
        </w:rPr>
        <w:t>kW</w:t>
      </w:r>
      <w:r>
        <w:rPr>
          <w:rFonts w:hint="eastAsia"/>
        </w:rPr>
        <w:t>、</w:t>
      </w:r>
      <w:r>
        <w:rPr>
          <w:rFonts w:hint="eastAsia"/>
        </w:rPr>
        <w:t xml:space="preserve">MW </w:t>
      </w:r>
      <w:r>
        <w:rPr>
          <w:rFonts w:hint="eastAsia"/>
        </w:rPr>
        <w:t>のいずれかとする。</w:t>
      </w:r>
    </w:p>
    <w:p>
      <w:pPr>
        <w:pStyle w:val="0"/>
        <w:ind w:left="630" w:hanging="630" w:hangingChars="300"/>
        <w:rPr>
          <w:rFonts w:hint="eastAsia"/>
        </w:rPr>
      </w:pPr>
      <w:r>
        <w:rPr>
          <w:rFonts w:hint="eastAsia"/>
        </w:rPr>
        <w:t>　</w:t>
      </w:r>
      <w:r>
        <w:rPr>
          <w:rFonts w:hint="eastAsia"/>
        </w:rPr>
        <w:t>(7)</w:t>
      </w:r>
      <w:r>
        <w:rPr>
          <w:rFonts w:hint="eastAsia"/>
        </w:rPr>
        <w:t>①複数の運転モードをもち、各モードでの最大の連続出力（</w:t>
      </w:r>
      <w:r>
        <w:rPr>
          <w:rFonts w:hint="eastAsia"/>
        </w:rPr>
        <w:t>W</w:t>
      </w:r>
      <w:r>
        <w:rPr>
          <w:rFonts w:hint="eastAsia"/>
        </w:rPr>
        <w:t>）と出力可能時間（</w:t>
      </w:r>
      <w:r>
        <w:rPr>
          <w:rFonts w:hint="eastAsia"/>
        </w:rPr>
        <w:t>h</w:t>
      </w:r>
      <w:r>
        <w:rPr>
          <w:rFonts w:hint="eastAsia"/>
        </w:rPr>
        <w:t>）の積で規定される容量（</w:t>
      </w:r>
      <w:r>
        <w:rPr>
          <w:rFonts w:hint="eastAsia"/>
        </w:rPr>
        <w:t>Wh</w:t>
      </w:r>
      <w:r>
        <w:rPr>
          <w:rFonts w:hint="eastAsia"/>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pPr>
        <w:pStyle w:val="0"/>
        <w:ind w:left="630" w:leftChars="200" w:hanging="210" w:hangingChars="100"/>
        <w:rPr>
          <w:rFonts w:hint="eastAsia"/>
        </w:rPr>
      </w:pPr>
      <w:r>
        <w:rPr>
          <w:rFonts w:hint="eastAsia"/>
        </w:rPr>
        <w:t>②購入設置者の機器選択を助ける情報として、代表的な出力における出力可能時間を例示することを認める。例示は、出力と出力可能時間を表示すること。出力の単位は</w:t>
      </w:r>
      <w:r>
        <w:rPr>
          <w:rFonts w:hint="eastAsia"/>
        </w:rPr>
        <w:t>W</w:t>
      </w:r>
      <w:r>
        <w:rPr>
          <w:rFonts w:hint="eastAsia"/>
        </w:rPr>
        <w:t>、</w:t>
      </w:r>
      <w:r>
        <w:rPr>
          <w:rFonts w:hint="eastAsia"/>
        </w:rPr>
        <w:t>kW</w:t>
      </w:r>
      <w:r>
        <w:rPr>
          <w:rFonts w:hint="eastAsia"/>
        </w:rPr>
        <w:t>、</w:t>
      </w:r>
      <w:r>
        <w:rPr>
          <w:rFonts w:hint="eastAsia"/>
        </w:rPr>
        <w:t xml:space="preserve">MW </w:t>
      </w:r>
      <w:r>
        <w:rPr>
          <w:rFonts w:hint="eastAsia"/>
        </w:rPr>
        <w:t>のいずれかとする。出力可能時間の単位は分とし、出力可能時間が</w:t>
      </w:r>
      <w:r>
        <w:rPr>
          <w:rFonts w:hint="eastAsia"/>
        </w:rPr>
        <w:t xml:space="preserve">10 </w:t>
      </w:r>
      <w:r>
        <w:rPr>
          <w:rFonts w:hint="eastAsia"/>
        </w:rPr>
        <w:t>分未満の場合は、</w:t>
      </w:r>
      <w:r>
        <w:rPr>
          <w:rFonts w:hint="eastAsia"/>
        </w:rPr>
        <w:t xml:space="preserve">1 </w:t>
      </w:r>
      <w:r>
        <w:rPr>
          <w:rFonts w:hint="eastAsia"/>
        </w:rPr>
        <w:t>分刻みで表示すること。出力可能時間が</w:t>
      </w:r>
      <w:r>
        <w:rPr>
          <w:rFonts w:hint="eastAsia"/>
        </w:rPr>
        <w:t xml:space="preserve">10 </w:t>
      </w:r>
      <w:r>
        <w:rPr>
          <w:rFonts w:hint="eastAsia"/>
        </w:rPr>
        <w:t>分以上の場合は、</w:t>
      </w:r>
      <w:r>
        <w:rPr>
          <w:rFonts w:hint="eastAsia"/>
        </w:rPr>
        <w:t xml:space="preserve">5 </w:t>
      </w:r>
      <w:r>
        <w:rPr>
          <w:rFonts w:hint="eastAsia"/>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Pr>
          <w:rFonts w:hint="eastAsia"/>
        </w:rPr>
        <w:t>W</w:t>
      </w:r>
      <w:r>
        <w:rPr>
          <w:rFonts w:hint="eastAsia"/>
        </w:rPr>
        <w:t>、</w:t>
      </w:r>
      <w:r>
        <w:rPr>
          <w:rFonts w:hint="eastAsia"/>
        </w:rPr>
        <w:t>kW</w:t>
      </w:r>
      <w:r>
        <w:rPr>
          <w:rFonts w:hint="eastAsia"/>
        </w:rPr>
        <w:t>、</w:t>
      </w:r>
      <w:r>
        <w:rPr>
          <w:rFonts w:hint="eastAsia"/>
        </w:rPr>
        <w:t xml:space="preserve">MW </w:t>
      </w:r>
      <w:r>
        <w:rPr>
          <w:rFonts w:hint="eastAsia"/>
        </w:rPr>
        <w:t>のいずれかとする。</w:t>
      </w:r>
    </w:p>
    <w:p>
      <w:pPr>
        <w:pStyle w:val="0"/>
        <w:ind w:left="525" w:leftChars="100" w:hanging="315" w:hangingChars="150"/>
        <w:rPr>
          <w:rFonts w:hint="eastAsia"/>
        </w:rPr>
      </w:pPr>
      <w:r>
        <w:rPr>
          <w:rFonts w:hint="eastAsia"/>
        </w:rPr>
        <w:t>(8)</w:t>
      </w:r>
      <w:r>
        <w:rPr>
          <w:rFonts w:hint="eastAsia"/>
        </w:rPr>
        <w:t>使用済み蓄電池を適切に廃棄、又は回収する方法について登録対象機器の添付書類に明記されていること。蓄電池部分が分離されるものについては、蓄電池部の添付書類に明記されていること。</w:t>
      </w:r>
    </w:p>
    <w:p>
      <w:pPr>
        <w:pStyle w:val="0"/>
        <w:ind w:left="525" w:leftChars="200" w:hanging="105" w:hangingChars="50"/>
        <w:rPr>
          <w:rFonts w:hint="eastAsia"/>
        </w:rPr>
      </w:pPr>
      <w:r>
        <w:rPr>
          <w:rFonts w:hint="eastAsia"/>
        </w:rPr>
        <w:t>【例】「使用済み蓄電池の廃棄に関しては、当社担当窓口へご連絡ください」</w:t>
      </w:r>
    </w:p>
    <w:p>
      <w:pPr>
        <w:pStyle w:val="0"/>
        <w:ind w:left="525" w:leftChars="100" w:hanging="315" w:hangingChars="150"/>
        <w:rPr>
          <w:rFonts w:hint="eastAsia"/>
        </w:rPr>
      </w:pPr>
      <w:r>
        <w:rPr>
          <w:rFonts w:hint="eastAsia"/>
        </w:rPr>
        <w:t>(9)</w:t>
      </w:r>
      <w:r>
        <w:rPr>
          <w:rFonts w:hint="eastAsia"/>
        </w:rPr>
        <w:t>国内のアフターサービス窓口の連絡先について、登録対象機器の添付書類に明記されていること。</w:t>
      </w:r>
    </w:p>
    <w:p>
      <w:pPr>
        <w:pStyle w:val="0"/>
        <w:ind w:leftChars="0" w:firstLineChars="0"/>
        <w:rPr>
          <w:rFonts w:hint="eastAsia"/>
          <w:b w:val="0"/>
          <w:color w:val="000000" w:themeColor="text1"/>
        </w:rPr>
      </w:pPr>
      <w:r>
        <w:rPr>
          <w:rFonts w:hint="eastAsia"/>
          <w:b w:val="0"/>
          <w:color w:val="000000" w:themeColor="text1"/>
        </w:rPr>
        <w:t>※４</w:t>
      </w:r>
      <w:r>
        <w:rPr>
          <w:rFonts w:hint="eastAsia"/>
        </w:rPr>
        <w:t xml:space="preserve">JIS C4412-2 </w:t>
      </w:r>
    </w:p>
    <w:p>
      <w:pPr>
        <w:pStyle w:val="0"/>
        <w:ind w:left="0" w:leftChars="0" w:firstLine="420" w:firstLineChars="200"/>
        <w:rPr>
          <w:rFonts w:hint="eastAsia"/>
          <w:b w:val="0"/>
          <w:color w:val="000000" w:themeColor="text1"/>
        </w:rPr>
      </w:pPr>
      <w:r>
        <w:rPr>
          <w:rFonts w:hint="eastAsia"/>
        </w:rPr>
        <w:t>要求事項の解釈等は「電気用品の技術基準の解釈</w:t>
      </w:r>
      <w:r>
        <w:rPr>
          <w:rFonts w:hint="eastAsia"/>
        </w:rPr>
        <w:t xml:space="preserve"> </w:t>
      </w:r>
      <w:r>
        <w:rPr>
          <w:rFonts w:hint="eastAsia"/>
        </w:rPr>
        <w:t>別表第八」に準拠すること。</w:t>
      </w:r>
    </w:p>
    <w:p>
      <w:pPr>
        <w:pStyle w:val="0"/>
        <w:ind w:left="0" w:leftChars="0" w:firstLine="0" w:firstLineChars="0"/>
        <w:rPr>
          <w:rFonts w:hint="eastAsia"/>
          <w:b w:val="0"/>
          <w:color w:val="000000" w:themeColor="text1"/>
        </w:rPr>
      </w:pPr>
      <w:r>
        <w:rPr>
          <w:rFonts w:hint="eastAsia"/>
        </w:rPr>
        <w:t>※５第三者認証機関</w:t>
      </w:r>
    </w:p>
    <w:p>
      <w:pPr>
        <w:pStyle w:val="0"/>
        <w:ind w:left="420" w:leftChars="200" w:firstLine="0" w:firstLineChars="0"/>
        <w:rPr>
          <w:rFonts w:hint="eastAsia"/>
          <w:b w:val="0"/>
          <w:color w:val="000000" w:themeColor="text1"/>
        </w:rPr>
      </w:pPr>
      <w:r>
        <w:rPr>
          <w:rFonts w:hint="eastAsia"/>
        </w:rPr>
        <w:t>電気用品安全法国内登録検査機関であること、かつ、</w:t>
      </w:r>
      <w:r>
        <w:rPr>
          <w:rFonts w:hint="eastAsia"/>
        </w:rPr>
        <w:t xml:space="preserve">IECEE-CB </w:t>
      </w:r>
      <w:r>
        <w:rPr>
          <w:rFonts w:hint="eastAsia"/>
        </w:rPr>
        <w:t>制度に基づく国内認証機関（</w:t>
      </w:r>
      <w:r>
        <w:rPr>
          <w:rFonts w:hint="eastAsia"/>
        </w:rPr>
        <w:t>NCB</w:t>
      </w:r>
      <w:r>
        <w:rPr>
          <w:rFonts w:hint="eastAsia"/>
        </w:rPr>
        <w:t>）であること。</w:t>
      </w:r>
    </w:p>
    <w:sectPr>
      <w:pgSz w:w="11906" w:h="16838"/>
      <w:pgMar w:top="1354" w:right="1586" w:bottom="1084" w:left="129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7"/>
    <w:basedOn w:val="10"/>
    <w:next w:val="17"/>
    <w:link w:val="0"/>
    <w:uiPriority w:val="0"/>
    <w:qFormat/>
    <w:rPr>
      <w:rFonts w:ascii="游ゴシック" w:hAnsi="游ゴシック" w:eastAsia="游ゴシック"/>
      <w:color w:val="000000"/>
      <w:sz w:val="22"/>
    </w:rPr>
  </w:style>
  <w:style w:type="character" w:styleId="18" w:customStyle="1">
    <w:name w:val="font18"/>
    <w:basedOn w:val="10"/>
    <w:next w:val="18"/>
    <w:link w:val="0"/>
    <w:uiPriority w:val="0"/>
    <w:qFormat/>
    <w:rPr>
      <w:rFonts w:ascii="游ゴシック" w:hAnsi="游ゴシック" w:eastAsia="游ゴシック"/>
      <w:color w:val="000000"/>
      <w:sz w:val="20"/>
    </w:rPr>
  </w:style>
  <w:style w:type="character" w:styleId="19" w:customStyle="1">
    <w:name w:val="font16"/>
    <w:basedOn w:val="10"/>
    <w:next w:val="19"/>
    <w:link w:val="0"/>
    <w:uiPriority w:val="0"/>
    <w:qFormat/>
    <w:rPr>
      <w:rFonts w:ascii="游ゴシック" w:hAnsi="游ゴシック" w:eastAsia="游ゴシック"/>
      <w:color w:val="000000"/>
      <w:sz w:val="22"/>
    </w:rPr>
  </w:style>
  <w:style w:type="paragraph" w:styleId="20">
    <w:name w:val="Balloon Text"/>
    <w:basedOn w:val="0"/>
    <w:next w:val="20"/>
    <w:link w:val="0"/>
    <w:uiPriority w:val="0"/>
    <w:semiHidden/>
    <w:rPr>
      <w:rFonts w:asciiTheme="majorHAnsi" w:hAnsiTheme="majorHAnsi" w:eastAsiaTheme="majorEastAsia"/>
      <w:sz w:val="18"/>
    </w:rPr>
  </w:style>
  <w:style w:type="character" w:styleId="21" w:customStyle="1">
    <w:name w:val="font14"/>
    <w:basedOn w:val="10"/>
    <w:next w:val="21"/>
    <w:link w:val="0"/>
    <w:uiPriority w:val="0"/>
    <w:qFormat/>
    <w:rPr>
      <w:rFonts w:ascii="游ゴシック" w:hAnsi="游ゴシック" w:eastAsia="游ゴシック"/>
      <w:color w:val="FF0000"/>
      <w:sz w:val="30"/>
    </w:rPr>
  </w:style>
  <w:style w:type="character" w:styleId="22" w:customStyle="1">
    <w:name w:val="font15"/>
    <w:basedOn w:val="10"/>
    <w:next w:val="22"/>
    <w:link w:val="0"/>
    <w:uiPriority w:val="0"/>
    <w:qFormat/>
    <w:rPr>
      <w:rFonts w:ascii="游ゴシック" w:hAnsi="游ゴシック" w:eastAsia="游ゴシック"/>
      <w:color w:val="FF0000"/>
      <w:sz w:val="30"/>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1353</TotalTime>
  <Pages>2</Pages>
  <Words>72</Words>
  <Characters>1814</Characters>
  <Application>JUST Note</Application>
  <Lines>97</Lines>
  <Paragraphs>53</Paragraphs>
  <CharactersWithSpaces>1868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shirota tsudumi 2826</cp:lastModifiedBy>
  <cp:lastPrinted>2025-05-02T05:50:48Z</cp:lastPrinted>
  <dcterms:modified xsi:type="dcterms:W3CDTF">2025-05-07T05:13:40Z</dcterms:modified>
  <cp:revision>67</cp:revision>
</cp:coreProperties>
</file>