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pacing w:before="3700" w:beforeLines="1000" w:beforeAutospacing="0" w:line="720" w:lineRule="exact"/>
        <w:jc w:val="center"/>
        <w:rPr>
          <w:rFonts w:hint="default" w:ascii="BIZ UDPゴシック" w:hAnsi="BIZ UDPゴシック" w:eastAsia="BIZ UDPゴシック"/>
          <w:b w:val="1"/>
          <w:color w:val="auto"/>
          <w:sz w:val="52"/>
          <w:highlight w:val="none"/>
        </w:rPr>
      </w:pPr>
      <w:r>
        <w:rPr>
          <w:rFonts w:hint="eastAsia"/>
        </w:rPr>
        <mc:AlternateContent>
          <mc:Choice Requires="wps">
            <w:drawing>
              <wp:anchor distT="0" distB="0" distL="71755" distR="71755" simplePos="0" relativeHeight="164" behindDoc="0" locked="0" layoutInCell="1" hidden="0" allowOverlap="1">
                <wp:simplePos x="0" y="0"/>
                <wp:positionH relativeFrom="column">
                  <wp:posOffset>3406140</wp:posOffset>
                </wp:positionH>
                <wp:positionV relativeFrom="paragraph">
                  <wp:posOffset>-11430</wp:posOffset>
                </wp:positionV>
                <wp:extent cx="2370455" cy="800735"/>
                <wp:effectExtent l="635" t="635" r="29845" b="10795"/>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2370455" cy="80073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spacing w:line="0" w:lineRule="atLeast"/>
                              <w:jc w:val="distribute"/>
                              <w:rPr>
                                <w:rFonts w:hint="eastAsia" w:ascii="ＭＳ ゴシック" w:hAnsi="ＭＳ ゴシック" w:eastAsia="ＭＳ ゴシック"/>
                              </w:rPr>
                            </w:pPr>
                            <w:r>
                              <w:rPr>
                                <w:rFonts w:hint="eastAsia" w:ascii="ＭＳ ゴシック" w:hAnsi="ＭＳ ゴシック" w:eastAsia="ＭＳ ゴシック"/>
                              </w:rPr>
                              <w:t>第４回高齢福祉専門部会資料</w:t>
                            </w:r>
                          </w:p>
                          <w:p>
                            <w:pPr>
                              <w:pStyle w:val="0"/>
                              <w:spacing w:line="0" w:lineRule="atLeast"/>
                              <w:jc w:val="distribute"/>
                              <w:rPr>
                                <w:rFonts w:hint="eastAsia" w:ascii="ＭＳ ゴシック" w:hAnsi="ＭＳ ゴシック" w:eastAsia="ＭＳ ゴシック"/>
                              </w:rPr>
                            </w:pPr>
                            <w:r>
                              <w:rPr>
                                <w:rFonts w:hint="eastAsia" w:ascii="ＭＳ ゴシック" w:hAnsi="ＭＳ ゴシック" w:eastAsia="ＭＳ ゴシック"/>
                              </w:rPr>
                              <w:t>令和５年１１月３０日</w:t>
                            </w:r>
                          </w:p>
                          <w:p>
                            <w:pPr>
                              <w:pStyle w:val="0"/>
                              <w:spacing w:line="0" w:lineRule="atLeast"/>
                              <w:jc w:val="distribute"/>
                              <w:rPr>
                                <w:rFonts w:hint="eastAsia" w:ascii="ＭＳ ゴシック" w:hAnsi="ＭＳ ゴシック" w:eastAsia="ＭＳ ゴシック"/>
                              </w:rPr>
                            </w:pPr>
                            <w:r>
                              <w:rPr>
                                <w:rFonts w:hint="eastAsia" w:ascii="ＭＳ ゴシック" w:hAnsi="ＭＳ ゴシック" w:eastAsia="ＭＳ ゴシック"/>
                              </w:rPr>
                              <w:t>健康福祉部高齢介護課</w:t>
                            </w:r>
                          </w:p>
                          <w:p>
                            <w:pPr>
                              <w:pStyle w:val="0"/>
                              <w:spacing w:line="0" w:lineRule="atLeast"/>
                              <w:jc w:val="distribute"/>
                              <w:rPr>
                                <w:rFonts w:hint="eastAsia" w:ascii="ＭＳ ゴシック" w:hAnsi="ＭＳ ゴシック" w:eastAsia="ＭＳ ゴシック"/>
                              </w:rPr>
                            </w:pPr>
                            <w:r>
                              <w:rPr>
                                <w:rFonts w:hint="eastAsia" w:ascii="ＭＳ ゴシック" w:hAnsi="ＭＳ ゴシック" w:eastAsia="ＭＳ ゴシック"/>
                              </w:rPr>
                              <w:t>健康福祉部地域包括ケア推進課</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0.9pt;mso-position-vertical-relative:text;mso-position-horizontal-relative:text;position:absolute;height:63.05pt;mso-wrap-distance-top:0pt;width:186.65pt;mso-wrap-distance-left:5.65pt;margin-left:268.2pt;z-index:164;" o:spid="_x0000_s1026"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spacing w:line="0" w:lineRule="atLeast"/>
                        <w:jc w:val="distribute"/>
                        <w:rPr>
                          <w:rFonts w:hint="eastAsia" w:ascii="ＭＳ ゴシック" w:hAnsi="ＭＳ ゴシック" w:eastAsia="ＭＳ ゴシック"/>
                        </w:rPr>
                      </w:pPr>
                      <w:r>
                        <w:rPr>
                          <w:rFonts w:hint="eastAsia" w:ascii="ＭＳ ゴシック" w:hAnsi="ＭＳ ゴシック" w:eastAsia="ＭＳ ゴシック"/>
                        </w:rPr>
                        <w:t>第４回高齢福祉専門部会資料</w:t>
                      </w:r>
                    </w:p>
                    <w:p>
                      <w:pPr>
                        <w:pStyle w:val="0"/>
                        <w:spacing w:line="0" w:lineRule="atLeast"/>
                        <w:jc w:val="distribute"/>
                        <w:rPr>
                          <w:rFonts w:hint="eastAsia" w:ascii="ＭＳ ゴシック" w:hAnsi="ＭＳ ゴシック" w:eastAsia="ＭＳ ゴシック"/>
                        </w:rPr>
                      </w:pPr>
                      <w:r>
                        <w:rPr>
                          <w:rFonts w:hint="eastAsia" w:ascii="ＭＳ ゴシック" w:hAnsi="ＭＳ ゴシック" w:eastAsia="ＭＳ ゴシック"/>
                        </w:rPr>
                        <w:t>令和５年１１月３０日</w:t>
                      </w:r>
                    </w:p>
                    <w:p>
                      <w:pPr>
                        <w:pStyle w:val="0"/>
                        <w:spacing w:line="0" w:lineRule="atLeast"/>
                        <w:jc w:val="distribute"/>
                        <w:rPr>
                          <w:rFonts w:hint="eastAsia" w:ascii="ＭＳ ゴシック" w:hAnsi="ＭＳ ゴシック" w:eastAsia="ＭＳ ゴシック"/>
                        </w:rPr>
                      </w:pPr>
                      <w:r>
                        <w:rPr>
                          <w:rFonts w:hint="eastAsia" w:ascii="ＭＳ ゴシック" w:hAnsi="ＭＳ ゴシック" w:eastAsia="ＭＳ ゴシック"/>
                        </w:rPr>
                        <w:t>健康福祉部高齢介護課</w:t>
                      </w:r>
                    </w:p>
                    <w:p>
                      <w:pPr>
                        <w:pStyle w:val="0"/>
                        <w:spacing w:line="0" w:lineRule="atLeast"/>
                        <w:jc w:val="distribute"/>
                        <w:rPr>
                          <w:rFonts w:hint="eastAsia" w:ascii="ＭＳ ゴシック" w:hAnsi="ＭＳ ゴシック" w:eastAsia="ＭＳ ゴシック"/>
                        </w:rPr>
                      </w:pPr>
                      <w:r>
                        <w:rPr>
                          <w:rFonts w:hint="eastAsia" w:ascii="ＭＳ ゴシック" w:hAnsi="ＭＳ ゴシック" w:eastAsia="ＭＳ ゴシック"/>
                        </w:rPr>
                        <w:t>健康福祉部地域包括ケア推進課</w:t>
                      </w:r>
                    </w:p>
                  </w:txbxContent>
                </v:textbox>
                <v:imagedata o:title=""/>
                <w10:wrap type="none" anchorx="text" anchory="text"/>
              </v:shape>
            </w:pict>
          </mc:Fallback>
        </mc:AlternateContent>
      </w:r>
      <w:r>
        <w:rPr>
          <w:rFonts w:hint="eastAsia" w:ascii="BIZ UDPゴシック" w:hAnsi="BIZ UDPゴシック" w:eastAsia="BIZ UDPゴシック"/>
          <w:b w:val="1"/>
          <w:color w:val="auto"/>
          <w:sz w:val="52"/>
          <w:highlight w:val="none"/>
        </w:rPr>
        <w:t>廿日市市高齢者福祉計画・</w:t>
      </w:r>
    </w:p>
    <w:p>
      <w:pPr>
        <w:pStyle w:val="0"/>
        <w:spacing w:line="720" w:lineRule="exact"/>
        <w:jc w:val="center"/>
        <w:rPr>
          <w:rFonts w:hint="default" w:ascii="BIZ UDPゴシック" w:hAnsi="BIZ UDPゴシック" w:eastAsia="BIZ UDPゴシック"/>
          <w:b w:val="1"/>
          <w:color w:val="auto"/>
          <w:sz w:val="52"/>
          <w:highlight w:val="none"/>
        </w:rPr>
      </w:pPr>
      <w:r>
        <w:rPr>
          <w:rFonts w:hint="eastAsia" w:ascii="BIZ UDPゴシック" w:hAnsi="BIZ UDPゴシック" w:eastAsia="BIZ UDPゴシック"/>
          <w:b w:val="1"/>
          <w:color w:val="auto"/>
          <w:sz w:val="52"/>
          <w:highlight w:val="none"/>
        </w:rPr>
        <w:t>第９期廿日市市介護保険事業計画</w:t>
      </w:r>
    </w:p>
    <w:p>
      <w:pPr>
        <w:pStyle w:val="0"/>
        <w:spacing w:line="720" w:lineRule="exact"/>
        <w:jc w:val="center"/>
        <w:rPr>
          <w:rFonts w:hint="default" w:ascii="BIZ UDPゴシック" w:hAnsi="BIZ UDPゴシック" w:eastAsia="BIZ UDPゴシック"/>
          <w:b w:val="1"/>
          <w:color w:val="auto"/>
          <w:sz w:val="52"/>
          <w:highlight w:val="none"/>
        </w:rPr>
      </w:pPr>
    </w:p>
    <w:p>
      <w:pPr>
        <w:pStyle w:val="0"/>
        <w:spacing w:line="720" w:lineRule="exact"/>
        <w:jc w:val="center"/>
        <w:rPr>
          <w:rFonts w:hint="default" w:ascii="BIZ UDPゴシック" w:hAnsi="BIZ UDPゴシック" w:eastAsia="BIZ UDPゴシック"/>
          <w:b w:val="1"/>
          <w:color w:val="auto"/>
          <w:sz w:val="44"/>
          <w:highlight w:val="none"/>
        </w:rPr>
      </w:pPr>
      <w:r>
        <w:rPr>
          <w:rFonts w:hint="eastAsia" w:ascii="BIZ UDPゴシック" w:hAnsi="BIZ UDPゴシック" w:eastAsia="BIZ UDPゴシック"/>
          <w:b w:val="1"/>
          <w:color w:val="auto"/>
          <w:sz w:val="52"/>
          <w:highlight w:val="none"/>
        </w:rPr>
        <w:t>（素案）</w:t>
      </w:r>
    </w:p>
    <w:p>
      <w:pPr>
        <w:pStyle w:val="0"/>
        <w:spacing w:line="720" w:lineRule="exact"/>
        <w:jc w:val="center"/>
        <w:rPr>
          <w:rFonts w:hint="default" w:ascii="BIZ UDPゴシック" w:hAnsi="BIZ UDPゴシック" w:eastAsia="BIZ UDPゴシック"/>
          <w:b w:val="1"/>
          <w:color w:val="auto"/>
          <w:sz w:val="44"/>
          <w:highlight w:val="none"/>
        </w:rPr>
      </w:pPr>
    </w:p>
    <w:p>
      <w:pPr>
        <w:pStyle w:val="0"/>
        <w:spacing w:line="720" w:lineRule="exact"/>
        <w:jc w:val="center"/>
        <w:rPr>
          <w:rFonts w:hint="default" w:ascii="BIZ UDPゴシック" w:hAnsi="BIZ UDPゴシック" w:eastAsia="BIZ UDPゴシック"/>
          <w:b w:val="1"/>
          <w:color w:val="auto"/>
          <w:sz w:val="44"/>
          <w:highlight w:val="none"/>
        </w:rPr>
      </w:pPr>
    </w:p>
    <w:p>
      <w:pPr>
        <w:pStyle w:val="0"/>
        <w:spacing w:line="720" w:lineRule="exact"/>
        <w:jc w:val="center"/>
        <w:rPr>
          <w:rFonts w:hint="default" w:ascii="BIZ UDPゴシック" w:hAnsi="BIZ UDPゴシック" w:eastAsia="BIZ UDPゴシック"/>
          <w:b w:val="1"/>
          <w:color w:val="auto"/>
          <w:sz w:val="44"/>
          <w:highlight w:val="none"/>
        </w:rPr>
      </w:pPr>
    </w:p>
    <w:p>
      <w:pPr>
        <w:pStyle w:val="0"/>
        <w:spacing w:line="720" w:lineRule="exact"/>
        <w:jc w:val="center"/>
        <w:rPr>
          <w:rFonts w:hint="default" w:ascii="BIZ UDPゴシック" w:hAnsi="BIZ UDPゴシック" w:eastAsia="BIZ UDPゴシック"/>
          <w:b w:val="1"/>
          <w:color w:val="auto"/>
          <w:sz w:val="44"/>
          <w:highlight w:val="none"/>
        </w:rPr>
      </w:pPr>
    </w:p>
    <w:p>
      <w:pPr>
        <w:pStyle w:val="0"/>
        <w:spacing w:line="720" w:lineRule="exact"/>
        <w:jc w:val="center"/>
        <w:rPr>
          <w:rFonts w:hint="default" w:ascii="BIZ UDPゴシック" w:hAnsi="BIZ UDPゴシック" w:eastAsia="BIZ UDPゴシック"/>
          <w:b w:val="1"/>
          <w:color w:val="auto"/>
          <w:sz w:val="44"/>
          <w:highlight w:val="none"/>
        </w:rPr>
      </w:pPr>
    </w:p>
    <w:p>
      <w:pPr>
        <w:pStyle w:val="0"/>
        <w:spacing w:line="720" w:lineRule="exact"/>
        <w:jc w:val="center"/>
        <w:rPr>
          <w:rFonts w:hint="default" w:ascii="BIZ UDPゴシック" w:hAnsi="BIZ UDPゴシック" w:eastAsia="BIZ UDPゴシック"/>
          <w:b w:val="1"/>
          <w:color w:val="auto"/>
          <w:sz w:val="44"/>
          <w:highlight w:val="none"/>
        </w:rPr>
      </w:pPr>
    </w:p>
    <w:p>
      <w:pPr>
        <w:pStyle w:val="0"/>
        <w:spacing w:line="720" w:lineRule="exact"/>
        <w:jc w:val="center"/>
        <w:rPr>
          <w:rFonts w:hint="default" w:ascii="BIZ UDPゴシック" w:hAnsi="BIZ UDPゴシック" w:eastAsia="BIZ UDPゴシック"/>
          <w:b w:val="1"/>
          <w:color w:val="auto"/>
          <w:sz w:val="44"/>
          <w:highlight w:val="none"/>
        </w:rPr>
      </w:pPr>
    </w:p>
    <w:p>
      <w:pPr>
        <w:pStyle w:val="0"/>
        <w:spacing w:line="720" w:lineRule="exact"/>
        <w:jc w:val="center"/>
        <w:rPr>
          <w:rFonts w:hint="default" w:ascii="BIZ UDPゴシック" w:hAnsi="BIZ UDPゴシック" w:eastAsia="BIZ UDPゴシック"/>
          <w:b w:val="1"/>
          <w:color w:val="auto"/>
          <w:sz w:val="44"/>
          <w:highlight w:val="none"/>
        </w:rPr>
      </w:pPr>
      <w:r>
        <w:rPr>
          <w:rFonts w:hint="eastAsia" w:ascii="BIZ UDPゴシック" w:hAnsi="BIZ UDPゴシック" w:eastAsia="BIZ UDPゴシック"/>
          <w:b w:val="1"/>
          <w:color w:val="auto"/>
          <w:sz w:val="44"/>
          <w:highlight w:val="none"/>
        </w:rPr>
        <w:t>令和５（</w:t>
      </w:r>
      <w:r>
        <w:rPr>
          <w:rFonts w:hint="eastAsia" w:ascii="BIZ UDPゴシック" w:hAnsi="BIZ UDPゴシック" w:eastAsia="BIZ UDPゴシック"/>
          <w:b w:val="1"/>
          <w:color w:val="auto"/>
          <w:sz w:val="44"/>
          <w:highlight w:val="none"/>
        </w:rPr>
        <w:t>2023</w:t>
      </w:r>
      <w:r>
        <w:rPr>
          <w:rFonts w:hint="eastAsia" w:ascii="BIZ UDPゴシック" w:hAnsi="BIZ UDPゴシック" w:eastAsia="BIZ UDPゴシック"/>
          <w:b w:val="1"/>
          <w:color w:val="auto"/>
          <w:sz w:val="44"/>
          <w:highlight w:val="none"/>
        </w:rPr>
        <w:t>）年</w:t>
      </w:r>
      <w:r>
        <w:rPr>
          <w:rFonts w:hint="eastAsia" w:ascii="BIZ UDPゴシック" w:hAnsi="BIZ UDPゴシック" w:eastAsia="BIZ UDPゴシック"/>
          <w:b w:val="1"/>
          <w:color w:val="auto"/>
          <w:sz w:val="44"/>
          <w:highlight w:val="none"/>
        </w:rPr>
        <w:t>11</w:t>
      </w:r>
      <w:r>
        <w:rPr>
          <w:rFonts w:hint="eastAsia" w:ascii="BIZ UDPゴシック" w:hAnsi="BIZ UDPゴシック" w:eastAsia="BIZ UDPゴシック"/>
          <w:b w:val="1"/>
          <w:color w:val="auto"/>
          <w:sz w:val="44"/>
          <w:highlight w:val="none"/>
        </w:rPr>
        <w:t>月</w:t>
      </w:r>
    </w:p>
    <w:p>
      <w:pPr>
        <w:pStyle w:val="0"/>
        <w:spacing w:line="720" w:lineRule="exact"/>
        <w:jc w:val="center"/>
        <w:rPr>
          <w:rFonts w:hint="default" w:ascii="BIZ UDPゴシック" w:hAnsi="BIZ UDPゴシック" w:eastAsia="BIZ UDPゴシック"/>
          <w:b w:val="1"/>
          <w:color w:val="auto"/>
          <w:sz w:val="44"/>
          <w:highlight w:val="none"/>
        </w:rPr>
      </w:pPr>
      <w:r>
        <w:rPr>
          <w:rFonts w:hint="eastAsia" w:ascii="BIZ UDPゴシック" w:hAnsi="BIZ UDPゴシック" w:eastAsia="BIZ UDPゴシック"/>
          <w:b w:val="1"/>
          <w:color w:val="auto"/>
          <w:sz w:val="44"/>
          <w:highlight w:val="none"/>
        </w:rPr>
        <w:t>廿日市市</w:t>
      </w:r>
    </w:p>
    <w:p>
      <w:pPr>
        <w:pStyle w:val="0"/>
        <w:rPr>
          <w:rFonts w:hint="default"/>
          <w:color w:val="auto"/>
          <w:highlight w:val="none"/>
        </w:rPr>
      </w:pPr>
    </w:p>
    <w:p>
      <w:pPr>
        <w:pStyle w:val="0"/>
        <w:rPr>
          <w:rFonts w:hint="default"/>
          <w:color w:val="auto"/>
          <w:highlight w:val="none"/>
        </w:rPr>
      </w:pPr>
    </w:p>
    <w:p>
      <w:pPr>
        <w:pStyle w:val="0"/>
        <w:ind w:firstLine="2640" w:firstLineChars="1200"/>
        <w:rPr>
          <w:rFonts w:hint="default"/>
          <w:color w:val="auto"/>
          <w:highlight w:val="none"/>
        </w:rPr>
      </w:pPr>
    </w:p>
    <w:p>
      <w:pPr>
        <w:pStyle w:val="0"/>
        <w:widowControl w:val="1"/>
        <w:jc w:val="left"/>
        <w:rPr>
          <w:rFonts w:hint="default"/>
          <w:color w:val="auto"/>
          <w:highlight w:val="none"/>
        </w:rPr>
      </w:pPr>
      <w:r>
        <w:rPr>
          <w:rFonts w:hint="default"/>
          <w:color w:val="auto"/>
          <w:highlight w:val="none"/>
        </w:rPr>
        <w:br w:type="page"/>
      </w:r>
    </w:p>
    <w:sdt>
      <w:sdtPr>
        <w:rPr>
          <w:rFonts w:hint="default" w:ascii="BIZ UDゴシック" w:hAnsi="BIZ UDゴシック" w:eastAsia="BIZ UDゴシック"/>
          <w:color w:val="auto"/>
          <w:kern w:val="2"/>
          <w:sz w:val="22"/>
          <w:highlight w:val="none"/>
        </w:rPr>
        <w:id w:val="-370383445"/>
        <w:docPartObj>
          <w:docPartGallery w:val="Table of Contents"/>
          <w:docPartUnique/>
        </w:docPartObj>
      </w:sdtPr>
      <w:sdtEndPr>
        <w:rPr>
          <w:rFonts w:hint="default"/>
          <w:color w:val="auto"/>
          <w:highlight w:val="none"/>
        </w:rPr>
      </w:sdtEndPr>
      <w:sdtContent>
        <w:p>
          <w:pPr>
            <w:pStyle w:val="75"/>
            <w:jc w:val="center"/>
            <w:rPr>
              <w:rFonts w:hint="default" w:ascii="BIZ UDPゴシック" w:hAnsi="BIZ UDPゴシック" w:eastAsia="BIZ UDPゴシック"/>
              <w:color w:val="auto"/>
              <w:highlight w:val="none"/>
            </w:rPr>
          </w:pPr>
          <w:r>
            <w:rPr>
              <w:rFonts w:hint="default" w:ascii="BIZ UDPゴシック" w:hAnsi="BIZ UDPゴシック" w:eastAsia="BIZ UDPゴシック"/>
              <w:color w:val="auto"/>
              <w:highlight w:val="none"/>
            </w:rPr>
            <w:t>目次</w:t>
          </w:r>
        </w:p>
        <w:p>
          <w:pPr>
            <w:pStyle w:val="76"/>
            <w:tabs>
              <w:tab w:val="right" w:leader="dot" w:pos="9060"/>
            </w:tabs>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000000" w:themeColor="text1"/>
            </w:rPr>
            <w:fldChar w:fldCharType="begin"/>
          </w:r>
          <w:r>
            <w:rPr>
              <w:rFonts w:hint="default" w:ascii="BIZ UDPゴシック" w:hAnsi="BIZ UDPゴシック" w:eastAsia="BIZ UDPゴシック"/>
              <w:color w:val="000000" w:themeColor="text1"/>
            </w:rPr>
            <w:instrText xml:space="preserve"> TOC \o "1-3" \h \z \u </w:instrText>
          </w:r>
          <w:r>
            <w:rPr>
              <w:rFonts w:hint="default" w:ascii="BIZ UDPゴシック" w:hAnsi="BIZ UDPゴシック" w:eastAsia="BIZ UDPゴシック"/>
              <w:color w:val="000000" w:themeColor="text1"/>
            </w:rPr>
            <w:fldChar w:fldCharType="separate"/>
          </w:r>
          <w:r>
            <w:rPr>
              <w:rFonts w:hint="eastAsia"/>
            </w:rPr>
            <w:fldChar w:fldCharType="begin"/>
          </w:r>
          <w:r>
            <w:rPr>
              <w:rFonts w:hint="eastAsia"/>
            </w:rPr>
            <w:instrText xml:space="preserve"> HYPERLINK  \l "_Toc152160602"</w:instrText>
          </w:r>
          <w:r>
            <w:rPr>
              <w:rFonts w:hint="eastAsia"/>
            </w:rPr>
            <w:fldChar w:fldCharType="separate"/>
          </w:r>
          <w:r>
            <w:rPr>
              <w:rFonts w:hint="default" w:ascii="BIZ UDPゴシック" w:hAnsi="BIZ UDPゴシック" w:eastAsia="BIZ UDPゴシック"/>
              <w:color w:val="auto"/>
              <w:highlight w:val="none"/>
            </w:rPr>
            <w:t>第１章　計画の策定にあたって</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_Toc152160602 \h </w:instrText>
          </w:r>
          <w:r>
            <w:rPr>
              <w:rFonts w:hint="eastAsia"/>
            </w:rPr>
            <w:fldChar w:fldCharType="separate"/>
          </w:r>
          <w:r>
            <w:rPr>
              <w:rFonts w:hint="default" w:ascii="BIZ UDPゴシック" w:hAnsi="BIZ UDPゴシック" w:eastAsia="BIZ UDPゴシック"/>
            </w:rPr>
            <w:t>1</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"_Toc152160603"</w:instrText>
          </w:r>
          <w:r>
            <w:rPr>
              <w:rFonts w:hint="eastAsia"/>
            </w:rPr>
            <w:fldChar w:fldCharType="separate"/>
          </w:r>
          <w:r>
            <w:rPr>
              <w:rFonts w:hint="default" w:ascii="BIZ UDPゴシック" w:hAnsi="BIZ UDPゴシック" w:eastAsia="BIZ UDPゴシック"/>
              <w:color w:val="auto"/>
              <w:highlight w:val="none"/>
            </w:rPr>
            <w:t>１　計画の背景と目的</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_Toc152160603 \h </w:instrText>
          </w:r>
          <w:r>
            <w:rPr>
              <w:rFonts w:hint="eastAsia"/>
            </w:rPr>
            <w:fldChar w:fldCharType="separate"/>
          </w:r>
          <w:r>
            <w:rPr>
              <w:rFonts w:hint="default" w:ascii="BIZ UDPゴシック" w:hAnsi="BIZ UDPゴシック" w:eastAsia="BIZ UDPゴシック"/>
            </w:rPr>
            <w:t>1</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"_Toc152160604"</w:instrText>
          </w:r>
          <w:r>
            <w:rPr>
              <w:rFonts w:hint="eastAsia"/>
            </w:rPr>
            <w:fldChar w:fldCharType="separate"/>
          </w:r>
          <w:r>
            <w:rPr>
              <w:rFonts w:hint="default" w:ascii="BIZ UDPゴシック" w:hAnsi="BIZ UDPゴシック" w:eastAsia="BIZ UDPゴシック"/>
              <w:color w:val="auto"/>
              <w:highlight w:val="none"/>
            </w:rPr>
            <w:t>２　計画の位置づけ</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_Toc152160604 \h </w:instrText>
          </w:r>
          <w:r>
            <w:rPr>
              <w:rFonts w:hint="eastAsia"/>
            </w:rPr>
            <w:fldChar w:fldCharType="separate"/>
          </w:r>
          <w:r>
            <w:rPr>
              <w:rFonts w:hint="default" w:ascii="BIZ UDPゴシック" w:hAnsi="BIZ UDPゴシック" w:eastAsia="BIZ UDPゴシック"/>
            </w:rPr>
            <w:t>2</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"_Toc152160607"</w:instrText>
          </w:r>
          <w:r>
            <w:rPr>
              <w:rFonts w:hint="eastAsia"/>
            </w:rPr>
            <w:fldChar w:fldCharType="separate"/>
          </w:r>
          <w:r>
            <w:rPr>
              <w:rFonts w:hint="default" w:ascii="BIZ UDPゴシック" w:hAnsi="BIZ UDPゴシック" w:eastAsia="BIZ UDPゴシック"/>
              <w:color w:val="auto"/>
              <w:highlight w:val="none"/>
            </w:rPr>
            <w:t>３　計画の期間</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_Toc152160607 \h </w:instrText>
          </w:r>
          <w:r>
            <w:rPr>
              <w:rFonts w:hint="eastAsia"/>
            </w:rPr>
            <w:fldChar w:fldCharType="separate"/>
          </w:r>
          <w:r>
            <w:rPr>
              <w:rFonts w:hint="default" w:ascii="BIZ UDPゴシック" w:hAnsi="BIZ UDPゴシック" w:eastAsia="BIZ UDPゴシック"/>
            </w:rPr>
            <w:t>2</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highlight w:val="none"/>
            </w:rPr>
          </w:pPr>
          <w:r>
            <w:rPr>
              <w:rFonts w:hint="eastAsia"/>
            </w:rPr>
            <w:fldChar w:fldCharType="begin"/>
          </w:r>
          <w:r>
            <w:rPr>
              <w:rFonts w:hint="eastAsia"/>
            </w:rPr>
            <w:instrText xml:space="preserve"> HYPERLINK  \l "_Toc152160608"</w:instrText>
          </w:r>
          <w:r>
            <w:rPr>
              <w:rFonts w:hint="eastAsia"/>
            </w:rPr>
            <w:fldChar w:fldCharType="separate"/>
          </w:r>
          <w:r>
            <w:rPr>
              <w:rFonts w:hint="default" w:ascii="BIZ UDPゴシック" w:hAnsi="BIZ UDPゴシック" w:eastAsia="BIZ UDPゴシック"/>
              <w:color w:val="auto"/>
              <w:highlight w:val="none"/>
            </w:rPr>
            <w:t>４　計画の策定体制</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_Toc152160608 \h </w:instrText>
          </w:r>
          <w:r>
            <w:rPr>
              <w:rFonts w:hint="eastAsia"/>
            </w:rPr>
            <w:fldChar w:fldCharType="separate"/>
          </w:r>
          <w:r>
            <w:rPr>
              <w:rFonts w:hint="default" w:ascii="BIZ UDPゴシック" w:hAnsi="BIZ UDPゴシック" w:eastAsia="BIZ UDPゴシック"/>
            </w:rPr>
            <w:t>3</w:t>
          </w:r>
          <w:r>
            <w:rPr>
              <w:rFonts w:hint="eastAsia"/>
            </w:rPr>
            <w:fldChar w:fldCharType="end"/>
          </w:r>
        </w:p>
        <w:p>
          <w:pPr>
            <w:pStyle w:val="76"/>
            <w:tabs>
              <w:tab w:val="right" w:leader="dot" w:pos="9060"/>
            </w:tabs>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"_Toc152160612"</w:instrText>
          </w:r>
          <w:r>
            <w:rPr>
              <w:rFonts w:hint="eastAsia"/>
            </w:rPr>
            <w:fldChar w:fldCharType="separate"/>
          </w:r>
          <w:r>
            <w:rPr>
              <w:rFonts w:hint="default" w:ascii="BIZ UDPゴシック" w:hAnsi="BIZ UDPゴシック" w:eastAsia="BIZ UDPゴシック"/>
              <w:color w:val="auto"/>
              <w:highlight w:val="none"/>
            </w:rPr>
            <w:t>第２章　高齢者を取り巻く現状</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_Toc152160612 \h </w:instrText>
          </w:r>
          <w:r>
            <w:rPr>
              <w:rFonts w:hint="eastAsia"/>
            </w:rPr>
            <w:fldChar w:fldCharType="separate"/>
          </w:r>
          <w:r>
            <w:rPr>
              <w:rFonts w:hint="default" w:ascii="BIZ UDPゴシック" w:hAnsi="BIZ UDPゴシック" w:eastAsia="BIZ UDPゴシック"/>
            </w:rPr>
            <w:t>6</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"_Toc152160613"</w:instrText>
          </w:r>
          <w:r>
            <w:rPr>
              <w:rFonts w:hint="eastAsia"/>
            </w:rPr>
            <w:fldChar w:fldCharType="separate"/>
          </w:r>
          <w:r>
            <w:rPr>
              <w:rFonts w:hint="default" w:ascii="BIZ UDPゴシック" w:hAnsi="BIZ UDPゴシック" w:eastAsia="BIZ UDPゴシック"/>
              <w:color w:val="auto"/>
              <w:highlight w:val="none"/>
            </w:rPr>
            <w:t>１　人口の推移と推計</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_Toc152160613 \h </w:instrText>
          </w:r>
          <w:r>
            <w:rPr>
              <w:rFonts w:hint="eastAsia"/>
            </w:rPr>
            <w:fldChar w:fldCharType="separate"/>
          </w:r>
          <w:r>
            <w:rPr>
              <w:rFonts w:hint="default" w:ascii="BIZ UDPゴシック" w:hAnsi="BIZ UDPゴシック" w:eastAsia="BIZ UDPゴシック"/>
            </w:rPr>
            <w:t>6</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"_Toc152160616"</w:instrText>
          </w:r>
          <w:r>
            <w:rPr>
              <w:rFonts w:hint="eastAsia"/>
            </w:rPr>
            <w:fldChar w:fldCharType="separate"/>
          </w:r>
          <w:r>
            <w:rPr>
              <w:rFonts w:hint="default" w:ascii="BIZ UDPゴシック" w:hAnsi="BIZ UDPゴシック" w:eastAsia="BIZ UDPゴシック"/>
              <w:color w:val="auto"/>
              <w:highlight w:val="none"/>
            </w:rPr>
            <w:t>２　高齢者がいる世帯の推移</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_Toc152160616 \h </w:instrText>
          </w:r>
          <w:r>
            <w:rPr>
              <w:rFonts w:hint="eastAsia"/>
            </w:rPr>
            <w:fldChar w:fldCharType="separate"/>
          </w:r>
          <w:r>
            <w:rPr>
              <w:rFonts w:hint="default" w:ascii="BIZ UDPゴシック" w:hAnsi="BIZ UDPゴシック" w:eastAsia="BIZ UDPゴシック"/>
            </w:rPr>
            <w:t>8</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"_Toc152160617"</w:instrText>
          </w:r>
          <w:r>
            <w:rPr>
              <w:rFonts w:hint="eastAsia"/>
            </w:rPr>
            <w:fldChar w:fldCharType="separate"/>
          </w:r>
          <w:r>
            <w:rPr>
              <w:rFonts w:hint="default" w:ascii="BIZ UDPゴシック" w:hAnsi="BIZ UDPゴシック" w:eastAsia="BIZ UDPゴシック"/>
              <w:color w:val="auto"/>
              <w:highlight w:val="none"/>
            </w:rPr>
            <w:t>３　要支援・要介護認定者の状況</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_Toc152160617 \h </w:instrText>
          </w:r>
          <w:r>
            <w:rPr>
              <w:rFonts w:hint="eastAsia"/>
            </w:rPr>
            <w:fldChar w:fldCharType="separate"/>
          </w:r>
          <w:r>
            <w:rPr>
              <w:rFonts w:hint="default" w:ascii="BIZ UDPゴシック" w:hAnsi="BIZ UDPゴシック" w:eastAsia="BIZ UDPゴシック"/>
            </w:rPr>
            <w:t>9</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"_Toc152160618"</w:instrText>
          </w:r>
          <w:r>
            <w:rPr>
              <w:rFonts w:hint="eastAsia"/>
            </w:rPr>
            <w:fldChar w:fldCharType="separate"/>
          </w:r>
          <w:r>
            <w:rPr>
              <w:rFonts w:hint="default" w:ascii="BIZ UDPゴシック" w:hAnsi="BIZ UDPゴシック" w:eastAsia="BIZ UDPゴシック"/>
              <w:color w:val="auto"/>
              <w:highlight w:val="none"/>
            </w:rPr>
            <w:t>４　介護保険サービスの受給状況</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_Toc152160618 \h </w:instrText>
          </w:r>
          <w:r>
            <w:rPr>
              <w:rFonts w:hint="eastAsia"/>
            </w:rPr>
            <w:fldChar w:fldCharType="separate"/>
          </w:r>
          <w:r>
            <w:rPr>
              <w:rFonts w:hint="default" w:ascii="BIZ UDPゴシック" w:hAnsi="BIZ UDPゴシック" w:eastAsia="BIZ UDPゴシック"/>
            </w:rPr>
            <w:t>11</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"_Toc152160619"</w:instrText>
          </w:r>
          <w:r>
            <w:rPr>
              <w:rFonts w:hint="eastAsia"/>
            </w:rPr>
            <w:fldChar w:fldCharType="separate"/>
          </w:r>
          <w:r>
            <w:rPr>
              <w:rFonts w:hint="default" w:ascii="BIZ UDPゴシック" w:hAnsi="BIZ UDPゴシック" w:eastAsia="BIZ UDPゴシック"/>
              <w:color w:val="auto"/>
              <w:highlight w:val="none"/>
            </w:rPr>
            <w:t>５　介護保険サービスの費用額</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_Toc152160619 \h </w:instrText>
          </w:r>
          <w:r>
            <w:rPr>
              <w:rFonts w:hint="eastAsia"/>
            </w:rPr>
            <w:fldChar w:fldCharType="separate"/>
          </w:r>
          <w:r>
            <w:rPr>
              <w:rFonts w:hint="default" w:ascii="BIZ UDPゴシック" w:hAnsi="BIZ UDPゴシック" w:eastAsia="BIZ UDPゴシック"/>
            </w:rPr>
            <w:t>12</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"_Toc152160620"</w:instrText>
          </w:r>
          <w:r>
            <w:rPr>
              <w:rFonts w:hint="eastAsia"/>
            </w:rPr>
            <w:fldChar w:fldCharType="separate"/>
          </w:r>
          <w:r>
            <w:rPr>
              <w:rFonts w:hint="default" w:ascii="BIZ UDPゴシック" w:hAnsi="BIZ UDPゴシック" w:eastAsia="BIZ UDPゴシック"/>
              <w:color w:val="auto"/>
              <w:highlight w:val="none"/>
            </w:rPr>
            <w:t>６　高齢者の就業状況の推移</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_Toc152160620 \h </w:instrText>
          </w:r>
          <w:r>
            <w:rPr>
              <w:rFonts w:hint="eastAsia"/>
            </w:rPr>
            <w:fldChar w:fldCharType="separate"/>
          </w:r>
          <w:r>
            <w:rPr>
              <w:rFonts w:hint="default" w:ascii="BIZ UDPゴシック" w:hAnsi="BIZ UDPゴシック" w:eastAsia="BIZ UDPゴシック"/>
            </w:rPr>
            <w:t>14</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"_Toc152160621"</w:instrText>
          </w:r>
          <w:r>
            <w:rPr>
              <w:rFonts w:hint="eastAsia"/>
            </w:rPr>
            <w:fldChar w:fldCharType="separate"/>
          </w:r>
          <w:r>
            <w:rPr>
              <w:rFonts w:hint="default" w:ascii="BIZ UDPゴシック" w:hAnsi="BIZ UDPゴシック" w:eastAsia="BIZ UDPゴシック"/>
              <w:color w:val="auto"/>
              <w:highlight w:val="none"/>
            </w:rPr>
            <w:t>７　日常生活圏域の状況</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_Toc152160621 \h </w:instrText>
          </w:r>
          <w:r>
            <w:rPr>
              <w:rFonts w:hint="eastAsia"/>
            </w:rPr>
            <w:fldChar w:fldCharType="separate"/>
          </w:r>
          <w:r>
            <w:rPr>
              <w:rFonts w:hint="default" w:ascii="BIZ UDPゴシック" w:hAnsi="BIZ UDPゴシック" w:eastAsia="BIZ UDPゴシック"/>
            </w:rPr>
            <w:t>15</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"_Toc152160622"</w:instrText>
          </w:r>
          <w:r>
            <w:rPr>
              <w:rFonts w:hint="eastAsia"/>
            </w:rPr>
            <w:fldChar w:fldCharType="separate"/>
          </w:r>
          <w:r>
            <w:rPr>
              <w:rFonts w:hint="default" w:ascii="BIZ UDPゴシック" w:hAnsi="BIZ UDPゴシック" w:eastAsia="BIZ UDPゴシック"/>
              <w:color w:val="auto"/>
              <w:highlight w:val="none"/>
            </w:rPr>
            <w:t>（１）日常生活圏域の概要</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_Toc152160622 \h </w:instrText>
          </w:r>
          <w:r>
            <w:rPr>
              <w:rFonts w:hint="eastAsia"/>
            </w:rPr>
            <w:fldChar w:fldCharType="separate"/>
          </w:r>
          <w:r>
            <w:rPr>
              <w:rFonts w:hint="default" w:ascii="BIZ UDPゴシック" w:hAnsi="BIZ UDPゴシック" w:eastAsia="BIZ UDPゴシック"/>
            </w:rPr>
            <w:t>15</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"_Toc152160623"</w:instrText>
          </w:r>
          <w:r>
            <w:rPr>
              <w:rFonts w:hint="eastAsia"/>
            </w:rPr>
            <w:fldChar w:fldCharType="separate"/>
          </w:r>
          <w:r>
            <w:rPr>
              <w:rFonts w:hint="default" w:ascii="BIZ UDPゴシック" w:hAnsi="BIZ UDPゴシック" w:eastAsia="BIZ UDPゴシック"/>
              <w:color w:val="auto"/>
              <w:highlight w:val="none"/>
            </w:rPr>
            <w:t>（２）日常生活圏域別人口の推移と推計</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_Toc152160623 \h </w:instrText>
          </w:r>
          <w:r>
            <w:rPr>
              <w:rFonts w:hint="eastAsia"/>
            </w:rPr>
            <w:fldChar w:fldCharType="separate"/>
          </w:r>
          <w:r>
            <w:rPr>
              <w:rFonts w:hint="default" w:ascii="BIZ UDPゴシック" w:hAnsi="BIZ UDPゴシック" w:eastAsia="BIZ UDPゴシック"/>
            </w:rPr>
            <w:t>16</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"_Toc152160624"</w:instrText>
          </w:r>
          <w:r>
            <w:rPr>
              <w:rFonts w:hint="eastAsia"/>
            </w:rPr>
            <w:fldChar w:fldCharType="separate"/>
          </w:r>
          <w:r>
            <w:rPr>
              <w:rFonts w:hint="default" w:ascii="BIZ UDPゴシック" w:hAnsi="BIZ UDPゴシック" w:eastAsia="BIZ UDPゴシック"/>
              <w:color w:val="auto"/>
              <w:highlight w:val="none"/>
            </w:rPr>
            <w:t>（３）日常生活圏域別の介護サービス事業所数</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_Toc152160624 \h </w:instrText>
          </w:r>
          <w:r>
            <w:rPr>
              <w:rFonts w:hint="eastAsia"/>
            </w:rPr>
            <w:fldChar w:fldCharType="separate"/>
          </w:r>
          <w:r>
            <w:rPr>
              <w:rFonts w:hint="default" w:ascii="BIZ UDPゴシック" w:hAnsi="BIZ UDPゴシック" w:eastAsia="BIZ UDPゴシック"/>
            </w:rPr>
            <w:t>17</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"_Toc152160625"</w:instrText>
          </w:r>
          <w:r>
            <w:rPr>
              <w:rFonts w:hint="eastAsia"/>
            </w:rPr>
            <w:fldChar w:fldCharType="separate"/>
          </w:r>
          <w:r>
            <w:rPr>
              <w:rFonts w:hint="default" w:ascii="BIZ UDPゴシック" w:hAnsi="BIZ UDPゴシック" w:eastAsia="BIZ UDPゴシック"/>
              <w:color w:val="auto"/>
              <w:highlight w:val="none"/>
            </w:rPr>
            <w:t>（４）日常生活圏域別の特徴</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_Toc152160625 \h </w:instrText>
          </w:r>
          <w:r>
            <w:rPr>
              <w:rFonts w:hint="eastAsia"/>
            </w:rPr>
            <w:fldChar w:fldCharType="separate"/>
          </w:r>
          <w:r>
            <w:rPr>
              <w:rFonts w:hint="default" w:ascii="BIZ UDPゴシック" w:hAnsi="BIZ UDPゴシック" w:eastAsia="BIZ UDPゴシック"/>
            </w:rPr>
            <w:t>18</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"_Toc152160626"</w:instrText>
          </w:r>
          <w:r>
            <w:rPr>
              <w:rFonts w:hint="eastAsia"/>
            </w:rPr>
            <w:fldChar w:fldCharType="separate"/>
          </w:r>
          <w:r>
            <w:rPr>
              <w:rFonts w:hint="default" w:ascii="BIZ UDPゴシック" w:hAnsi="BIZ UDPゴシック" w:eastAsia="BIZ UDPゴシック"/>
              <w:color w:val="auto"/>
              <w:highlight w:val="none"/>
            </w:rPr>
            <w:t>８　アンケート調査結果概要</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_Toc152160626 \h </w:instrText>
          </w:r>
          <w:r>
            <w:rPr>
              <w:rFonts w:hint="eastAsia"/>
            </w:rPr>
            <w:fldChar w:fldCharType="separate"/>
          </w:r>
          <w:r>
            <w:rPr>
              <w:rFonts w:hint="default" w:ascii="BIZ UDPゴシック" w:hAnsi="BIZ UDPゴシック" w:eastAsia="BIZ UDPゴシック"/>
            </w:rPr>
            <w:t>32</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"_Toc152160627"</w:instrText>
          </w:r>
          <w:r>
            <w:rPr>
              <w:rFonts w:hint="eastAsia"/>
            </w:rPr>
            <w:fldChar w:fldCharType="separate"/>
          </w:r>
          <w:r>
            <w:rPr>
              <w:rFonts w:hint="default" w:ascii="BIZ UDPゴシック" w:hAnsi="BIZ UDPゴシック" w:eastAsia="BIZ UDPゴシック"/>
              <w:color w:val="auto"/>
              <w:highlight w:val="none"/>
            </w:rPr>
            <w:t>（１）高齢者の保健福祉に関するアンケート調査（対象：</w:t>
          </w:r>
          <w:r>
            <w:rPr>
              <w:rFonts w:hint="default" w:ascii="BIZ UDPゴシック" w:hAnsi="BIZ UDPゴシック" w:eastAsia="BIZ UDPゴシック"/>
              <w:color w:val="auto"/>
              <w:highlight w:val="none"/>
            </w:rPr>
            <w:t>65</w:t>
          </w:r>
          <w:r>
            <w:rPr>
              <w:rFonts w:hint="default" w:ascii="BIZ UDPゴシック" w:hAnsi="BIZ UDPゴシック" w:eastAsia="BIZ UDPゴシック"/>
              <w:color w:val="auto"/>
              <w:highlight w:val="none"/>
            </w:rPr>
            <w:t>歳以上高齢者）</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_Toc152160627 \h </w:instrText>
          </w:r>
          <w:r>
            <w:rPr>
              <w:rFonts w:hint="eastAsia"/>
            </w:rPr>
            <w:fldChar w:fldCharType="separate"/>
          </w:r>
          <w:r>
            <w:rPr>
              <w:rFonts w:hint="default" w:ascii="BIZ UDPゴシック" w:hAnsi="BIZ UDPゴシック" w:eastAsia="BIZ UDPゴシック"/>
            </w:rPr>
            <w:t>32</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"_Toc152160628"</w:instrText>
          </w:r>
          <w:r>
            <w:rPr>
              <w:rFonts w:hint="eastAsia"/>
            </w:rPr>
            <w:fldChar w:fldCharType="separate"/>
          </w:r>
          <w:r>
            <w:rPr>
              <w:rFonts w:hint="default" w:ascii="BIZ UDPゴシック" w:hAnsi="BIZ UDPゴシック" w:eastAsia="BIZ UDPゴシック"/>
              <w:color w:val="auto"/>
              <w:highlight w:val="none"/>
            </w:rPr>
            <w:t>（２）高齢者の保健福祉に関するアンケート調査（圏域別結果）</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_Toc152160628 \h </w:instrText>
          </w:r>
          <w:r>
            <w:rPr>
              <w:rFonts w:hint="eastAsia"/>
            </w:rPr>
            <w:fldChar w:fldCharType="separate"/>
          </w:r>
          <w:r>
            <w:rPr>
              <w:rFonts w:hint="default" w:ascii="BIZ UDPゴシック" w:hAnsi="BIZ UDPゴシック" w:eastAsia="BIZ UDPゴシック"/>
            </w:rPr>
            <w:t>39</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"_Toc152160629"</w:instrText>
          </w:r>
          <w:r>
            <w:rPr>
              <w:rFonts w:hint="eastAsia"/>
            </w:rPr>
            <w:fldChar w:fldCharType="separate"/>
          </w:r>
          <w:r>
            <w:rPr>
              <w:rFonts w:hint="default" w:ascii="BIZ UDPゴシック" w:hAnsi="BIZ UDPゴシック" w:eastAsia="BIZ UDPゴシック"/>
              <w:color w:val="auto"/>
              <w:highlight w:val="none"/>
            </w:rPr>
            <w:t>（３）在宅介護実態調査（対象：在宅で生活している要支援・要介護者）</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_Toc152160629 \h </w:instrText>
          </w:r>
          <w:r>
            <w:rPr>
              <w:rFonts w:hint="eastAsia"/>
            </w:rPr>
            <w:fldChar w:fldCharType="separate"/>
          </w:r>
          <w:r>
            <w:rPr>
              <w:rFonts w:hint="default" w:ascii="BIZ UDPゴシック" w:hAnsi="BIZ UDPゴシック" w:eastAsia="BIZ UDPゴシック"/>
            </w:rPr>
            <w:t>46</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"_Toc152160630"</w:instrText>
          </w:r>
          <w:r>
            <w:rPr>
              <w:rFonts w:hint="eastAsia"/>
            </w:rPr>
            <w:fldChar w:fldCharType="separate"/>
          </w:r>
          <w:r>
            <w:rPr>
              <w:rFonts w:hint="default" w:ascii="BIZ UDPゴシック" w:hAnsi="BIZ UDPゴシック" w:eastAsia="BIZ UDPゴシック"/>
              <w:color w:val="auto"/>
              <w:highlight w:val="none"/>
            </w:rPr>
            <w:t>（４）在宅生活改善調査（対象：市内の居宅・小規模多機能開設事業者）</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_Toc152160630 \h </w:instrText>
          </w:r>
          <w:r>
            <w:rPr>
              <w:rFonts w:hint="eastAsia"/>
            </w:rPr>
            <w:fldChar w:fldCharType="separate"/>
          </w:r>
          <w:r>
            <w:rPr>
              <w:rFonts w:hint="default" w:ascii="BIZ UDPゴシック" w:hAnsi="BIZ UDPゴシック" w:eastAsia="BIZ UDPゴシック"/>
            </w:rPr>
            <w:t>48</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"_Toc152160631"</w:instrText>
          </w:r>
          <w:r>
            <w:rPr>
              <w:rFonts w:hint="eastAsia"/>
            </w:rPr>
            <w:fldChar w:fldCharType="separate"/>
          </w:r>
          <w:r>
            <w:rPr>
              <w:rFonts w:hint="default" w:ascii="BIZ UDPゴシック" w:hAnsi="BIZ UDPゴシック" w:eastAsia="BIZ UDPゴシック"/>
              <w:color w:val="auto"/>
              <w:highlight w:val="none"/>
            </w:rPr>
            <w:t>（５）居所変更実態調査（対象：市内の居住系介護サービス提供事業所）</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_Toc152160631 \h </w:instrText>
          </w:r>
          <w:r>
            <w:rPr>
              <w:rFonts w:hint="eastAsia"/>
            </w:rPr>
            <w:fldChar w:fldCharType="separate"/>
          </w:r>
          <w:r>
            <w:rPr>
              <w:rFonts w:hint="default" w:ascii="BIZ UDPゴシック" w:hAnsi="BIZ UDPゴシック" w:eastAsia="BIZ UDPゴシック"/>
            </w:rPr>
            <w:t>50</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"_Toc152160632"</w:instrText>
          </w:r>
          <w:r>
            <w:rPr>
              <w:rFonts w:hint="eastAsia"/>
            </w:rPr>
            <w:fldChar w:fldCharType="separate"/>
          </w:r>
          <w:r>
            <w:rPr>
              <w:rFonts w:hint="default" w:ascii="BIZ UDPゴシック" w:hAnsi="BIZ UDPゴシック" w:eastAsia="BIZ UDPゴシック"/>
              <w:color w:val="auto"/>
              <w:highlight w:val="none"/>
            </w:rPr>
            <w:t>（６）サービス提供状況調査（対象：市内介護保険サービス事業者）</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_Toc152160632 \h </w:instrText>
          </w:r>
          <w:r>
            <w:rPr>
              <w:rFonts w:hint="eastAsia"/>
            </w:rPr>
            <w:fldChar w:fldCharType="separate"/>
          </w:r>
          <w:r>
            <w:rPr>
              <w:rFonts w:hint="default" w:ascii="BIZ UDPゴシック" w:hAnsi="BIZ UDPゴシック" w:eastAsia="BIZ UDPゴシック"/>
            </w:rPr>
            <w:t>51</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"_Toc152160633"</w:instrText>
          </w:r>
          <w:r>
            <w:rPr>
              <w:rFonts w:hint="eastAsia"/>
            </w:rPr>
            <w:fldChar w:fldCharType="separate"/>
          </w:r>
          <w:r>
            <w:rPr>
              <w:rFonts w:hint="default" w:ascii="BIZ UDPゴシック" w:hAnsi="BIZ UDPゴシック" w:eastAsia="BIZ UDPゴシック"/>
              <w:color w:val="auto"/>
              <w:highlight w:val="none"/>
            </w:rPr>
            <w:t>（７）介護人材実態調査（対象：市内介護保険サービス事業者・職員）</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_Toc152160633 \h </w:instrText>
          </w:r>
          <w:r>
            <w:rPr>
              <w:rFonts w:hint="eastAsia"/>
            </w:rPr>
            <w:fldChar w:fldCharType="separate"/>
          </w:r>
          <w:r>
            <w:rPr>
              <w:rFonts w:hint="default" w:ascii="BIZ UDPゴシック" w:hAnsi="BIZ UDPゴシック" w:eastAsia="BIZ UDPゴシック"/>
            </w:rPr>
            <w:t>53</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highlight w:val="none"/>
            </w:rPr>
          </w:pPr>
          <w:r>
            <w:rPr>
              <w:rFonts w:hint="eastAsia"/>
            </w:rPr>
            <w:fldChar w:fldCharType="begin"/>
          </w:r>
          <w:r>
            <w:rPr>
              <w:rFonts w:hint="eastAsia"/>
            </w:rPr>
            <w:instrText xml:space="preserve"> HYPERLINK  \l "_Toc152160634"</w:instrText>
          </w:r>
          <w:r>
            <w:rPr>
              <w:rFonts w:hint="eastAsia"/>
            </w:rPr>
            <w:fldChar w:fldCharType="separate"/>
          </w:r>
          <w:r>
            <w:rPr>
              <w:rFonts w:hint="default" w:ascii="BIZ UDPゴシック" w:hAnsi="BIZ UDPゴシック" w:eastAsia="BIZ UDPゴシック"/>
              <w:color w:val="auto"/>
              <w:highlight w:val="none"/>
            </w:rPr>
            <w:t>９　国の動向（社会保障審議会介護保険部会）</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_Toc152160634 \h </w:instrText>
          </w:r>
          <w:r>
            <w:rPr>
              <w:rFonts w:hint="eastAsia"/>
            </w:rPr>
            <w:fldChar w:fldCharType="separate"/>
          </w:r>
          <w:r>
            <w:rPr>
              <w:rFonts w:hint="default" w:ascii="BIZ UDPゴシック" w:hAnsi="BIZ UDPゴシック" w:eastAsia="BIZ UDPゴシック"/>
            </w:rPr>
            <w:t>58</w:t>
          </w:r>
          <w:r>
            <w:rPr>
              <w:rFonts w:hint="eastAsia"/>
            </w:rPr>
            <w:fldChar w:fldCharType="end"/>
          </w:r>
        </w:p>
        <w:p>
          <w:pPr>
            <w:pStyle w:val="76"/>
            <w:tabs>
              <w:tab w:val="right" w:leader="dot" w:pos="9060"/>
            </w:tabs>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"_Toc152160638"</w:instrText>
          </w:r>
          <w:r>
            <w:rPr>
              <w:rFonts w:hint="eastAsia"/>
            </w:rPr>
            <w:fldChar w:fldCharType="separate"/>
          </w:r>
          <w:r>
            <w:rPr>
              <w:rFonts w:hint="default" w:ascii="BIZ UDPゴシック" w:hAnsi="BIZ UDPゴシック" w:eastAsia="BIZ UDPゴシック"/>
              <w:color w:val="auto"/>
              <w:highlight w:val="none"/>
            </w:rPr>
            <w:t>第３章　第８期計画の振り返り</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_Toc152160638 \h </w:instrText>
          </w:r>
          <w:r>
            <w:rPr>
              <w:rFonts w:hint="eastAsia"/>
            </w:rPr>
            <w:fldChar w:fldCharType="separate"/>
          </w:r>
          <w:r>
            <w:rPr>
              <w:rFonts w:hint="default" w:ascii="BIZ UDPゴシック" w:hAnsi="BIZ UDPゴシック" w:eastAsia="BIZ UDPゴシック"/>
            </w:rPr>
            <w:t>59</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"_Toc152160639"</w:instrText>
          </w:r>
          <w:r>
            <w:rPr>
              <w:rFonts w:hint="eastAsia"/>
            </w:rPr>
            <w:fldChar w:fldCharType="separate"/>
          </w:r>
          <w:r>
            <w:rPr>
              <w:rFonts w:hint="default" w:ascii="BIZ UDPゴシック" w:hAnsi="BIZ UDPゴシック" w:eastAsia="BIZ UDPゴシック"/>
              <w:color w:val="auto"/>
              <w:highlight w:val="none"/>
            </w:rPr>
            <w:t>１　介護保険事業の計画値と実績</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_Toc152160639 \h </w:instrText>
          </w:r>
          <w:r>
            <w:rPr>
              <w:rFonts w:hint="eastAsia"/>
            </w:rPr>
            <w:fldChar w:fldCharType="separate"/>
          </w:r>
          <w:r>
            <w:rPr>
              <w:rFonts w:hint="default" w:ascii="BIZ UDPゴシック" w:hAnsi="BIZ UDPゴシック" w:eastAsia="BIZ UDPゴシック"/>
            </w:rPr>
            <w:t>59</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"_Toc152160642"</w:instrText>
          </w:r>
          <w:r>
            <w:rPr>
              <w:rFonts w:hint="eastAsia"/>
            </w:rPr>
            <w:fldChar w:fldCharType="separate"/>
          </w:r>
          <w:r>
            <w:rPr>
              <w:rFonts w:hint="default" w:ascii="BIZ UDPゴシック" w:hAnsi="BIZ UDPゴシック" w:eastAsia="BIZ UDPゴシック"/>
              <w:color w:val="auto"/>
              <w:highlight w:val="none"/>
            </w:rPr>
            <w:t>２　事業の実施状況と評価</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_Toc152160642 \h </w:instrText>
          </w:r>
          <w:r>
            <w:rPr>
              <w:rFonts w:hint="eastAsia"/>
            </w:rPr>
            <w:fldChar w:fldCharType="separate"/>
          </w:r>
          <w:r>
            <w:rPr>
              <w:rFonts w:hint="default" w:ascii="BIZ UDPゴシック" w:hAnsi="BIZ UDPゴシック" w:eastAsia="BIZ UDPゴシック"/>
            </w:rPr>
            <w:t>64</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"_Toc152160643"</w:instrText>
          </w:r>
          <w:r>
            <w:rPr>
              <w:rFonts w:hint="eastAsia"/>
            </w:rPr>
            <w:fldChar w:fldCharType="separate"/>
          </w:r>
          <w:r>
            <w:rPr>
              <w:rFonts w:hint="default" w:ascii="BIZ UDPゴシック" w:hAnsi="BIZ UDPゴシック" w:eastAsia="BIZ UDPゴシック"/>
              <w:color w:val="auto"/>
              <w:highlight w:val="none"/>
            </w:rPr>
            <w:t>（１）生きがいを持って暮らし続けられるための支援の充実について</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_Toc152160643 \h </w:instrText>
          </w:r>
          <w:r>
            <w:rPr>
              <w:rFonts w:hint="eastAsia"/>
            </w:rPr>
            <w:fldChar w:fldCharType="separate"/>
          </w:r>
          <w:r>
            <w:rPr>
              <w:rFonts w:hint="default" w:ascii="BIZ UDPゴシック" w:hAnsi="BIZ UDPゴシック" w:eastAsia="BIZ UDPゴシック"/>
            </w:rPr>
            <w:t>64</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"_Toc152160644"</w:instrText>
          </w:r>
          <w:r>
            <w:rPr>
              <w:rFonts w:hint="eastAsia"/>
            </w:rPr>
            <w:fldChar w:fldCharType="separate"/>
          </w:r>
          <w:r>
            <w:rPr>
              <w:rFonts w:hint="default" w:ascii="BIZ UDPゴシック" w:hAnsi="BIZ UDPゴシック" w:eastAsia="BIZ UDPゴシック"/>
              <w:color w:val="auto"/>
              <w:highlight w:val="none"/>
            </w:rPr>
            <w:t>（２）認知症とともに暮らす地域の実現について</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_Toc152160644 \h </w:instrText>
          </w:r>
          <w:r>
            <w:rPr>
              <w:rFonts w:hint="eastAsia"/>
            </w:rPr>
            <w:fldChar w:fldCharType="separate"/>
          </w:r>
          <w:r>
            <w:rPr>
              <w:rFonts w:hint="default" w:ascii="BIZ UDPゴシック" w:hAnsi="BIZ UDPゴシック" w:eastAsia="BIZ UDPゴシック"/>
            </w:rPr>
            <w:t>67</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"_Toc152160645"</w:instrText>
          </w:r>
          <w:r>
            <w:rPr>
              <w:rFonts w:hint="eastAsia"/>
            </w:rPr>
            <w:fldChar w:fldCharType="separate"/>
          </w:r>
          <w:r>
            <w:rPr>
              <w:rFonts w:hint="default" w:ascii="BIZ UDPゴシック" w:hAnsi="BIZ UDPゴシック" w:eastAsia="BIZ UDPゴシック"/>
              <w:color w:val="auto"/>
              <w:highlight w:val="none"/>
            </w:rPr>
            <w:t>（３）地域で暮らし続けられる体制の構築について</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_Toc152160645 \h </w:instrText>
          </w:r>
          <w:r>
            <w:rPr>
              <w:rFonts w:hint="eastAsia"/>
            </w:rPr>
            <w:fldChar w:fldCharType="separate"/>
          </w:r>
          <w:r>
            <w:rPr>
              <w:rFonts w:hint="default" w:ascii="BIZ UDPゴシック" w:hAnsi="BIZ UDPゴシック" w:eastAsia="BIZ UDPゴシック"/>
            </w:rPr>
            <w:t>68</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"_Toc152160646"</w:instrText>
          </w:r>
          <w:r>
            <w:rPr>
              <w:rFonts w:hint="eastAsia"/>
            </w:rPr>
            <w:fldChar w:fldCharType="separate"/>
          </w:r>
          <w:r>
            <w:rPr>
              <w:rFonts w:hint="default" w:ascii="BIZ UDPゴシック" w:hAnsi="BIZ UDPゴシック" w:eastAsia="BIZ UDPゴシック"/>
              <w:color w:val="auto"/>
              <w:highlight w:val="none"/>
            </w:rPr>
            <w:t>（４）介護保険サービスの安定的な提供について</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_Toc152160646 \h </w:instrText>
          </w:r>
          <w:r>
            <w:rPr>
              <w:rFonts w:hint="eastAsia"/>
            </w:rPr>
            <w:fldChar w:fldCharType="separate"/>
          </w:r>
          <w:r>
            <w:rPr>
              <w:rFonts w:hint="default" w:ascii="BIZ UDPゴシック" w:hAnsi="BIZ UDPゴシック" w:eastAsia="BIZ UDPゴシック"/>
            </w:rPr>
            <w:t>71</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"_Toc152160647"</w:instrText>
          </w:r>
          <w:r>
            <w:rPr>
              <w:rFonts w:hint="eastAsia"/>
            </w:rPr>
            <w:fldChar w:fldCharType="separate"/>
          </w:r>
          <w:r>
            <w:rPr>
              <w:rFonts w:hint="default" w:ascii="BIZ UDPゴシック" w:hAnsi="BIZ UDPゴシック" w:eastAsia="BIZ UDPゴシック"/>
              <w:color w:val="auto"/>
              <w:highlight w:val="none"/>
            </w:rPr>
            <w:t>（５）総合的な評価</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_Toc152160647 \h </w:instrText>
          </w:r>
          <w:r>
            <w:rPr>
              <w:rFonts w:hint="eastAsia"/>
            </w:rPr>
            <w:fldChar w:fldCharType="separate"/>
          </w:r>
          <w:r>
            <w:rPr>
              <w:rFonts w:hint="default" w:ascii="BIZ UDPゴシック" w:hAnsi="BIZ UDPゴシック" w:eastAsia="BIZ UDPゴシック"/>
            </w:rPr>
            <w:t>72</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"_Toc152160648"</w:instrText>
          </w:r>
          <w:r>
            <w:rPr>
              <w:rFonts w:hint="eastAsia"/>
            </w:rPr>
            <w:fldChar w:fldCharType="separate"/>
          </w:r>
          <w:r>
            <w:rPr>
              <w:rFonts w:hint="default" w:ascii="BIZ UDPゴシック" w:hAnsi="BIZ UDPゴシック" w:eastAsia="BIZ UDPゴシック"/>
              <w:color w:val="auto"/>
              <w:highlight w:val="none"/>
            </w:rPr>
            <w:t>４　</w:t>
          </w:r>
          <w:r>
            <w:rPr>
              <w:rFonts w:hint="default" w:ascii="BIZ UDPゴシック" w:hAnsi="BIZ UDPゴシック" w:eastAsia="BIZ UDPゴシック"/>
              <w:color w:val="auto"/>
              <w:w w:val="95"/>
              <w:highlight w:val="none"/>
            </w:rPr>
            <w:t>第８期計画進捗状況及び各種アンケート調査による本市の課題</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_Toc152160648 \h </w:instrText>
          </w:r>
          <w:r>
            <w:rPr>
              <w:rFonts w:hint="eastAsia"/>
            </w:rPr>
            <w:fldChar w:fldCharType="separate"/>
          </w:r>
          <w:r>
            <w:rPr>
              <w:rFonts w:hint="default" w:ascii="BIZ UDPゴシック" w:hAnsi="BIZ UDPゴシック" w:eastAsia="BIZ UDPゴシック"/>
            </w:rPr>
            <w:t>73</w:t>
          </w:r>
          <w:r>
            <w:rPr>
              <w:rFonts w:hint="eastAsia"/>
            </w:rPr>
            <w:fldChar w:fldCharType="end"/>
          </w:r>
        </w:p>
        <w:p>
          <w:pPr>
            <w:pStyle w:val="76"/>
            <w:tabs>
              <w:tab w:val="right" w:leader="dot" w:pos="9060"/>
            </w:tabs>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"_Toc152160655"</w:instrText>
          </w:r>
          <w:r>
            <w:rPr>
              <w:rFonts w:hint="eastAsia"/>
            </w:rPr>
            <w:fldChar w:fldCharType="separate"/>
          </w:r>
          <w:r>
            <w:rPr>
              <w:rFonts w:hint="default" w:ascii="BIZ UDPゴシック" w:hAnsi="BIZ UDPゴシック" w:eastAsia="BIZ UDPゴシック"/>
              <w:color w:val="auto"/>
              <w:highlight w:val="none"/>
            </w:rPr>
            <w:t>第４章　計画の基本的な考え方</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_Toc152160655 \h </w:instrText>
          </w:r>
          <w:r>
            <w:rPr>
              <w:rFonts w:hint="eastAsia"/>
            </w:rPr>
            <w:fldChar w:fldCharType="separate"/>
          </w:r>
          <w:r>
            <w:rPr>
              <w:rFonts w:hint="default" w:ascii="BIZ UDPゴシック" w:hAnsi="BIZ UDPゴシック" w:eastAsia="BIZ UDPゴシック"/>
            </w:rPr>
            <w:t>74</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"_Toc152160656"</w:instrText>
          </w:r>
          <w:r>
            <w:rPr>
              <w:rFonts w:hint="eastAsia"/>
            </w:rPr>
            <w:fldChar w:fldCharType="separate"/>
          </w:r>
          <w:r>
            <w:rPr>
              <w:rFonts w:hint="default" w:ascii="BIZ UDPゴシック" w:hAnsi="BIZ UDPゴシック" w:eastAsia="BIZ UDPゴシック"/>
              <w:color w:val="auto"/>
              <w:highlight w:val="none"/>
            </w:rPr>
            <w:t>１</w:t>
          </w:r>
          <w:r>
            <w:rPr>
              <w:rFonts w:hint="default" w:ascii="BIZ UDPゴシック" w:hAnsi="BIZ UDPゴシック" w:eastAsia="BIZ UDPゴシック"/>
              <w:color w:val="auto"/>
              <w:highlight w:val="none"/>
            </w:rPr>
            <w:t xml:space="preserve"> </w:t>
          </w:r>
          <w:r>
            <w:rPr>
              <w:rFonts w:hint="default" w:ascii="BIZ UDPゴシック" w:hAnsi="BIZ UDPゴシック" w:eastAsia="BIZ UDPゴシック"/>
              <w:color w:val="auto"/>
              <w:highlight w:val="none"/>
            </w:rPr>
            <w:t>第</w:t>
          </w:r>
          <w:r>
            <w:rPr>
              <w:rFonts w:hint="default" w:ascii="BIZ UDPゴシック" w:hAnsi="BIZ UDPゴシック" w:eastAsia="BIZ UDPゴシック"/>
              <w:color w:val="auto"/>
              <w:highlight w:val="none"/>
            </w:rPr>
            <w:t>9</w:t>
          </w:r>
          <w:r>
            <w:rPr>
              <w:rFonts w:hint="default" w:ascii="BIZ UDPゴシック" w:hAnsi="BIZ UDPゴシック" w:eastAsia="BIZ UDPゴシック"/>
              <w:color w:val="auto"/>
              <w:highlight w:val="none"/>
            </w:rPr>
            <w:t>期計画の基本理念</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_Toc152160656 \h </w:instrText>
          </w:r>
          <w:r>
            <w:rPr>
              <w:rFonts w:hint="eastAsia"/>
            </w:rPr>
            <w:fldChar w:fldCharType="separate"/>
          </w:r>
          <w:r>
            <w:rPr>
              <w:rFonts w:hint="default" w:ascii="BIZ UDPゴシック" w:hAnsi="BIZ UDPゴシック" w:eastAsia="BIZ UDPゴシック"/>
            </w:rPr>
            <w:t>74</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"_Toc152160657"</w:instrText>
          </w:r>
          <w:r>
            <w:rPr>
              <w:rFonts w:hint="eastAsia"/>
            </w:rPr>
            <w:fldChar w:fldCharType="separate"/>
          </w:r>
          <w:r>
            <w:rPr>
              <w:rFonts w:hint="default" w:ascii="BIZ UDPゴシック" w:hAnsi="BIZ UDPゴシック" w:eastAsia="BIZ UDPゴシック"/>
              <w:color w:val="auto"/>
              <w:highlight w:val="none"/>
            </w:rPr>
            <w:t>２</w:t>
          </w:r>
          <w:r>
            <w:rPr>
              <w:rFonts w:hint="default" w:ascii="BIZ UDPゴシック" w:hAnsi="BIZ UDPゴシック" w:eastAsia="BIZ UDPゴシック"/>
              <w:color w:val="auto"/>
              <w:highlight w:val="none"/>
            </w:rPr>
            <w:t xml:space="preserve"> </w:t>
          </w:r>
          <w:r>
            <w:rPr>
              <w:rFonts w:hint="default" w:ascii="BIZ UDPゴシック" w:hAnsi="BIZ UDPゴシック" w:eastAsia="BIZ UDPゴシック"/>
              <w:color w:val="auto"/>
              <w:highlight w:val="none"/>
            </w:rPr>
            <w:t>施策体系</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_Toc152160657 \h </w:instrText>
          </w:r>
          <w:r>
            <w:rPr>
              <w:rFonts w:hint="eastAsia"/>
            </w:rPr>
            <w:fldChar w:fldCharType="separate"/>
          </w:r>
          <w:r>
            <w:rPr>
              <w:rFonts w:hint="default" w:ascii="BIZ UDPゴシック" w:hAnsi="BIZ UDPゴシック" w:eastAsia="BIZ UDPゴシック"/>
            </w:rPr>
            <w:t>74</w:t>
          </w:r>
          <w:r>
            <w:rPr>
              <w:rFonts w:hint="eastAsia"/>
            </w:rPr>
            <w:fldChar w:fldCharType="end"/>
          </w:r>
        </w:p>
        <w:p>
          <w:pPr>
            <w:pStyle w:val="76"/>
            <w:tabs>
              <w:tab w:val="right" w:leader="dot" w:pos="9060"/>
            </w:tabs>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"_Toc152160658"</w:instrText>
          </w:r>
          <w:r>
            <w:rPr>
              <w:rFonts w:hint="eastAsia"/>
            </w:rPr>
            <w:fldChar w:fldCharType="separate"/>
          </w:r>
          <w:r>
            <w:rPr>
              <w:rFonts w:hint="default" w:ascii="BIZ UDPゴシック" w:hAnsi="BIZ UDPゴシック" w:eastAsia="BIZ UDPゴシック"/>
              <w:color w:val="auto"/>
              <w:highlight w:val="none"/>
            </w:rPr>
            <w:t>第５章　施策の展開</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_Toc152160658 \h </w:instrText>
          </w:r>
          <w:r>
            <w:rPr>
              <w:rFonts w:hint="eastAsia"/>
            </w:rPr>
            <w:fldChar w:fldCharType="separate"/>
          </w:r>
          <w:r>
            <w:rPr>
              <w:rFonts w:hint="default" w:ascii="BIZ UDPゴシック" w:hAnsi="BIZ UDPゴシック" w:eastAsia="BIZ UDPゴシック"/>
            </w:rPr>
            <w:t>76</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"_Toc152160659"</w:instrText>
          </w:r>
          <w:r>
            <w:rPr>
              <w:rFonts w:hint="eastAsia"/>
            </w:rPr>
            <w:fldChar w:fldCharType="separate"/>
          </w:r>
          <w:r>
            <w:rPr>
              <w:rFonts w:hint="default" w:ascii="BIZ UDPゴシック" w:hAnsi="BIZ UDPゴシック" w:eastAsia="BIZ UDPゴシック"/>
              <w:color w:val="auto"/>
              <w:highlight w:val="none"/>
            </w:rPr>
            <w:t>基本方針１　地域包括ケアシステムの深化・推進</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_Toc152160659 \h </w:instrText>
          </w:r>
          <w:r>
            <w:rPr>
              <w:rFonts w:hint="eastAsia"/>
            </w:rPr>
            <w:fldChar w:fldCharType="separate"/>
          </w:r>
          <w:r>
            <w:rPr>
              <w:rFonts w:hint="default" w:ascii="BIZ UDPゴシック" w:hAnsi="BIZ UDPゴシック" w:eastAsia="BIZ UDPゴシック"/>
            </w:rPr>
            <w:t>76</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"_Toc152160660"</w:instrText>
          </w:r>
          <w:r>
            <w:rPr>
              <w:rFonts w:hint="eastAsia"/>
            </w:rPr>
            <w:fldChar w:fldCharType="separate"/>
          </w:r>
          <w:r>
            <w:rPr>
              <w:rFonts w:hint="default" w:ascii="BIZ UDPゴシック" w:hAnsi="BIZ UDPゴシック" w:eastAsia="BIZ UDPゴシック"/>
              <w:color w:val="auto"/>
              <w:highlight w:val="none"/>
            </w:rPr>
            <w:t>（１）</w:t>
          </w:r>
          <w:r>
            <w:rPr>
              <w:rFonts w:hint="default" w:ascii="BIZ UDPゴシック" w:hAnsi="BIZ UDPゴシック" w:eastAsia="BIZ UDPゴシック"/>
              <w:color w:val="auto"/>
              <w:highlight w:val="none"/>
            </w:rPr>
            <w:t xml:space="preserve"> </w:t>
          </w:r>
          <w:r>
            <w:rPr>
              <w:rFonts w:hint="default" w:ascii="BIZ UDPゴシック" w:hAnsi="BIZ UDPゴシック" w:eastAsia="BIZ UDPゴシック"/>
              <w:color w:val="auto"/>
              <w:highlight w:val="none"/>
            </w:rPr>
            <w:t>包括的な支援体制の構築</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_Toc152160660 \h </w:instrText>
          </w:r>
          <w:r>
            <w:rPr>
              <w:rFonts w:hint="eastAsia"/>
            </w:rPr>
            <w:fldChar w:fldCharType="separate"/>
          </w:r>
          <w:r>
            <w:rPr>
              <w:rFonts w:hint="default" w:ascii="BIZ UDPゴシック" w:hAnsi="BIZ UDPゴシック" w:eastAsia="BIZ UDPゴシック"/>
            </w:rPr>
            <w:t>77</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"_Toc152160661"</w:instrText>
          </w:r>
          <w:r>
            <w:rPr>
              <w:rFonts w:hint="eastAsia"/>
            </w:rPr>
            <w:fldChar w:fldCharType="separate"/>
          </w:r>
          <w:r>
            <w:rPr>
              <w:rFonts w:hint="default" w:ascii="BIZ UDPゴシック" w:hAnsi="BIZ UDPゴシック" w:eastAsia="BIZ UDPゴシック"/>
              <w:color w:val="auto"/>
              <w:highlight w:val="none"/>
            </w:rPr>
            <w:t>（２）</w:t>
          </w:r>
          <w:r>
            <w:rPr>
              <w:rFonts w:hint="default" w:ascii="BIZ UDPゴシック" w:hAnsi="BIZ UDPゴシック" w:eastAsia="BIZ UDPゴシック"/>
              <w:color w:val="auto"/>
              <w:highlight w:val="none"/>
            </w:rPr>
            <w:t xml:space="preserve"> </w:t>
          </w:r>
          <w:r>
            <w:rPr>
              <w:rFonts w:hint="default" w:ascii="BIZ UDPゴシック" w:hAnsi="BIZ UDPゴシック" w:eastAsia="BIZ UDPゴシック"/>
              <w:color w:val="auto"/>
              <w:highlight w:val="none"/>
            </w:rPr>
            <w:t>医療と介護の連携強化</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_Toc152160661 \h </w:instrText>
          </w:r>
          <w:r>
            <w:rPr>
              <w:rFonts w:hint="eastAsia"/>
            </w:rPr>
            <w:fldChar w:fldCharType="separate"/>
          </w:r>
          <w:r>
            <w:rPr>
              <w:rFonts w:hint="default" w:ascii="BIZ UDPゴシック" w:hAnsi="BIZ UDPゴシック" w:eastAsia="BIZ UDPゴシック"/>
            </w:rPr>
            <w:t>80</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"_Toc152160662"</w:instrText>
          </w:r>
          <w:r>
            <w:rPr>
              <w:rFonts w:hint="eastAsia"/>
            </w:rPr>
            <w:fldChar w:fldCharType="separate"/>
          </w:r>
          <w:r>
            <w:rPr>
              <w:rFonts w:hint="default" w:ascii="BIZ UDPゴシック" w:hAnsi="BIZ UDPゴシック" w:eastAsia="BIZ UDPゴシック"/>
              <w:color w:val="auto"/>
              <w:highlight w:val="none"/>
            </w:rPr>
            <w:t>（３）</w:t>
          </w:r>
          <w:r>
            <w:rPr>
              <w:rFonts w:hint="default" w:ascii="BIZ UDPゴシック" w:hAnsi="BIZ UDPゴシック" w:eastAsia="BIZ UDPゴシック"/>
              <w:color w:val="auto"/>
              <w:highlight w:val="none"/>
            </w:rPr>
            <w:t xml:space="preserve"> </w:t>
          </w:r>
          <w:r>
            <w:rPr>
              <w:rFonts w:hint="default" w:ascii="BIZ UDPゴシック" w:hAnsi="BIZ UDPゴシック" w:eastAsia="BIZ UDPゴシック"/>
              <w:color w:val="auto"/>
              <w:highlight w:val="none"/>
            </w:rPr>
            <w:t>高齢者の権利擁護・虐待防止の推進</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_Toc152160662 \h </w:instrText>
          </w:r>
          <w:r>
            <w:rPr>
              <w:rFonts w:hint="eastAsia"/>
            </w:rPr>
            <w:fldChar w:fldCharType="separate"/>
          </w:r>
          <w:r>
            <w:rPr>
              <w:rFonts w:hint="default" w:ascii="BIZ UDPゴシック" w:hAnsi="BIZ UDPゴシック" w:eastAsia="BIZ UDPゴシック"/>
            </w:rPr>
            <w:t>82</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"_Toc152160663"</w:instrText>
          </w:r>
          <w:r>
            <w:rPr>
              <w:rFonts w:hint="eastAsia"/>
            </w:rPr>
            <w:fldChar w:fldCharType="separate"/>
          </w:r>
          <w:r>
            <w:rPr>
              <w:rFonts w:hint="default" w:ascii="BIZ UDPゴシック" w:hAnsi="BIZ UDPゴシック" w:eastAsia="BIZ UDPゴシック"/>
              <w:color w:val="auto"/>
              <w:highlight w:val="none"/>
            </w:rPr>
            <w:t>（５）</w:t>
          </w:r>
          <w:r>
            <w:rPr>
              <w:rFonts w:hint="default" w:ascii="BIZ UDPゴシック" w:hAnsi="BIZ UDPゴシック" w:eastAsia="BIZ UDPゴシック"/>
              <w:color w:val="auto"/>
              <w:highlight w:val="none"/>
            </w:rPr>
            <w:t xml:space="preserve"> </w:t>
          </w:r>
          <w:r>
            <w:rPr>
              <w:rFonts w:hint="default" w:ascii="BIZ UDPゴシック" w:hAnsi="BIZ UDPゴシック" w:eastAsia="BIZ UDPゴシック"/>
              <w:color w:val="auto"/>
              <w:highlight w:val="none"/>
            </w:rPr>
            <w:t>災害や感染症対策に係る体制整備</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_Toc152160663 \h </w:instrText>
          </w:r>
          <w:r>
            <w:rPr>
              <w:rFonts w:hint="eastAsia"/>
            </w:rPr>
            <w:fldChar w:fldCharType="separate"/>
          </w:r>
          <w:r>
            <w:rPr>
              <w:rFonts w:hint="default" w:ascii="BIZ UDPゴシック" w:hAnsi="BIZ UDPゴシック" w:eastAsia="BIZ UDPゴシック"/>
            </w:rPr>
            <w:t>87</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"_Toc152160664"</w:instrText>
          </w:r>
          <w:r>
            <w:rPr>
              <w:rFonts w:hint="eastAsia"/>
            </w:rPr>
            <w:fldChar w:fldCharType="separate"/>
          </w:r>
          <w:r>
            <w:rPr>
              <w:rFonts w:hint="default" w:ascii="BIZ UDPゴシック" w:hAnsi="BIZ UDPゴシック" w:eastAsia="BIZ UDPゴシック"/>
              <w:color w:val="auto"/>
              <w:highlight w:val="none"/>
            </w:rPr>
            <w:t>基本方針２　介護予防・健康づくりの推進</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_Toc152160664 \h </w:instrText>
          </w:r>
          <w:r>
            <w:rPr>
              <w:rFonts w:hint="eastAsia"/>
            </w:rPr>
            <w:fldChar w:fldCharType="separate"/>
          </w:r>
          <w:r>
            <w:rPr>
              <w:rFonts w:hint="default" w:ascii="BIZ UDPゴシック" w:hAnsi="BIZ UDPゴシック" w:eastAsia="BIZ UDPゴシック"/>
            </w:rPr>
            <w:t>89</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"_Toc152160665"</w:instrText>
          </w:r>
          <w:r>
            <w:rPr>
              <w:rFonts w:hint="eastAsia"/>
            </w:rPr>
            <w:fldChar w:fldCharType="separate"/>
          </w:r>
          <w:r>
            <w:rPr>
              <w:rFonts w:hint="default" w:ascii="BIZ UDPゴシック" w:hAnsi="BIZ UDPゴシック" w:eastAsia="BIZ UDPゴシック"/>
              <w:color w:val="auto"/>
              <w:highlight w:val="none"/>
            </w:rPr>
            <w:t>（１）</w:t>
          </w:r>
          <w:r>
            <w:rPr>
              <w:rFonts w:hint="default" w:ascii="BIZ UDPゴシック" w:hAnsi="BIZ UDPゴシック" w:eastAsia="BIZ UDPゴシック"/>
              <w:color w:val="auto"/>
              <w:highlight w:val="none"/>
            </w:rPr>
            <w:t xml:space="preserve"> </w:t>
          </w:r>
          <w:r>
            <w:rPr>
              <w:rFonts w:hint="default" w:ascii="BIZ UDPゴシック" w:hAnsi="BIZ UDPゴシック" w:eastAsia="BIZ UDPゴシック"/>
              <w:color w:val="auto"/>
              <w:highlight w:val="none"/>
            </w:rPr>
            <w:t>健康づくりの推進</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_Toc152160665 \h </w:instrText>
          </w:r>
          <w:r>
            <w:rPr>
              <w:rFonts w:hint="eastAsia"/>
            </w:rPr>
            <w:fldChar w:fldCharType="separate"/>
          </w:r>
          <w:r>
            <w:rPr>
              <w:rFonts w:hint="default" w:ascii="BIZ UDPゴシック" w:hAnsi="BIZ UDPゴシック" w:eastAsia="BIZ UDPゴシック"/>
            </w:rPr>
            <w:t>90</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"_Toc152160666"</w:instrText>
          </w:r>
          <w:r>
            <w:rPr>
              <w:rFonts w:hint="eastAsia"/>
            </w:rPr>
            <w:fldChar w:fldCharType="separate"/>
          </w:r>
          <w:r>
            <w:rPr>
              <w:rFonts w:hint="default" w:ascii="BIZ UDPゴシック" w:hAnsi="BIZ UDPゴシック" w:eastAsia="BIZ UDPゴシック"/>
              <w:color w:val="auto"/>
              <w:highlight w:val="none"/>
            </w:rPr>
            <w:t>（２）</w:t>
          </w:r>
          <w:r>
            <w:rPr>
              <w:rFonts w:hint="default" w:ascii="BIZ UDPゴシック" w:hAnsi="BIZ UDPゴシック" w:eastAsia="BIZ UDPゴシック"/>
              <w:color w:val="auto"/>
              <w:highlight w:val="none"/>
            </w:rPr>
            <w:t xml:space="preserve"> </w:t>
          </w:r>
          <w:r>
            <w:rPr>
              <w:rFonts w:hint="default" w:ascii="BIZ UDPゴシック" w:hAnsi="BIZ UDPゴシック" w:eastAsia="BIZ UDPゴシック"/>
              <w:color w:val="auto"/>
              <w:highlight w:val="none"/>
            </w:rPr>
            <w:t>保健事業と介護予防の一体的実施</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_Toc152160666 \h </w:instrText>
          </w:r>
          <w:r>
            <w:rPr>
              <w:rFonts w:hint="eastAsia"/>
            </w:rPr>
            <w:fldChar w:fldCharType="separate"/>
          </w:r>
          <w:r>
            <w:rPr>
              <w:rFonts w:hint="default" w:ascii="BIZ UDPゴシック" w:hAnsi="BIZ UDPゴシック" w:eastAsia="BIZ UDPゴシック"/>
            </w:rPr>
            <w:t>92</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"_Toc152160667"</w:instrText>
          </w:r>
          <w:r>
            <w:rPr>
              <w:rFonts w:hint="eastAsia"/>
            </w:rPr>
            <w:fldChar w:fldCharType="separate"/>
          </w:r>
          <w:r>
            <w:rPr>
              <w:rFonts w:hint="default" w:ascii="BIZ UDPゴシック" w:hAnsi="BIZ UDPゴシック" w:eastAsia="BIZ UDPゴシック"/>
              <w:color w:val="auto"/>
              <w:highlight w:val="none"/>
            </w:rPr>
            <w:t>（３）</w:t>
          </w:r>
          <w:r>
            <w:rPr>
              <w:rFonts w:hint="default" w:ascii="BIZ UDPゴシック" w:hAnsi="BIZ UDPゴシック" w:eastAsia="BIZ UDPゴシック"/>
              <w:color w:val="auto"/>
              <w:highlight w:val="none"/>
            </w:rPr>
            <w:t xml:space="preserve"> </w:t>
          </w:r>
          <w:r>
            <w:rPr>
              <w:rFonts w:hint="default" w:ascii="BIZ UDPゴシック" w:hAnsi="BIZ UDPゴシック" w:eastAsia="BIZ UDPゴシック"/>
              <w:color w:val="auto"/>
              <w:highlight w:val="none"/>
            </w:rPr>
            <w:t>自立支援、介護予防・重度化防止の推進</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_Toc152160667 \h </w:instrText>
          </w:r>
          <w:r>
            <w:rPr>
              <w:rFonts w:hint="eastAsia"/>
            </w:rPr>
            <w:fldChar w:fldCharType="separate"/>
          </w:r>
          <w:r>
            <w:rPr>
              <w:rFonts w:hint="default" w:ascii="BIZ UDPゴシック" w:hAnsi="BIZ UDPゴシック" w:eastAsia="BIZ UDPゴシック"/>
            </w:rPr>
            <w:t>94</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"_Toc152160668"</w:instrText>
          </w:r>
          <w:r>
            <w:rPr>
              <w:rFonts w:hint="eastAsia"/>
            </w:rPr>
            <w:fldChar w:fldCharType="separate"/>
          </w:r>
          <w:r>
            <w:rPr>
              <w:rFonts w:hint="default" w:ascii="BIZ UDPゴシック" w:hAnsi="BIZ UDPゴシック" w:eastAsia="BIZ UDPゴシック"/>
              <w:color w:val="auto"/>
              <w:highlight w:val="none"/>
            </w:rPr>
            <w:t>（４）</w:t>
          </w:r>
          <w:r>
            <w:rPr>
              <w:rFonts w:hint="default" w:ascii="BIZ UDPゴシック" w:hAnsi="BIZ UDPゴシック" w:eastAsia="BIZ UDPゴシック"/>
              <w:color w:val="auto"/>
              <w:highlight w:val="none"/>
            </w:rPr>
            <w:t xml:space="preserve"> </w:t>
          </w:r>
          <w:r>
            <w:rPr>
              <w:rFonts w:hint="default" w:ascii="BIZ UDPゴシック" w:hAnsi="BIZ UDPゴシック" w:eastAsia="BIZ UDPゴシック"/>
              <w:color w:val="auto"/>
              <w:highlight w:val="none"/>
            </w:rPr>
            <w:t>高齢者の生きがいづくりの推進</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_Toc152160668 \h </w:instrText>
          </w:r>
          <w:r>
            <w:rPr>
              <w:rFonts w:hint="eastAsia"/>
            </w:rPr>
            <w:fldChar w:fldCharType="separate"/>
          </w:r>
          <w:r>
            <w:rPr>
              <w:rFonts w:hint="default" w:ascii="BIZ UDPゴシック" w:hAnsi="BIZ UDPゴシック" w:eastAsia="BIZ UDPゴシック"/>
            </w:rPr>
            <w:t>98</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"_Toc152160669"</w:instrText>
          </w:r>
          <w:r>
            <w:rPr>
              <w:rFonts w:hint="eastAsia"/>
            </w:rPr>
            <w:fldChar w:fldCharType="separate"/>
          </w:r>
          <w:r>
            <w:rPr>
              <w:rFonts w:hint="default" w:ascii="BIZ UDPゴシック" w:hAnsi="BIZ UDPゴシック" w:eastAsia="BIZ UDPゴシック"/>
              <w:color w:val="auto"/>
              <w:highlight w:val="none"/>
            </w:rPr>
            <w:t>基本方針３　認知症施策の推進</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_Toc152160669 \h </w:instrText>
          </w:r>
          <w:r>
            <w:rPr>
              <w:rFonts w:hint="eastAsia"/>
            </w:rPr>
            <w:fldChar w:fldCharType="separate"/>
          </w:r>
          <w:r>
            <w:rPr>
              <w:rFonts w:hint="default" w:ascii="BIZ UDPゴシック" w:hAnsi="BIZ UDPゴシック" w:eastAsia="BIZ UDPゴシック"/>
            </w:rPr>
            <w:t>100</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"_Toc152160670"</w:instrText>
          </w:r>
          <w:r>
            <w:rPr>
              <w:rFonts w:hint="eastAsia"/>
            </w:rPr>
            <w:fldChar w:fldCharType="separate"/>
          </w:r>
          <w:r>
            <w:rPr>
              <w:rFonts w:hint="default" w:ascii="BIZ UDPゴシック" w:hAnsi="BIZ UDPゴシック" w:eastAsia="BIZ UDPゴシック"/>
              <w:color w:val="auto"/>
              <w:highlight w:val="none"/>
            </w:rPr>
            <w:t>（１）</w:t>
          </w:r>
          <w:r>
            <w:rPr>
              <w:rFonts w:hint="default" w:ascii="BIZ UDPゴシック" w:hAnsi="BIZ UDPゴシック" w:eastAsia="BIZ UDPゴシック"/>
              <w:color w:val="auto"/>
              <w:highlight w:val="none"/>
            </w:rPr>
            <w:t xml:space="preserve"> </w:t>
          </w:r>
          <w:r>
            <w:rPr>
              <w:rFonts w:hint="default" w:ascii="BIZ UDPゴシック" w:hAnsi="BIZ UDPゴシック" w:eastAsia="BIZ UDPゴシック"/>
              <w:color w:val="auto"/>
              <w:highlight w:val="none"/>
            </w:rPr>
            <w:t>認知症の理解促進</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_Toc152160670 \h </w:instrText>
          </w:r>
          <w:r>
            <w:rPr>
              <w:rFonts w:hint="eastAsia"/>
            </w:rPr>
            <w:fldChar w:fldCharType="separate"/>
          </w:r>
          <w:r>
            <w:rPr>
              <w:rFonts w:hint="default" w:ascii="BIZ UDPゴシック" w:hAnsi="BIZ UDPゴシック" w:eastAsia="BIZ UDPゴシック"/>
            </w:rPr>
            <w:t>101</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"_Toc152160671"</w:instrText>
          </w:r>
          <w:r>
            <w:rPr>
              <w:rFonts w:hint="eastAsia"/>
            </w:rPr>
            <w:fldChar w:fldCharType="separate"/>
          </w:r>
          <w:r>
            <w:rPr>
              <w:rFonts w:hint="default" w:ascii="BIZ UDPゴシック" w:hAnsi="BIZ UDPゴシック" w:eastAsia="BIZ UDPゴシック"/>
              <w:color w:val="auto"/>
              <w:highlight w:val="none"/>
            </w:rPr>
            <w:t>（２）</w:t>
          </w:r>
          <w:r>
            <w:rPr>
              <w:rFonts w:hint="default" w:ascii="BIZ UDPゴシック" w:hAnsi="BIZ UDPゴシック" w:eastAsia="BIZ UDPゴシック"/>
              <w:color w:val="auto"/>
              <w:highlight w:val="none"/>
            </w:rPr>
            <w:t xml:space="preserve"> </w:t>
          </w:r>
          <w:r>
            <w:rPr>
              <w:rFonts w:hint="default" w:ascii="BIZ UDPゴシック" w:hAnsi="BIZ UDPゴシック" w:eastAsia="BIZ UDPゴシック"/>
              <w:color w:val="auto"/>
              <w:highlight w:val="none"/>
            </w:rPr>
            <w:t>本人発信支援</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_Toc152160671 \h </w:instrText>
          </w:r>
          <w:r>
            <w:rPr>
              <w:rFonts w:hint="eastAsia"/>
            </w:rPr>
            <w:fldChar w:fldCharType="separate"/>
          </w:r>
          <w:r>
            <w:rPr>
              <w:rFonts w:hint="default" w:ascii="BIZ UDPゴシック" w:hAnsi="BIZ UDPゴシック" w:eastAsia="BIZ UDPゴシック"/>
            </w:rPr>
            <w:t>103</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"_Toc152160672"</w:instrText>
          </w:r>
          <w:r>
            <w:rPr>
              <w:rFonts w:hint="eastAsia"/>
            </w:rPr>
            <w:fldChar w:fldCharType="separate"/>
          </w:r>
          <w:r>
            <w:rPr>
              <w:rFonts w:hint="default" w:ascii="BIZ UDPゴシック" w:hAnsi="BIZ UDPゴシック" w:eastAsia="BIZ UDPゴシック"/>
              <w:color w:val="auto"/>
              <w:highlight w:val="none"/>
            </w:rPr>
            <w:t>（３）</w:t>
          </w:r>
          <w:r>
            <w:rPr>
              <w:rFonts w:hint="default" w:ascii="BIZ UDPゴシック" w:hAnsi="BIZ UDPゴシック" w:eastAsia="BIZ UDPゴシック"/>
              <w:color w:val="auto"/>
              <w:highlight w:val="none"/>
            </w:rPr>
            <w:t xml:space="preserve"> </w:t>
          </w:r>
          <w:r>
            <w:rPr>
              <w:rFonts w:hint="default" w:ascii="BIZ UDPゴシック" w:hAnsi="BIZ UDPゴシック" w:eastAsia="BIZ UDPゴシック"/>
              <w:color w:val="auto"/>
              <w:highlight w:val="none"/>
            </w:rPr>
            <w:t>認知症予防の推進</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_Toc152160672 \h </w:instrText>
          </w:r>
          <w:r>
            <w:rPr>
              <w:rFonts w:hint="eastAsia"/>
            </w:rPr>
            <w:fldChar w:fldCharType="separate"/>
          </w:r>
          <w:r>
            <w:rPr>
              <w:rFonts w:hint="default" w:ascii="BIZ UDPゴシック" w:hAnsi="BIZ UDPゴシック" w:eastAsia="BIZ UDPゴシック"/>
            </w:rPr>
            <w:t>104</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"_Toc152160673"</w:instrText>
          </w:r>
          <w:r>
            <w:rPr>
              <w:rFonts w:hint="eastAsia"/>
            </w:rPr>
            <w:fldChar w:fldCharType="separate"/>
          </w:r>
          <w:r>
            <w:rPr>
              <w:rFonts w:hint="default" w:ascii="BIZ UDPゴシック" w:hAnsi="BIZ UDPゴシック" w:eastAsia="BIZ UDPゴシック"/>
              <w:color w:val="auto"/>
              <w:highlight w:val="none"/>
            </w:rPr>
            <w:t>（４）</w:t>
          </w:r>
          <w:r>
            <w:rPr>
              <w:rFonts w:hint="default" w:ascii="BIZ UDPゴシック" w:hAnsi="BIZ UDPゴシック" w:eastAsia="BIZ UDPゴシック"/>
              <w:color w:val="auto"/>
              <w:highlight w:val="none"/>
            </w:rPr>
            <w:t xml:space="preserve"> </w:t>
          </w:r>
          <w:r>
            <w:rPr>
              <w:rFonts w:hint="default" w:ascii="BIZ UDPゴシック" w:hAnsi="BIZ UDPゴシック" w:eastAsia="BIZ UDPゴシック"/>
              <w:color w:val="auto"/>
              <w:highlight w:val="none"/>
            </w:rPr>
            <w:t>認知症の人とその家族への支援体制の強化</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_Toc152160673 \h </w:instrText>
          </w:r>
          <w:r>
            <w:rPr>
              <w:rFonts w:hint="eastAsia"/>
            </w:rPr>
            <w:fldChar w:fldCharType="separate"/>
          </w:r>
          <w:r>
            <w:rPr>
              <w:rFonts w:hint="default" w:ascii="BIZ UDPゴシック" w:hAnsi="BIZ UDPゴシック" w:eastAsia="BIZ UDPゴシック"/>
            </w:rPr>
            <w:t>105</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"_Toc152160674"</w:instrText>
          </w:r>
          <w:r>
            <w:rPr>
              <w:rFonts w:hint="eastAsia"/>
            </w:rPr>
            <w:fldChar w:fldCharType="separate"/>
          </w:r>
          <w:r>
            <w:rPr>
              <w:rFonts w:hint="default" w:ascii="BIZ UDPゴシック" w:hAnsi="BIZ UDPゴシック" w:eastAsia="BIZ UDPゴシック"/>
              <w:color w:val="auto"/>
              <w:highlight w:val="none"/>
            </w:rPr>
            <w:t>（５）</w:t>
          </w:r>
          <w:r>
            <w:rPr>
              <w:rFonts w:hint="default" w:ascii="BIZ UDPゴシック" w:hAnsi="BIZ UDPゴシック" w:eastAsia="BIZ UDPゴシック"/>
              <w:color w:val="auto"/>
              <w:highlight w:val="none"/>
            </w:rPr>
            <w:t xml:space="preserve"> </w:t>
          </w:r>
          <w:r>
            <w:rPr>
              <w:rFonts w:hint="default" w:ascii="BIZ UDPゴシック" w:hAnsi="BIZ UDPゴシック" w:eastAsia="BIZ UDPゴシック"/>
              <w:color w:val="auto"/>
              <w:highlight w:val="none"/>
            </w:rPr>
            <w:t>認知症バリアフリーの推進</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_Toc152160674 \h </w:instrText>
          </w:r>
          <w:r>
            <w:rPr>
              <w:rFonts w:hint="eastAsia"/>
            </w:rPr>
            <w:fldChar w:fldCharType="separate"/>
          </w:r>
          <w:r>
            <w:rPr>
              <w:rFonts w:hint="default" w:ascii="BIZ UDPゴシック" w:hAnsi="BIZ UDPゴシック" w:eastAsia="BIZ UDPゴシック"/>
            </w:rPr>
            <w:t>107</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"_Toc152160675"</w:instrText>
          </w:r>
          <w:r>
            <w:rPr>
              <w:rFonts w:hint="eastAsia"/>
            </w:rPr>
            <w:fldChar w:fldCharType="separate"/>
          </w:r>
          <w:r>
            <w:rPr>
              <w:rFonts w:hint="default" w:ascii="BIZ UDPゴシック" w:hAnsi="BIZ UDPゴシック" w:eastAsia="BIZ UDPゴシック"/>
              <w:color w:val="auto"/>
              <w:highlight w:val="none"/>
            </w:rPr>
            <w:t>基本方針４　介護保険サービスの安定的な提供</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_Toc152160675 \h </w:instrText>
          </w:r>
          <w:r>
            <w:rPr>
              <w:rFonts w:hint="eastAsia"/>
            </w:rPr>
            <w:fldChar w:fldCharType="separate"/>
          </w:r>
          <w:r>
            <w:rPr>
              <w:rFonts w:hint="default" w:ascii="BIZ UDPゴシック" w:hAnsi="BIZ UDPゴシック" w:eastAsia="BIZ UDPゴシック"/>
            </w:rPr>
            <w:t>109</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"_Toc152160676"</w:instrText>
          </w:r>
          <w:r>
            <w:rPr>
              <w:rFonts w:hint="eastAsia"/>
            </w:rPr>
            <w:fldChar w:fldCharType="separate"/>
          </w:r>
          <w:r>
            <w:rPr>
              <w:rFonts w:hint="default" w:ascii="BIZ UDPゴシック" w:hAnsi="BIZ UDPゴシック" w:eastAsia="BIZ UDPゴシック"/>
              <w:color w:val="auto"/>
              <w:highlight w:val="none"/>
            </w:rPr>
            <w:t>（１）</w:t>
          </w:r>
          <w:r>
            <w:rPr>
              <w:rFonts w:hint="default" w:ascii="BIZ UDPゴシック" w:hAnsi="BIZ UDPゴシック" w:eastAsia="BIZ UDPゴシック"/>
              <w:color w:val="auto"/>
              <w:highlight w:val="none"/>
            </w:rPr>
            <w:t xml:space="preserve"> </w:t>
          </w:r>
          <w:r>
            <w:rPr>
              <w:rFonts w:hint="default" w:ascii="BIZ UDPゴシック" w:hAnsi="BIZ UDPゴシック" w:eastAsia="BIZ UDPゴシック"/>
              <w:color w:val="auto"/>
              <w:highlight w:val="none"/>
            </w:rPr>
            <w:t>地域の実情に応じた介護サービスの基盤整備</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_Toc152160676 \h </w:instrText>
          </w:r>
          <w:r>
            <w:rPr>
              <w:rFonts w:hint="eastAsia"/>
            </w:rPr>
            <w:fldChar w:fldCharType="separate"/>
          </w:r>
          <w:r>
            <w:rPr>
              <w:rFonts w:hint="default" w:ascii="BIZ UDPゴシック" w:hAnsi="BIZ UDPゴシック" w:eastAsia="BIZ UDPゴシック"/>
            </w:rPr>
            <w:t>110</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"_Toc152160677"</w:instrText>
          </w:r>
          <w:r>
            <w:rPr>
              <w:rFonts w:hint="eastAsia"/>
            </w:rPr>
            <w:fldChar w:fldCharType="separate"/>
          </w:r>
          <w:r>
            <w:rPr>
              <w:rFonts w:hint="default" w:ascii="BIZ UDPゴシック" w:hAnsi="BIZ UDPゴシック" w:eastAsia="BIZ UDPゴシック"/>
              <w:color w:val="auto"/>
              <w:highlight w:val="none"/>
            </w:rPr>
            <w:t>（２）</w:t>
          </w:r>
          <w:r>
            <w:rPr>
              <w:rFonts w:hint="default" w:ascii="BIZ UDPゴシック" w:hAnsi="BIZ UDPゴシック" w:eastAsia="BIZ UDPゴシック"/>
              <w:color w:val="auto"/>
              <w:highlight w:val="none"/>
            </w:rPr>
            <w:t xml:space="preserve"> </w:t>
          </w:r>
          <w:r>
            <w:rPr>
              <w:rFonts w:hint="default" w:ascii="BIZ UDPゴシック" w:hAnsi="BIZ UDPゴシック" w:eastAsia="BIZ UDPゴシック"/>
              <w:color w:val="auto"/>
              <w:highlight w:val="none"/>
            </w:rPr>
            <w:t>働きやすい職場づくりの推進</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_Toc152160677 \h </w:instrText>
          </w:r>
          <w:r>
            <w:rPr>
              <w:rFonts w:hint="eastAsia"/>
            </w:rPr>
            <w:fldChar w:fldCharType="separate"/>
          </w:r>
          <w:r>
            <w:rPr>
              <w:rFonts w:hint="default" w:ascii="BIZ UDPゴシック" w:hAnsi="BIZ UDPゴシック" w:eastAsia="BIZ UDPゴシック"/>
            </w:rPr>
            <w:t>112</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"_Toc152160678"</w:instrText>
          </w:r>
          <w:r>
            <w:rPr>
              <w:rFonts w:hint="eastAsia"/>
            </w:rPr>
            <w:fldChar w:fldCharType="separate"/>
          </w:r>
          <w:r>
            <w:rPr>
              <w:rFonts w:hint="default" w:ascii="BIZ UDPゴシック" w:hAnsi="BIZ UDPゴシック" w:eastAsia="BIZ UDPゴシック"/>
              <w:color w:val="auto"/>
              <w:highlight w:val="none"/>
            </w:rPr>
            <w:t>（３）</w:t>
          </w:r>
          <w:r>
            <w:rPr>
              <w:rFonts w:hint="default" w:ascii="BIZ UDPゴシック" w:hAnsi="BIZ UDPゴシック" w:eastAsia="BIZ UDPゴシック"/>
              <w:color w:val="auto"/>
              <w:highlight w:val="none"/>
            </w:rPr>
            <w:t xml:space="preserve"> </w:t>
          </w:r>
          <w:r>
            <w:rPr>
              <w:rFonts w:hint="default" w:ascii="BIZ UDPゴシック" w:hAnsi="BIZ UDPゴシック" w:eastAsia="BIZ UDPゴシック"/>
              <w:color w:val="auto"/>
              <w:highlight w:val="none"/>
            </w:rPr>
            <w:t>総合的な介護人材の確保対策</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_Toc152160678 \h </w:instrText>
          </w:r>
          <w:r>
            <w:rPr>
              <w:rFonts w:hint="eastAsia"/>
            </w:rPr>
            <w:fldChar w:fldCharType="separate"/>
          </w:r>
          <w:r>
            <w:rPr>
              <w:rFonts w:hint="default" w:ascii="BIZ UDPゴシック" w:hAnsi="BIZ UDPゴシック" w:eastAsia="BIZ UDPゴシック"/>
            </w:rPr>
            <w:t>114</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"_Toc152160679"</w:instrText>
          </w:r>
          <w:r>
            <w:rPr>
              <w:rFonts w:hint="eastAsia"/>
            </w:rPr>
            <w:fldChar w:fldCharType="separate"/>
          </w:r>
          <w:r>
            <w:rPr>
              <w:rFonts w:hint="default" w:ascii="BIZ UDPゴシック" w:hAnsi="BIZ UDPゴシック" w:eastAsia="BIZ UDPゴシック"/>
              <w:color w:val="auto"/>
              <w:highlight w:val="none"/>
            </w:rPr>
            <w:t>（４）</w:t>
          </w:r>
          <w:r>
            <w:rPr>
              <w:rFonts w:hint="default" w:ascii="BIZ UDPゴシック" w:hAnsi="BIZ UDPゴシック" w:eastAsia="BIZ UDPゴシック"/>
              <w:color w:val="auto"/>
              <w:highlight w:val="none"/>
            </w:rPr>
            <w:t xml:space="preserve"> </w:t>
          </w:r>
          <w:r>
            <w:rPr>
              <w:rFonts w:hint="default" w:ascii="BIZ UDPゴシック" w:hAnsi="BIZ UDPゴシック" w:eastAsia="BIZ UDPゴシック"/>
              <w:color w:val="auto"/>
              <w:highlight w:val="none"/>
            </w:rPr>
            <w:t>介護保険サービスの資質向上</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_Toc152160679 \h </w:instrText>
          </w:r>
          <w:r>
            <w:rPr>
              <w:rFonts w:hint="eastAsia"/>
            </w:rPr>
            <w:fldChar w:fldCharType="separate"/>
          </w:r>
          <w:r>
            <w:rPr>
              <w:rFonts w:hint="default" w:ascii="BIZ UDPゴシック" w:hAnsi="BIZ UDPゴシック" w:eastAsia="BIZ UDPゴシック"/>
            </w:rPr>
            <w:t>116</w:t>
          </w:r>
          <w:r>
            <w:rPr>
              <w:rFonts w:hint="eastAsia"/>
            </w:rPr>
            <w:fldChar w:fldCharType="end"/>
          </w:r>
        </w:p>
        <w:p>
          <w:pPr>
            <w:pStyle w:val="76"/>
            <w:tabs>
              <w:tab w:val="right" w:leader="dot" w:pos="9060"/>
            </w:tabs>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"_Toc152160680"</w:instrText>
          </w:r>
          <w:r>
            <w:rPr>
              <w:rFonts w:hint="eastAsia"/>
            </w:rPr>
            <w:fldChar w:fldCharType="separate"/>
          </w:r>
          <w:r>
            <w:rPr>
              <w:rFonts w:hint="default" w:ascii="BIZ UDPゴシック" w:hAnsi="BIZ UDPゴシック" w:eastAsia="BIZ UDPゴシック"/>
              <w:color w:val="auto"/>
              <w:highlight w:val="none"/>
            </w:rPr>
            <w:t>第６章　介護サービス量等の見込み・保険料の設定</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_Toc152160680 \h </w:instrText>
          </w:r>
          <w:r>
            <w:rPr>
              <w:rFonts w:hint="eastAsia"/>
            </w:rPr>
            <w:fldChar w:fldCharType="separate"/>
          </w:r>
          <w:r>
            <w:rPr>
              <w:rFonts w:hint="default" w:ascii="BIZ UDPゴシック" w:hAnsi="BIZ UDPゴシック" w:eastAsia="BIZ UDPゴシック"/>
            </w:rPr>
            <w:t>119</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"_Toc152160681"</w:instrText>
          </w:r>
          <w:r>
            <w:rPr>
              <w:rFonts w:hint="eastAsia"/>
            </w:rPr>
            <w:fldChar w:fldCharType="separate"/>
          </w:r>
          <w:r>
            <w:rPr>
              <w:rFonts w:hint="default" w:ascii="BIZ UDPゴシック" w:hAnsi="BIZ UDPゴシック" w:eastAsia="BIZ UDPゴシック"/>
              <w:color w:val="auto"/>
              <w:highlight w:val="none"/>
            </w:rPr>
            <w:t>１　被保険者数等の見込み</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_Toc152160681 \h </w:instrText>
          </w:r>
          <w:r>
            <w:rPr>
              <w:rFonts w:hint="eastAsia"/>
            </w:rPr>
            <w:fldChar w:fldCharType="separate"/>
          </w:r>
          <w:r>
            <w:rPr>
              <w:rFonts w:hint="default" w:ascii="BIZ UDPゴシック" w:hAnsi="BIZ UDPゴシック" w:eastAsia="BIZ UDPゴシック"/>
            </w:rPr>
            <w:t>119</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"_Toc152160682"</w:instrText>
          </w:r>
          <w:r>
            <w:rPr>
              <w:rFonts w:hint="eastAsia"/>
            </w:rPr>
            <w:fldChar w:fldCharType="separate"/>
          </w:r>
          <w:r>
            <w:rPr>
              <w:rFonts w:hint="default" w:ascii="BIZ UDPゴシック" w:hAnsi="BIZ UDPゴシック" w:eastAsia="BIZ UDPゴシック"/>
              <w:color w:val="auto"/>
              <w:highlight w:val="none"/>
            </w:rPr>
            <w:t>（１）第１号被保険者数の推計</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_Toc152160682 \h </w:instrText>
          </w:r>
          <w:r>
            <w:rPr>
              <w:rFonts w:hint="eastAsia"/>
            </w:rPr>
            <w:fldChar w:fldCharType="separate"/>
          </w:r>
          <w:r>
            <w:rPr>
              <w:rFonts w:hint="default" w:ascii="BIZ UDPゴシック" w:hAnsi="BIZ UDPゴシック" w:eastAsia="BIZ UDPゴシック"/>
            </w:rPr>
            <w:t>119</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"_Toc152160683"</w:instrText>
          </w:r>
          <w:r>
            <w:rPr>
              <w:rFonts w:hint="eastAsia"/>
            </w:rPr>
            <w:fldChar w:fldCharType="separate"/>
          </w:r>
          <w:r>
            <w:rPr>
              <w:rFonts w:hint="default" w:ascii="BIZ UDPゴシック" w:hAnsi="BIZ UDPゴシック" w:eastAsia="BIZ UDPゴシック"/>
              <w:color w:val="auto"/>
              <w:highlight w:val="none"/>
            </w:rPr>
            <w:t>（２）要支援・要介護認定者数の推計</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_Toc152160683 \h </w:instrText>
          </w:r>
          <w:r>
            <w:rPr>
              <w:rFonts w:hint="eastAsia"/>
            </w:rPr>
            <w:fldChar w:fldCharType="separate"/>
          </w:r>
          <w:r>
            <w:rPr>
              <w:rFonts w:hint="default" w:ascii="BIZ UDPゴシック" w:hAnsi="BIZ UDPゴシック" w:eastAsia="BIZ UDPゴシック"/>
            </w:rPr>
            <w:t>120</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"_Toc152160684"</w:instrText>
          </w:r>
          <w:r>
            <w:rPr>
              <w:rFonts w:hint="eastAsia"/>
            </w:rPr>
            <w:fldChar w:fldCharType="separate"/>
          </w:r>
          <w:r>
            <w:rPr>
              <w:rFonts w:hint="default" w:ascii="BIZ UDPゴシック" w:hAnsi="BIZ UDPゴシック" w:eastAsia="BIZ UDPゴシック"/>
              <w:color w:val="auto"/>
              <w:highlight w:val="none"/>
            </w:rPr>
            <w:t>（３）認知症高齢者数の推計</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_Toc152160684 \h </w:instrText>
          </w:r>
          <w:r>
            <w:rPr>
              <w:rFonts w:hint="eastAsia"/>
            </w:rPr>
            <w:fldChar w:fldCharType="separate"/>
          </w:r>
          <w:r>
            <w:rPr>
              <w:rFonts w:hint="default" w:ascii="BIZ UDPゴシック" w:hAnsi="BIZ UDPゴシック" w:eastAsia="BIZ UDPゴシック"/>
            </w:rPr>
            <w:t>122</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"_Toc152160685"</w:instrText>
          </w:r>
          <w:r>
            <w:rPr>
              <w:rFonts w:hint="eastAsia"/>
            </w:rPr>
            <w:fldChar w:fldCharType="separate"/>
          </w:r>
          <w:r>
            <w:rPr>
              <w:rFonts w:hint="default" w:ascii="BIZ UDPゴシック" w:hAnsi="BIZ UDPゴシック" w:eastAsia="BIZ UDPゴシック"/>
              <w:color w:val="auto"/>
              <w:highlight w:val="none"/>
            </w:rPr>
            <w:t>（４）介護人材の推計</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_Toc152160685 \h </w:instrText>
          </w:r>
          <w:r>
            <w:rPr>
              <w:rFonts w:hint="eastAsia"/>
            </w:rPr>
            <w:fldChar w:fldCharType="separate"/>
          </w:r>
          <w:r>
            <w:rPr>
              <w:rFonts w:hint="default" w:ascii="BIZ UDPゴシック" w:hAnsi="BIZ UDPゴシック" w:eastAsia="BIZ UDPゴシック"/>
            </w:rPr>
            <w:t>123</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"_Toc152160686"</w:instrText>
          </w:r>
          <w:r>
            <w:rPr>
              <w:rFonts w:hint="eastAsia"/>
            </w:rPr>
            <w:fldChar w:fldCharType="separate"/>
          </w:r>
          <w:r>
            <w:rPr>
              <w:rFonts w:hint="default" w:ascii="BIZ UDPゴシック" w:hAnsi="BIZ UDPゴシック" w:eastAsia="BIZ UDPゴシック"/>
              <w:color w:val="auto"/>
              <w:highlight w:val="none"/>
            </w:rPr>
            <w:t>２　第９期計画期間内の介護サービス基盤整備</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_Toc152160686 \h </w:instrText>
          </w:r>
          <w:r>
            <w:rPr>
              <w:rFonts w:hint="eastAsia"/>
            </w:rPr>
            <w:fldChar w:fldCharType="separate"/>
          </w:r>
          <w:r>
            <w:rPr>
              <w:rFonts w:hint="default" w:ascii="BIZ UDPゴシック" w:hAnsi="BIZ UDPゴシック" w:eastAsia="BIZ UDPゴシック"/>
            </w:rPr>
            <w:t>124</w:t>
          </w:r>
          <w:r>
            <w:rPr>
              <w:rFonts w:hint="eastAsia"/>
            </w:rPr>
            <w:fldChar w:fldCharType="end"/>
          </w:r>
        </w:p>
        <w:p>
          <w:pPr>
            <w:pStyle w:val="76"/>
            <w:tabs>
              <w:tab w:val="right" w:leader="dot" w:pos="9060"/>
            </w:tabs>
            <w:ind w:left="220" w:leftChars="100"/>
            <w:rPr>
              <w:rFonts w:hint="default" w:ascii="BIZ UDPゴシック" w:hAnsi="BIZ UDPゴシック" w:eastAsia="BIZ UDPゴシック"/>
              <w:color w:val="auto"/>
              <w:sz w:val="21"/>
              <w:highlight w:val="none"/>
            </w:rPr>
          </w:pPr>
          <w:r>
            <w:rPr>
              <w:rFonts w:hint="eastAsia"/>
            </w:rPr>
            <w:fldChar w:fldCharType="begin"/>
          </w:r>
          <w:r>
            <w:rPr>
              <w:rFonts w:hint="eastAsia"/>
            </w:rPr>
            <w:instrText xml:space="preserve"> HYPERLINK  \l "_Toc152160687"</w:instrText>
          </w:r>
          <w:r>
            <w:rPr>
              <w:rFonts w:hint="eastAsia"/>
            </w:rPr>
            <w:fldChar w:fldCharType="separate"/>
          </w:r>
          <w:r>
            <w:rPr>
              <w:rFonts w:hint="default" w:ascii="BIZ UDPゴシック" w:hAnsi="BIZ UDPゴシック" w:eastAsia="BIZ UDPゴシック"/>
              <w:color w:val="auto"/>
              <w:highlight w:val="none"/>
            </w:rPr>
            <w:t>（１）</w:t>
          </w:r>
          <w:r>
            <w:rPr>
              <w:rFonts w:hint="default" w:ascii="BIZ UDPゴシック" w:hAnsi="BIZ UDPゴシック" w:eastAsia="BIZ UDPゴシック"/>
              <w:color w:val="auto"/>
              <w:highlight w:val="none"/>
            </w:rPr>
            <w:t xml:space="preserve"> </w:t>
          </w:r>
          <w:r>
            <w:rPr>
              <w:rFonts w:hint="default" w:ascii="BIZ UDPゴシック" w:hAnsi="BIZ UDPゴシック" w:eastAsia="BIZ UDPゴシック"/>
              <w:color w:val="auto"/>
              <w:highlight w:val="none"/>
            </w:rPr>
            <w:t>施設サービス</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_Toc152160687 \h </w:instrText>
          </w:r>
          <w:r>
            <w:rPr>
              <w:rFonts w:hint="eastAsia"/>
            </w:rPr>
            <w:fldChar w:fldCharType="separate"/>
          </w:r>
          <w:r>
            <w:rPr>
              <w:rFonts w:hint="default" w:ascii="BIZ UDPゴシック" w:hAnsi="BIZ UDPゴシック" w:eastAsia="BIZ UDPゴシック"/>
            </w:rPr>
            <w:t>124</w:t>
          </w:r>
          <w:r>
            <w:rPr>
              <w:rFonts w:hint="eastAsia"/>
            </w:rPr>
            <w:fldChar w:fldCharType="end"/>
          </w:r>
        </w:p>
        <w:p>
          <w:pPr>
            <w:pStyle w:val="76"/>
            <w:tabs>
              <w:tab w:val="right" w:leader="dot" w:pos="9060"/>
            </w:tabs>
            <w:ind w:left="220" w:leftChars="100"/>
            <w:rPr>
              <w:rFonts w:hint="default" w:asciiTheme="minorHAnsi" w:hAnsiTheme="minorHAnsi" w:eastAsiaTheme="minorEastAsia"/>
              <w:color w:val="auto"/>
              <w:sz w:val="21"/>
              <w:highlight w:val="none"/>
            </w:rPr>
          </w:pPr>
          <w:r>
            <w:rPr>
              <w:rFonts w:hint="eastAsia"/>
            </w:rPr>
            <w:fldChar w:fldCharType="begin"/>
          </w:r>
          <w:r>
            <w:rPr>
              <w:rFonts w:hint="eastAsia"/>
            </w:rPr>
            <w:instrText xml:space="preserve"> HYPERLINK  \l "_Toc152160688"</w:instrText>
          </w:r>
          <w:r>
            <w:rPr>
              <w:rFonts w:hint="eastAsia"/>
            </w:rPr>
            <w:fldChar w:fldCharType="separate"/>
          </w:r>
          <w:r>
            <w:rPr>
              <w:rFonts w:hint="default" w:ascii="BIZ UDPゴシック" w:hAnsi="BIZ UDPゴシック" w:eastAsia="BIZ UDPゴシック"/>
              <w:color w:val="auto"/>
              <w:highlight w:val="none"/>
            </w:rPr>
            <w:t>（２）</w:t>
          </w:r>
          <w:r>
            <w:rPr>
              <w:rFonts w:hint="default" w:ascii="BIZ UDPゴシック" w:hAnsi="BIZ UDPゴシック" w:eastAsia="BIZ UDPゴシック"/>
              <w:color w:val="auto"/>
              <w:highlight w:val="none"/>
            </w:rPr>
            <w:t xml:space="preserve"> </w:t>
          </w:r>
          <w:r>
            <w:rPr>
              <w:rFonts w:hint="default" w:ascii="BIZ UDPゴシック" w:hAnsi="BIZ UDPゴシック" w:eastAsia="BIZ UDPゴシック"/>
              <w:color w:val="auto"/>
              <w:highlight w:val="none"/>
            </w:rPr>
            <w:t>地域密着型サービス</w:t>
          </w:r>
          <w:r>
            <w:rPr>
              <w:rFonts w:hint="default" w:ascii="BIZ UDPゴシック" w:hAnsi="BIZ UDPゴシック" w:eastAsia="BIZ UDPゴシック"/>
              <w:color w:val="auto"/>
              <w:highlight w:val="none"/>
            </w:rPr>
            <w:tab/>
          </w:r>
          <w:r>
            <w:rPr>
              <w:rFonts w:hint="eastAsia"/>
            </w:rPr>
            <w:fldChar w:fldCharType="end"/>
          </w:r>
          <w:r>
            <w:rPr>
              <w:rFonts w:hint="eastAsia"/>
            </w:rPr>
            <w:fldChar w:fldCharType="begin"/>
          </w:r>
          <w:r>
            <w:rPr>
              <w:rFonts w:hint="default" w:ascii="BIZ UDPゴシック" w:hAnsi="BIZ UDPゴシック" w:eastAsia="BIZ UDPゴシック"/>
            </w:rPr>
            <w:instrText xml:space="preserve">PageRef _Toc152160688 \h </w:instrText>
          </w:r>
          <w:r>
            <w:rPr>
              <w:rFonts w:hint="eastAsia"/>
            </w:rPr>
            <w:fldChar w:fldCharType="separate"/>
          </w:r>
          <w:r>
            <w:rPr>
              <w:rFonts w:hint="default" w:ascii="BIZ UDPゴシック" w:hAnsi="BIZ UDPゴシック" w:eastAsia="BIZ UDPゴシック"/>
            </w:rPr>
            <w:t>124</w:t>
          </w:r>
          <w:r>
            <w:rPr>
              <w:rFonts w:hint="eastAsia"/>
            </w:rPr>
            <w:fldChar w:fldCharType="end"/>
          </w:r>
        </w:p>
        <w:p>
          <w:pPr>
            <w:pStyle w:val="0"/>
            <w:rPr>
              <w:rFonts w:hint="default"/>
              <w:color w:val="auto"/>
              <w:highlight w:val="none"/>
            </w:rPr>
          </w:pPr>
          <w:r>
            <w:rPr>
              <w:rFonts w:hint="default" w:ascii="BIZ UDPゴシック" w:hAnsi="BIZ UDPゴシック" w:eastAsia="BIZ UDPゴシック"/>
              <w:color w:val="000000" w:themeColor="text1"/>
            </w:rPr>
            <w:fldChar w:fldCharType="end"/>
          </w:r>
        </w:p>
      </w:sdtContent>
    </w:sdt>
    <w:p>
      <w:pPr>
        <w:rPr>
          <w:rFonts w:hint="default"/>
        </w:rPr>
        <w:sectPr>
          <w:pgSz w:w="11906" w:h="16838"/>
          <w:pgMar w:top="1418" w:right="1418" w:bottom="1134" w:left="1418" w:header="851" w:footer="567" w:gutter="0"/>
          <w:cols w:space="720"/>
          <w:textDirection w:val="lrTb"/>
          <w:docGrid w:type="linesAndChars" w:linePitch="380"/>
        </w:sectPr>
      </w:pPr>
    </w:p>
    <w:p>
      <w:pPr>
        <w:pStyle w:val="20"/>
        <w:rPr>
          <w:rFonts w:hint="default"/>
          <w:color w:val="auto"/>
          <w:highlight w:val="none"/>
        </w:rPr>
      </w:pPr>
      <w:bookmarkStart w:id="0" w:name="_Toc152160602"/>
      <w:r>
        <w:rPr>
          <w:rFonts w:hint="default"/>
          <w:color w:val="auto"/>
          <w:highlight w:val="none"/>
        </w:rPr>
        <w:t>第１章　計画の策定</w:t>
      </w:r>
      <w:r>
        <w:rPr>
          <w:rFonts w:hint="eastAsia"/>
          <w:color w:val="auto"/>
          <w:highlight w:val="none"/>
        </w:rPr>
        <w:t>にあたって</w:t>
      </w:r>
      <w:bookmarkEnd w:id="0"/>
    </w:p>
    <w:p>
      <w:pPr>
        <w:pStyle w:val="22"/>
        <w:spacing w:after="76" w:afterLines="0" w:afterAutospacing="0"/>
        <w:rPr>
          <w:rFonts w:hint="default"/>
          <w:color w:val="auto"/>
          <w:highlight w:val="none"/>
        </w:rPr>
      </w:pPr>
      <w:bookmarkStart w:id="1" w:name="_Toc152160603"/>
      <w:r>
        <w:rPr>
          <w:rFonts w:hint="eastAsia"/>
          <w:color w:val="auto"/>
          <w:highlight w:val="none"/>
        </w:rPr>
        <w:t>１　計画の背景と目的</w:t>
      </w:r>
      <w:bookmarkEnd w:id="1"/>
    </w:p>
    <w:p>
      <w:pPr>
        <w:pStyle w:val="24"/>
        <w:rPr>
          <w:rFonts w:hint="default"/>
          <w:color w:val="auto"/>
          <w:highlight w:val="none"/>
        </w:rPr>
      </w:pPr>
      <w:r>
        <w:rPr>
          <w:rFonts w:hint="eastAsia"/>
          <w:color w:val="auto"/>
          <w:highlight w:val="none"/>
        </w:rPr>
        <w:t>介護保険制度のスタートから</w:t>
      </w:r>
      <w:r>
        <w:rPr>
          <w:rFonts w:hint="eastAsia"/>
          <w:color w:val="auto"/>
          <w:highlight w:val="none"/>
        </w:rPr>
        <w:t>20</w:t>
      </w:r>
      <w:r>
        <w:rPr>
          <w:rFonts w:hint="eastAsia"/>
          <w:color w:val="auto"/>
          <w:highlight w:val="none"/>
        </w:rPr>
        <w:t>年以上が経過し、介護を必要とする人にとって、介護サービスは必要不可欠なものへと普及、浸透してきました。</w:t>
      </w:r>
    </w:p>
    <w:p>
      <w:pPr>
        <w:pStyle w:val="24"/>
        <w:rPr>
          <w:rFonts w:hint="default"/>
          <w:color w:val="auto"/>
          <w:highlight w:val="none"/>
        </w:rPr>
      </w:pPr>
      <w:r>
        <w:rPr>
          <w:rFonts w:hint="eastAsia"/>
          <w:color w:val="auto"/>
          <w:highlight w:val="none"/>
        </w:rPr>
        <w:t>介護保険事業計画は「団塊の世代」が後期高齢者となる令和</w:t>
      </w:r>
      <w:r>
        <w:rPr>
          <w:rFonts w:hint="eastAsia"/>
          <w:color w:val="auto"/>
          <w:highlight w:val="none"/>
        </w:rPr>
        <w:t>7</w:t>
      </w:r>
      <w:r>
        <w:rPr>
          <w:rFonts w:hint="eastAsia"/>
          <w:color w:val="auto"/>
          <w:highlight w:val="none"/>
        </w:rPr>
        <w:t>（</w:t>
      </w:r>
      <w:r>
        <w:rPr>
          <w:rFonts w:hint="eastAsia"/>
          <w:color w:val="auto"/>
          <w:highlight w:val="none"/>
        </w:rPr>
        <w:t>2025</w:t>
      </w:r>
      <w:r>
        <w:rPr>
          <w:rFonts w:hint="eastAsia"/>
          <w:color w:val="auto"/>
          <w:highlight w:val="none"/>
        </w:rPr>
        <w:t>）年を見据え、第６期計画（平成</w:t>
      </w:r>
      <w:r>
        <w:rPr>
          <w:rFonts w:hint="eastAsia"/>
          <w:color w:val="auto"/>
          <w:highlight w:val="none"/>
        </w:rPr>
        <w:t>27</w:t>
      </w:r>
      <w:r>
        <w:rPr>
          <w:rFonts w:hint="eastAsia"/>
          <w:color w:val="auto"/>
          <w:highlight w:val="none"/>
        </w:rPr>
        <w:t>（</w:t>
      </w:r>
      <w:r>
        <w:rPr>
          <w:rFonts w:hint="eastAsia"/>
          <w:color w:val="auto"/>
          <w:highlight w:val="none"/>
        </w:rPr>
        <w:t>2015</w:t>
      </w:r>
      <w:r>
        <w:rPr>
          <w:rFonts w:hint="eastAsia"/>
          <w:color w:val="auto"/>
          <w:highlight w:val="none"/>
        </w:rPr>
        <w:t>）年度～</w:t>
      </w:r>
      <w:r>
        <w:rPr>
          <w:rFonts w:hint="eastAsia"/>
          <w:color w:val="auto"/>
          <w:highlight w:val="none"/>
        </w:rPr>
        <w:t>29</w:t>
      </w:r>
      <w:r>
        <w:rPr>
          <w:rFonts w:hint="eastAsia"/>
          <w:color w:val="auto"/>
          <w:highlight w:val="none"/>
        </w:rPr>
        <w:t>（</w:t>
      </w:r>
      <w:r>
        <w:rPr>
          <w:rFonts w:hint="eastAsia"/>
          <w:color w:val="auto"/>
          <w:highlight w:val="none"/>
        </w:rPr>
        <w:t>2017</w:t>
      </w:r>
      <w:r>
        <w:rPr>
          <w:rFonts w:hint="eastAsia"/>
          <w:color w:val="auto"/>
          <w:highlight w:val="none"/>
        </w:rPr>
        <w:t>）年度）以降、「地域包括ケア計画」として位置づけられ、「地域包括ケアシステム」の構築が進められ、さらに、第７期計画（平成</w:t>
      </w:r>
      <w:r>
        <w:rPr>
          <w:rFonts w:hint="eastAsia"/>
          <w:color w:val="auto"/>
          <w:highlight w:val="none"/>
        </w:rPr>
        <w:t>30</w:t>
      </w:r>
      <w:r>
        <w:rPr>
          <w:rFonts w:hint="eastAsia"/>
          <w:color w:val="auto"/>
          <w:highlight w:val="none"/>
        </w:rPr>
        <w:t>（</w:t>
      </w:r>
      <w:r>
        <w:rPr>
          <w:rFonts w:hint="eastAsia"/>
          <w:color w:val="auto"/>
          <w:highlight w:val="none"/>
        </w:rPr>
        <w:t>2018</w:t>
      </w:r>
      <w:r>
        <w:rPr>
          <w:rFonts w:hint="eastAsia"/>
          <w:color w:val="auto"/>
          <w:highlight w:val="none"/>
        </w:rPr>
        <w:t>）年度～令和２（</w:t>
      </w:r>
      <w:r>
        <w:rPr>
          <w:rFonts w:hint="eastAsia"/>
          <w:color w:val="auto"/>
          <w:highlight w:val="none"/>
        </w:rPr>
        <w:t>2020</w:t>
      </w:r>
      <w:r>
        <w:rPr>
          <w:rFonts w:hint="eastAsia"/>
          <w:color w:val="auto"/>
          <w:highlight w:val="none"/>
        </w:rPr>
        <w:t>）年度）以降は、地域包括ケアシステムの深化・推進により、高齢者のみならず、障がい者や子どもなどを含むすべての人を対象として「地域共生社会」の実現を見据えた計画とすることも求められています。</w:t>
      </w:r>
    </w:p>
    <w:p>
      <w:pPr>
        <w:pStyle w:val="24"/>
        <w:rPr>
          <w:rFonts w:hint="default"/>
          <w:color w:val="auto"/>
          <w:highlight w:val="none"/>
        </w:rPr>
      </w:pPr>
      <w:r>
        <w:rPr>
          <w:rFonts w:hint="eastAsia"/>
          <w:color w:val="auto"/>
          <w:highlight w:val="none"/>
        </w:rPr>
        <w:t>高齢者人口は、令和</w:t>
      </w:r>
      <w:r>
        <w:rPr>
          <w:rFonts w:hint="eastAsia"/>
          <w:color w:val="auto"/>
          <w:highlight w:val="none"/>
        </w:rPr>
        <w:t>22</w:t>
      </w:r>
      <w:r>
        <w:rPr>
          <w:rFonts w:hint="eastAsia"/>
          <w:color w:val="auto"/>
          <w:highlight w:val="none"/>
        </w:rPr>
        <w:t>（</w:t>
      </w:r>
      <w:r>
        <w:rPr>
          <w:rFonts w:hint="eastAsia"/>
          <w:color w:val="auto"/>
          <w:highlight w:val="none"/>
        </w:rPr>
        <w:t>2040</w:t>
      </w:r>
      <w:r>
        <w:rPr>
          <w:rFonts w:hint="eastAsia"/>
          <w:color w:val="auto"/>
          <w:highlight w:val="none"/>
        </w:rPr>
        <w:t>）年まで増加し、医療・介護双方の複合的ニーズを有するなど様々なニーズのある高齢者がますます増加する一方で、生産年齢人口が減少していくことが見込まれおり、市町村に対して、さらなる地域包括ケアシステムの深化・推進が強く求められています。</w:t>
      </w:r>
    </w:p>
    <w:p>
      <w:pPr>
        <w:pStyle w:val="24"/>
        <w:rPr>
          <w:rFonts w:hint="default"/>
          <w:color w:val="auto"/>
          <w:highlight w:val="none"/>
        </w:rPr>
      </w:pPr>
      <w:r>
        <w:rPr>
          <w:rFonts w:hint="eastAsia"/>
          <w:color w:val="auto"/>
          <w:highlight w:val="none"/>
        </w:rPr>
        <w:t>そうした中本市では、令和２（</w:t>
      </w:r>
      <w:r>
        <w:rPr>
          <w:rFonts w:hint="eastAsia"/>
          <w:color w:val="auto"/>
          <w:highlight w:val="none"/>
        </w:rPr>
        <w:t>2020</w:t>
      </w:r>
      <w:r>
        <w:rPr>
          <w:rFonts w:hint="eastAsia"/>
          <w:color w:val="auto"/>
          <w:highlight w:val="none"/>
        </w:rPr>
        <w:t>）年３月に「廿日市市高齢者福祉計画・第８期廿日市市介護保険事業計画」（以下、「第８期計画」という。）を策定し、「誰もが住み慣れた地域で安心して暮らし続けられるまち　はつかいち」を基本理念に掲げ、高齢者が可能な限り住み慣れた地域で生活を継続できるまちづくりを推進してきました。</w:t>
      </w:r>
    </w:p>
    <w:p>
      <w:pPr>
        <w:pStyle w:val="24"/>
        <w:rPr>
          <w:rFonts w:hint="default"/>
          <w:color w:val="auto"/>
          <w:highlight w:val="none"/>
        </w:rPr>
      </w:pPr>
      <w:r>
        <w:rPr>
          <w:rFonts w:hint="eastAsia"/>
          <w:color w:val="auto"/>
          <w:highlight w:val="none"/>
        </w:rPr>
        <w:t>本市のこれまでの取組を引き継ぎつつ、さらなる地域共生社会の実現に向けた地域包括システムの深化・推進を図るため、「廿日市市高齢者福祉計画・第９期廿日市市介護保険事業計画～廿日市市地域包括ケア計画～」を策定するものです。</w:t>
      </w:r>
    </w:p>
    <w:p>
      <w:pPr>
        <w:pStyle w:val="0"/>
        <w:widowControl w:val="1"/>
        <w:jc w:val="left"/>
        <w:rPr>
          <w:rFonts w:hint="default"/>
          <w:color w:val="auto"/>
          <w:highlight w:val="none"/>
        </w:rPr>
      </w:pPr>
      <w:r>
        <w:rPr>
          <w:rFonts w:hint="default"/>
          <w:color w:val="auto"/>
          <w:highlight w:val="none"/>
        </w:rPr>
        <w:br w:type="page"/>
      </w:r>
    </w:p>
    <w:p>
      <w:pPr>
        <w:pStyle w:val="22"/>
        <w:spacing w:after="76" w:afterLines="0" w:afterAutospacing="0"/>
        <w:rPr>
          <w:rFonts w:hint="default"/>
          <w:color w:val="auto"/>
          <w:highlight w:val="none"/>
        </w:rPr>
      </w:pPr>
      <w:bookmarkStart w:id="2" w:name="_Toc152160604"/>
      <w:r>
        <w:rPr>
          <w:rFonts w:hint="eastAsia"/>
          <w:color w:val="auto"/>
          <w:highlight w:val="none"/>
        </w:rPr>
        <w:t>２　</w:t>
      </w:r>
      <w:r>
        <w:rPr>
          <w:rStyle w:val="38"/>
          <w:rFonts w:hint="eastAsia" w:ascii="BIZ UDPゴシック" w:hAnsi="BIZ UDPゴシック" w:eastAsia="BIZ UDPゴシック"/>
          <w:color w:val="auto"/>
          <w:sz w:val="32"/>
          <w:highlight w:val="none"/>
        </w:rPr>
        <w:t>計画の位置づけ</w:t>
      </w:r>
      <w:bookmarkEnd w:id="2"/>
    </w:p>
    <w:p>
      <w:pPr>
        <w:pStyle w:val="26"/>
        <w:spacing w:after="76" w:afterLines="0" w:afterAutospacing="0"/>
        <w:rPr>
          <w:rFonts w:hint="default"/>
          <w:color w:val="auto"/>
          <w:highlight w:val="none"/>
        </w:rPr>
      </w:pPr>
      <w:bookmarkStart w:id="3" w:name="_Toc150813491"/>
      <w:bookmarkStart w:id="4" w:name="_Toc152155802"/>
      <w:bookmarkStart w:id="5" w:name="_Toc152160605"/>
      <w:r>
        <w:rPr>
          <w:rFonts w:hint="default"/>
          <w:color w:val="auto"/>
          <w:highlight w:val="none"/>
        </w:rPr>
        <w:t>（</w:t>
      </w:r>
      <w:r>
        <w:rPr>
          <w:rFonts w:hint="eastAsia"/>
          <w:color w:val="auto"/>
          <w:highlight w:val="none"/>
        </w:rPr>
        <w:t>１</w:t>
      </w:r>
      <w:r>
        <w:rPr>
          <w:rFonts w:hint="default"/>
          <w:color w:val="auto"/>
          <w:highlight w:val="none"/>
        </w:rPr>
        <w:t>）</w:t>
      </w:r>
      <w:r>
        <w:rPr>
          <w:rFonts w:hint="eastAsia"/>
          <w:color w:val="auto"/>
          <w:highlight w:val="none"/>
        </w:rPr>
        <w:t>計画の位置づけ</w:t>
      </w:r>
      <w:bookmarkEnd w:id="3"/>
      <w:bookmarkEnd w:id="4"/>
      <w:bookmarkEnd w:id="5"/>
    </w:p>
    <w:p>
      <w:pPr>
        <w:pStyle w:val="46"/>
        <w:rPr>
          <w:rFonts w:hint="default"/>
          <w:color w:val="auto"/>
          <w:highlight w:val="none"/>
        </w:rPr>
      </w:pPr>
      <w:r>
        <w:rPr>
          <w:rFonts w:hint="eastAsia"/>
          <w:color w:val="auto"/>
          <w:highlight w:val="none"/>
        </w:rPr>
        <w:t>老人福祉法（昭和</w:t>
      </w:r>
      <w:r>
        <w:rPr>
          <w:rFonts w:hint="eastAsia"/>
          <w:color w:val="auto"/>
          <w:highlight w:val="none"/>
        </w:rPr>
        <w:t>38</w:t>
      </w:r>
      <w:r>
        <w:rPr>
          <w:rFonts w:hint="eastAsia"/>
          <w:color w:val="auto"/>
          <w:highlight w:val="none"/>
        </w:rPr>
        <w:t>年法律第</w:t>
      </w:r>
      <w:r>
        <w:rPr>
          <w:rFonts w:hint="eastAsia"/>
          <w:color w:val="auto"/>
          <w:highlight w:val="none"/>
        </w:rPr>
        <w:t>133</w:t>
      </w:r>
      <w:r>
        <w:rPr>
          <w:rFonts w:hint="eastAsia"/>
          <w:color w:val="auto"/>
          <w:highlight w:val="none"/>
        </w:rPr>
        <w:t>号）第</w:t>
      </w:r>
      <w:r>
        <w:rPr>
          <w:rFonts w:hint="eastAsia"/>
          <w:color w:val="auto"/>
          <w:highlight w:val="none"/>
        </w:rPr>
        <w:t>20</w:t>
      </w:r>
      <w:r>
        <w:rPr>
          <w:rFonts w:hint="eastAsia"/>
          <w:color w:val="auto"/>
          <w:highlight w:val="none"/>
        </w:rPr>
        <w:t>条の８に規定する市町村老人福祉計画と介護保険法（平成９年法律第</w:t>
      </w:r>
      <w:r>
        <w:rPr>
          <w:rFonts w:hint="eastAsia"/>
          <w:color w:val="auto"/>
          <w:highlight w:val="none"/>
        </w:rPr>
        <w:t>123</w:t>
      </w:r>
      <w:r>
        <w:rPr>
          <w:rFonts w:hint="eastAsia"/>
          <w:color w:val="auto"/>
          <w:highlight w:val="none"/>
        </w:rPr>
        <w:t>号）第</w:t>
      </w:r>
      <w:r>
        <w:rPr>
          <w:rFonts w:hint="eastAsia"/>
          <w:color w:val="auto"/>
          <w:highlight w:val="none"/>
        </w:rPr>
        <w:t>117</w:t>
      </w:r>
      <w:r>
        <w:rPr>
          <w:rFonts w:hint="eastAsia"/>
          <w:color w:val="auto"/>
          <w:highlight w:val="none"/>
        </w:rPr>
        <w:t>条に規定する市町村介護保険事業計画を一体的に策定しています。</w:t>
      </w:r>
    </w:p>
    <w:p>
      <w:pPr>
        <w:pStyle w:val="46"/>
        <w:rPr>
          <w:rFonts w:hint="default"/>
          <w:color w:val="auto"/>
          <w:highlight w:val="none"/>
        </w:rPr>
      </w:pPr>
      <w:r>
        <w:rPr>
          <w:rFonts w:hint="eastAsia"/>
          <w:color w:val="auto"/>
          <w:highlight w:val="none"/>
        </w:rPr>
        <w:t>地域共生社会の実現を推進するための認知症基本法（令和５年６月法律第</w:t>
      </w:r>
      <w:r>
        <w:rPr>
          <w:rFonts w:hint="eastAsia"/>
          <w:color w:val="auto"/>
          <w:highlight w:val="none"/>
        </w:rPr>
        <w:t>65</w:t>
      </w:r>
      <w:r>
        <w:rPr>
          <w:rFonts w:hint="eastAsia"/>
          <w:color w:val="auto"/>
          <w:highlight w:val="none"/>
        </w:rPr>
        <w:t>号）（以下、「認知症基本法」という。）に定める「認知症施策推進計画」に位置づけます。</w:t>
      </w:r>
    </w:p>
    <w:p>
      <w:pPr>
        <w:pStyle w:val="0"/>
        <w:rPr>
          <w:rFonts w:hint="default"/>
          <w:color w:val="auto"/>
          <w:highlight w:val="none"/>
        </w:rPr>
      </w:pPr>
    </w:p>
    <w:p>
      <w:pPr>
        <w:pStyle w:val="26"/>
        <w:spacing w:after="76" w:afterLines="0" w:afterAutospacing="0"/>
        <w:rPr>
          <w:rFonts w:hint="default"/>
          <w:color w:val="auto"/>
          <w:highlight w:val="none"/>
        </w:rPr>
      </w:pPr>
      <w:bookmarkStart w:id="6" w:name="_Toc150813492"/>
      <w:bookmarkStart w:id="7" w:name="_Toc152155803"/>
      <w:bookmarkStart w:id="8" w:name="_Toc152160606"/>
      <w:r>
        <w:rPr>
          <w:rFonts w:hint="eastAsia"/>
          <w:color w:val="auto"/>
          <w:highlight w:val="none"/>
        </w:rPr>
        <w:t>（２）関係計画との整合性</w:t>
      </w:r>
      <w:bookmarkEnd w:id="6"/>
      <w:bookmarkEnd w:id="7"/>
      <w:bookmarkEnd w:id="8"/>
    </w:p>
    <w:p>
      <w:pPr>
        <w:pStyle w:val="46"/>
        <w:rPr>
          <w:rFonts w:hint="default"/>
          <w:color w:val="auto"/>
          <w:highlight w:val="none"/>
        </w:rPr>
      </w:pPr>
      <w:r>
        <w:rPr>
          <w:rFonts w:hint="eastAsia"/>
          <w:color w:val="auto"/>
          <w:highlight w:val="none"/>
        </w:rPr>
        <w:t>国の定める基本指針、「広島県老人福祉計画・介護保険事業支援計画」と整合性を図りました。また、令和元（</w:t>
      </w:r>
      <w:r>
        <w:rPr>
          <w:rFonts w:hint="eastAsia"/>
          <w:color w:val="auto"/>
          <w:highlight w:val="none"/>
        </w:rPr>
        <w:t>2019</w:t>
      </w:r>
      <w:r>
        <w:rPr>
          <w:rFonts w:hint="eastAsia"/>
          <w:color w:val="auto"/>
          <w:highlight w:val="none"/>
        </w:rPr>
        <w:t>）年に閣議決定された認知症施策推進大綱と整合性を図り、令和５（</w:t>
      </w:r>
      <w:r>
        <w:rPr>
          <w:rFonts w:hint="eastAsia"/>
          <w:color w:val="auto"/>
          <w:highlight w:val="none"/>
        </w:rPr>
        <w:t>2023</w:t>
      </w:r>
      <w:r>
        <w:rPr>
          <w:rFonts w:hint="eastAsia"/>
          <w:color w:val="auto"/>
          <w:highlight w:val="none"/>
        </w:rPr>
        <w:t>）年に成立した認知症基本法並びに今後策定される認知症施策推進基本計画の内容を踏まえ、認知症施策を推進します。</w:t>
      </w:r>
    </w:p>
    <w:p>
      <w:pPr>
        <w:pStyle w:val="46"/>
        <w:rPr>
          <w:rFonts w:hint="default"/>
          <w:color w:val="auto"/>
          <w:highlight w:val="none"/>
        </w:rPr>
      </w:pPr>
      <w:r>
        <w:rPr>
          <w:rFonts w:hint="eastAsia"/>
          <w:color w:val="auto"/>
          <w:highlight w:val="none"/>
        </w:rPr>
        <w:t>上位計画である「第６次廿日市市総合計画」、「第３期廿日市市地域福祉計画」及び関連計画である「廿日市市健康増進計画『健康はつかいち２１』（第３次）・廿日市市食育推進計画（第３次）」、「第３次廿日市市障がい者計画」等、各種計画と整合性を図りました。</w:t>
      </w:r>
    </w:p>
    <w:p>
      <w:pPr>
        <w:pStyle w:val="0"/>
        <w:widowControl w:val="1"/>
        <w:jc w:val="left"/>
        <w:rPr>
          <w:rFonts w:hint="default"/>
          <w:color w:val="auto"/>
          <w:highlight w:val="none"/>
        </w:rPr>
      </w:pPr>
    </w:p>
    <w:p>
      <w:pPr>
        <w:pStyle w:val="22"/>
        <w:spacing w:after="76" w:afterLines="0" w:afterAutospacing="0"/>
        <w:rPr>
          <w:rFonts w:hint="default"/>
          <w:color w:val="auto"/>
          <w:highlight w:val="none"/>
        </w:rPr>
      </w:pPr>
      <w:bookmarkStart w:id="9" w:name="_Toc152160607"/>
      <w:r>
        <w:rPr>
          <w:rFonts w:hint="eastAsia"/>
          <w:color w:val="auto"/>
          <w:highlight w:val="none"/>
        </w:rPr>
        <w:t>３　</w:t>
      </w:r>
      <w:r>
        <w:rPr>
          <w:rStyle w:val="38"/>
          <w:rFonts w:hint="eastAsia" w:ascii="BIZ UDPゴシック" w:hAnsi="BIZ UDPゴシック" w:eastAsia="BIZ UDPゴシック"/>
          <w:color w:val="auto"/>
          <w:sz w:val="32"/>
          <w:highlight w:val="none"/>
        </w:rPr>
        <w:t>計画の期間</w:t>
      </w:r>
      <w:bookmarkEnd w:id="9"/>
    </w:p>
    <w:p>
      <w:pPr>
        <w:pStyle w:val="24"/>
        <w:rPr>
          <w:rFonts w:hint="default"/>
          <w:color w:val="auto"/>
          <w:highlight w:val="none"/>
        </w:rPr>
      </w:pPr>
      <w:r>
        <w:rPr>
          <w:rFonts w:hint="eastAsia"/>
          <w:color w:val="auto"/>
          <w:highlight w:val="none"/>
        </w:rPr>
        <w:t>本計画の期間は、令和６（</w:t>
      </w:r>
      <w:r>
        <w:rPr>
          <w:rFonts w:hint="eastAsia"/>
          <w:color w:val="auto"/>
          <w:highlight w:val="none"/>
        </w:rPr>
        <w:t>2024</w:t>
      </w:r>
      <w:r>
        <w:rPr>
          <w:rFonts w:hint="eastAsia"/>
          <w:color w:val="auto"/>
          <w:highlight w:val="none"/>
        </w:rPr>
        <w:t>）年度を初年度とし、令和８（</w:t>
      </w:r>
      <w:r>
        <w:rPr>
          <w:rFonts w:hint="eastAsia"/>
          <w:color w:val="auto"/>
          <w:highlight w:val="none"/>
        </w:rPr>
        <w:t>2026</w:t>
      </w:r>
      <w:r>
        <w:rPr>
          <w:rFonts w:hint="eastAsia"/>
          <w:color w:val="auto"/>
          <w:highlight w:val="none"/>
        </w:rPr>
        <w:t>）年度を目標年度とした３年間とします。</w:t>
      </w:r>
    </w:p>
    <w:p>
      <w:pPr>
        <w:pStyle w:val="24"/>
        <w:rPr>
          <w:rFonts w:hint="default"/>
          <w:color w:val="auto"/>
          <w:highlight w:val="none"/>
        </w:rPr>
      </w:pPr>
      <w:r>
        <w:rPr>
          <w:rFonts w:hint="eastAsia"/>
          <w:color w:val="auto"/>
          <w:highlight w:val="none"/>
        </w:rPr>
        <w:t>また、団塊ジュニア世代が</w:t>
      </w:r>
      <w:r>
        <w:rPr>
          <w:rFonts w:hint="eastAsia"/>
          <w:color w:val="auto"/>
          <w:highlight w:val="none"/>
        </w:rPr>
        <w:t>65</w:t>
      </w:r>
      <w:r>
        <w:rPr>
          <w:rFonts w:hint="eastAsia"/>
          <w:color w:val="auto"/>
          <w:highlight w:val="none"/>
        </w:rPr>
        <w:t>歳以上となる令和</w:t>
      </w:r>
      <w:r>
        <w:rPr>
          <w:rFonts w:hint="eastAsia"/>
          <w:color w:val="auto"/>
          <w:highlight w:val="none"/>
        </w:rPr>
        <w:t>22</w:t>
      </w:r>
      <w:r>
        <w:rPr>
          <w:rFonts w:hint="eastAsia"/>
          <w:color w:val="auto"/>
          <w:highlight w:val="none"/>
        </w:rPr>
        <w:t>（</w:t>
      </w:r>
      <w:r>
        <w:rPr>
          <w:rFonts w:hint="eastAsia"/>
          <w:color w:val="auto"/>
          <w:highlight w:val="none"/>
        </w:rPr>
        <w:t>2040</w:t>
      </w:r>
      <w:r>
        <w:rPr>
          <w:rFonts w:hint="eastAsia"/>
          <w:color w:val="auto"/>
          <w:highlight w:val="none"/>
        </w:rPr>
        <w:t>）年を見据えて本計画期間中にめざすべき姿を明らかにし、目標を設定しました。</w:t>
      </w:r>
    </w:p>
    <w:p>
      <w:pPr>
        <w:pStyle w:val="0"/>
        <w:widowControl w:val="1"/>
        <w:jc w:val="left"/>
        <w:rPr>
          <w:rFonts w:hint="default"/>
          <w:color w:val="auto"/>
          <w:highlight w:val="none"/>
        </w:rPr>
      </w:pPr>
    </w:p>
    <w:tbl>
      <w:tblPr>
        <w:tblStyle w:val="11"/>
        <w:tblW w:w="9129" w:type="dxa"/>
        <w:tblInd w:w="99" w:type="dxa"/>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Layout w:type="fixed"/>
        <w:tblCellMar>
          <w:left w:w="99" w:type="dxa"/>
          <w:right w:w="99" w:type="dxa"/>
        </w:tblCellMar>
        <w:tblLook w:firstRow="0" w:lastRow="0" w:firstColumn="0" w:lastColumn="0" w:noHBand="0" w:noVBand="0" w:val="0000"/>
      </w:tblPr>
      <w:tblGrid>
        <w:gridCol w:w="829"/>
        <w:gridCol w:w="830"/>
        <w:gridCol w:w="830"/>
        <w:gridCol w:w="830"/>
        <w:gridCol w:w="830"/>
        <w:gridCol w:w="830"/>
        <w:gridCol w:w="830"/>
        <w:gridCol w:w="830"/>
        <w:gridCol w:w="830"/>
        <w:gridCol w:w="830"/>
        <w:gridCol w:w="830"/>
      </w:tblGrid>
      <w:tr>
        <w:trPr>
          <w:trHeight w:val="737" w:hRule="atLeast"/>
        </w:trPr>
        <w:tc>
          <w:tcPr>
            <w:tcW w:w="829" w:type="dxa"/>
            <w:shd w:val="clear" w:color="auto" w:fill="CCECFF"/>
            <w:vAlign w:val="center"/>
          </w:tcPr>
          <w:p>
            <w:pPr>
              <w:pStyle w:val="0"/>
              <w:autoSpaceDE w:val="0"/>
              <w:autoSpaceDN w:val="0"/>
              <w:spacing w:line="220" w:lineRule="exact"/>
              <w:ind w:left="-227" w:right="-227"/>
              <w:jc w:val="center"/>
              <w:rPr>
                <w:rFonts w:hint="default"/>
                <w:color w:val="auto"/>
                <w:spacing w:val="-10"/>
                <w:sz w:val="18"/>
                <w:highlight w:val="none"/>
              </w:rPr>
            </w:pPr>
            <w:r>
              <w:rPr>
                <w:rFonts w:hint="eastAsia"/>
                <w:color w:val="auto"/>
                <w:spacing w:val="-10"/>
                <w:sz w:val="18"/>
                <w:highlight w:val="none"/>
              </w:rPr>
              <w:t>令和</w:t>
            </w:r>
          </w:p>
          <w:p>
            <w:pPr>
              <w:pStyle w:val="0"/>
              <w:autoSpaceDE w:val="0"/>
              <w:autoSpaceDN w:val="0"/>
              <w:spacing w:line="220" w:lineRule="exact"/>
              <w:ind w:left="-227" w:right="-227"/>
              <w:jc w:val="center"/>
              <w:rPr>
                <w:rFonts w:hint="default"/>
                <w:color w:val="auto"/>
                <w:spacing w:val="-10"/>
                <w:sz w:val="18"/>
                <w:highlight w:val="none"/>
              </w:rPr>
            </w:pPr>
            <w:r>
              <w:rPr>
                <w:rFonts w:hint="eastAsia"/>
                <w:color w:val="auto"/>
                <w:spacing w:val="-10"/>
                <w:sz w:val="18"/>
                <w:highlight w:val="none"/>
              </w:rPr>
              <w:t>3</w:t>
            </w:r>
            <w:r>
              <w:rPr>
                <w:rFonts w:hint="eastAsia"/>
                <w:color w:val="auto"/>
                <w:spacing w:val="-10"/>
                <w:sz w:val="18"/>
                <w:highlight w:val="none"/>
              </w:rPr>
              <w:t>年度</w:t>
            </w:r>
          </w:p>
          <w:p>
            <w:pPr>
              <w:pStyle w:val="0"/>
              <w:autoSpaceDE w:val="0"/>
              <w:autoSpaceDN w:val="0"/>
              <w:spacing w:line="220" w:lineRule="exact"/>
              <w:ind w:left="-227" w:right="-227"/>
              <w:jc w:val="center"/>
              <w:rPr>
                <w:rFonts w:hint="default"/>
                <w:color w:val="auto"/>
                <w:spacing w:val="-10"/>
                <w:sz w:val="16"/>
                <w:highlight w:val="none"/>
              </w:rPr>
            </w:pPr>
            <w:r>
              <w:rPr>
                <w:rFonts w:hint="eastAsia"/>
                <w:color w:val="auto"/>
                <w:spacing w:val="-10"/>
                <w:sz w:val="16"/>
                <w:highlight w:val="none"/>
              </w:rPr>
              <w:t>（</w:t>
            </w:r>
            <w:r>
              <w:rPr>
                <w:rFonts w:hint="eastAsia"/>
                <w:color w:val="auto"/>
                <w:spacing w:val="-10"/>
                <w:sz w:val="16"/>
                <w:highlight w:val="none"/>
              </w:rPr>
              <w:t>2021</w:t>
            </w:r>
            <w:r>
              <w:rPr>
                <w:rFonts w:hint="eastAsia"/>
                <w:color w:val="auto"/>
                <w:spacing w:val="-10"/>
                <w:sz w:val="16"/>
                <w:highlight w:val="none"/>
              </w:rPr>
              <w:t>年度）</w:t>
            </w:r>
          </w:p>
        </w:tc>
        <w:tc>
          <w:tcPr>
            <w:tcW w:w="830" w:type="dxa"/>
            <w:shd w:val="clear" w:color="auto" w:fill="CCECFF"/>
            <w:vAlign w:val="center"/>
          </w:tcPr>
          <w:p>
            <w:pPr>
              <w:pStyle w:val="0"/>
              <w:autoSpaceDE w:val="0"/>
              <w:autoSpaceDN w:val="0"/>
              <w:spacing w:line="220" w:lineRule="exact"/>
              <w:ind w:left="-227" w:right="-227"/>
              <w:jc w:val="center"/>
              <w:rPr>
                <w:rFonts w:hint="default"/>
                <w:color w:val="auto"/>
                <w:spacing w:val="-10"/>
                <w:sz w:val="18"/>
                <w:highlight w:val="none"/>
              </w:rPr>
            </w:pPr>
            <w:r>
              <w:rPr>
                <w:rFonts w:hint="eastAsia"/>
                <w:color w:val="auto"/>
                <w:spacing w:val="-10"/>
                <w:sz w:val="18"/>
                <w:highlight w:val="none"/>
              </w:rPr>
              <w:t>令和</w:t>
            </w:r>
          </w:p>
          <w:p>
            <w:pPr>
              <w:pStyle w:val="0"/>
              <w:autoSpaceDE w:val="0"/>
              <w:autoSpaceDN w:val="0"/>
              <w:spacing w:line="220" w:lineRule="exact"/>
              <w:ind w:left="-227" w:right="-227"/>
              <w:jc w:val="center"/>
              <w:rPr>
                <w:rFonts w:hint="default"/>
                <w:color w:val="auto"/>
                <w:spacing w:val="-10"/>
                <w:sz w:val="18"/>
                <w:highlight w:val="none"/>
              </w:rPr>
            </w:pPr>
            <w:r>
              <w:rPr>
                <w:rFonts w:hint="eastAsia"/>
                <w:color w:val="auto"/>
                <w:spacing w:val="-10"/>
                <w:sz w:val="18"/>
                <w:highlight w:val="none"/>
              </w:rPr>
              <w:t>4</w:t>
            </w:r>
            <w:r>
              <w:rPr>
                <w:rFonts w:hint="eastAsia"/>
                <w:color w:val="auto"/>
                <w:spacing w:val="-10"/>
                <w:sz w:val="18"/>
                <w:highlight w:val="none"/>
              </w:rPr>
              <w:t>年度</w:t>
            </w:r>
          </w:p>
          <w:p>
            <w:pPr>
              <w:pStyle w:val="0"/>
              <w:autoSpaceDE w:val="0"/>
              <w:autoSpaceDN w:val="0"/>
              <w:spacing w:line="220" w:lineRule="exact"/>
              <w:ind w:left="-227" w:right="-227"/>
              <w:jc w:val="center"/>
              <w:rPr>
                <w:rFonts w:hint="default"/>
                <w:color w:val="auto"/>
                <w:spacing w:val="-10"/>
                <w:sz w:val="16"/>
                <w:highlight w:val="none"/>
              </w:rPr>
            </w:pPr>
            <w:r>
              <w:rPr>
                <w:rFonts w:hint="eastAsia"/>
                <w:color w:val="auto"/>
                <w:spacing w:val="-10"/>
                <w:sz w:val="16"/>
                <w:highlight w:val="none"/>
              </w:rPr>
              <w:t>（</w:t>
            </w:r>
            <w:r>
              <w:rPr>
                <w:rFonts w:hint="eastAsia"/>
                <w:color w:val="auto"/>
                <w:spacing w:val="-10"/>
                <w:sz w:val="16"/>
                <w:highlight w:val="none"/>
              </w:rPr>
              <w:t>2022</w:t>
            </w:r>
            <w:r>
              <w:rPr>
                <w:rFonts w:hint="eastAsia"/>
                <w:color w:val="auto"/>
                <w:spacing w:val="-10"/>
                <w:sz w:val="16"/>
                <w:highlight w:val="none"/>
              </w:rPr>
              <w:t>年度）</w:t>
            </w:r>
          </w:p>
        </w:tc>
        <w:tc>
          <w:tcPr>
            <w:tcW w:w="830" w:type="dxa"/>
            <w:shd w:val="clear" w:color="auto" w:fill="CCECFF"/>
            <w:vAlign w:val="center"/>
          </w:tcPr>
          <w:p>
            <w:pPr>
              <w:pStyle w:val="0"/>
              <w:autoSpaceDE w:val="0"/>
              <w:autoSpaceDN w:val="0"/>
              <w:spacing w:line="220" w:lineRule="exact"/>
              <w:ind w:left="-227" w:right="-227"/>
              <w:jc w:val="center"/>
              <w:rPr>
                <w:rFonts w:hint="default"/>
                <w:color w:val="auto"/>
                <w:spacing w:val="-10"/>
                <w:sz w:val="18"/>
                <w:highlight w:val="none"/>
              </w:rPr>
            </w:pPr>
            <w:r>
              <w:rPr>
                <w:rFonts w:hint="eastAsia"/>
                <w:color w:val="auto"/>
                <w:spacing w:val="-10"/>
                <w:sz w:val="18"/>
                <w:highlight w:val="none"/>
              </w:rPr>
              <w:t>令和</w:t>
            </w:r>
          </w:p>
          <w:p>
            <w:pPr>
              <w:pStyle w:val="0"/>
              <w:autoSpaceDE w:val="0"/>
              <w:autoSpaceDN w:val="0"/>
              <w:spacing w:line="220" w:lineRule="exact"/>
              <w:ind w:left="-227" w:right="-227"/>
              <w:jc w:val="center"/>
              <w:rPr>
                <w:rFonts w:hint="default"/>
                <w:color w:val="auto"/>
                <w:spacing w:val="-10"/>
                <w:sz w:val="18"/>
                <w:highlight w:val="none"/>
              </w:rPr>
            </w:pPr>
            <w:r>
              <w:rPr>
                <w:rFonts w:hint="eastAsia"/>
                <w:color w:val="auto"/>
                <w:spacing w:val="-10"/>
                <w:sz w:val="18"/>
                <w:highlight w:val="none"/>
              </w:rPr>
              <w:t>5</w:t>
            </w:r>
            <w:r>
              <w:rPr>
                <w:rFonts w:hint="eastAsia"/>
                <w:color w:val="auto"/>
                <w:spacing w:val="-10"/>
                <w:sz w:val="18"/>
                <w:highlight w:val="none"/>
              </w:rPr>
              <w:t>年度</w:t>
            </w:r>
          </w:p>
          <w:p>
            <w:pPr>
              <w:pStyle w:val="0"/>
              <w:autoSpaceDE w:val="0"/>
              <w:autoSpaceDN w:val="0"/>
              <w:spacing w:line="220" w:lineRule="exact"/>
              <w:ind w:left="-227" w:right="-227"/>
              <w:jc w:val="center"/>
              <w:rPr>
                <w:rFonts w:hint="default"/>
                <w:color w:val="auto"/>
                <w:spacing w:val="-10"/>
                <w:sz w:val="16"/>
                <w:highlight w:val="none"/>
              </w:rPr>
            </w:pPr>
            <w:r>
              <w:rPr>
                <w:rFonts w:hint="eastAsia"/>
                <w:color w:val="auto"/>
                <w:spacing w:val="-10"/>
                <w:sz w:val="16"/>
                <w:highlight w:val="none"/>
              </w:rPr>
              <w:t>（</w:t>
            </w:r>
            <w:r>
              <w:rPr>
                <w:rFonts w:hint="eastAsia"/>
                <w:color w:val="auto"/>
                <w:spacing w:val="-10"/>
                <w:sz w:val="16"/>
                <w:highlight w:val="none"/>
              </w:rPr>
              <w:t>2023</w:t>
            </w:r>
            <w:r>
              <w:rPr>
                <w:rFonts w:hint="eastAsia"/>
                <w:color w:val="auto"/>
                <w:spacing w:val="-10"/>
                <w:sz w:val="16"/>
                <w:highlight w:val="none"/>
              </w:rPr>
              <w:t>年度）</w:t>
            </w:r>
          </w:p>
        </w:tc>
        <w:tc>
          <w:tcPr>
            <w:tcW w:w="830" w:type="dxa"/>
            <w:shd w:val="clear" w:color="auto" w:fill="CCECFF"/>
            <w:vAlign w:val="center"/>
          </w:tcPr>
          <w:p>
            <w:pPr>
              <w:pStyle w:val="0"/>
              <w:autoSpaceDE w:val="0"/>
              <w:autoSpaceDN w:val="0"/>
              <w:spacing w:line="220" w:lineRule="exact"/>
              <w:ind w:left="-227" w:right="-227"/>
              <w:jc w:val="center"/>
              <w:rPr>
                <w:rFonts w:hint="default"/>
                <w:color w:val="auto"/>
                <w:spacing w:val="-10"/>
                <w:sz w:val="18"/>
                <w:highlight w:val="none"/>
              </w:rPr>
            </w:pPr>
            <w:r>
              <w:rPr>
                <w:rFonts w:hint="eastAsia"/>
                <w:color w:val="auto"/>
                <w:spacing w:val="-10"/>
                <w:sz w:val="18"/>
                <w:highlight w:val="none"/>
              </w:rPr>
              <w:t>令和</w:t>
            </w:r>
          </w:p>
          <w:p>
            <w:pPr>
              <w:pStyle w:val="0"/>
              <w:autoSpaceDE w:val="0"/>
              <w:autoSpaceDN w:val="0"/>
              <w:spacing w:line="220" w:lineRule="exact"/>
              <w:ind w:left="-227" w:right="-227"/>
              <w:jc w:val="center"/>
              <w:rPr>
                <w:rFonts w:hint="default"/>
                <w:color w:val="auto"/>
                <w:spacing w:val="-10"/>
                <w:sz w:val="18"/>
                <w:highlight w:val="none"/>
              </w:rPr>
            </w:pPr>
            <w:r>
              <w:rPr>
                <w:rFonts w:hint="eastAsia"/>
                <w:color w:val="auto"/>
                <w:spacing w:val="-10"/>
                <w:sz w:val="18"/>
                <w:highlight w:val="none"/>
              </w:rPr>
              <w:t>6</w:t>
            </w:r>
            <w:r>
              <w:rPr>
                <w:rFonts w:hint="eastAsia"/>
                <w:color w:val="auto"/>
                <w:spacing w:val="-10"/>
                <w:sz w:val="18"/>
                <w:highlight w:val="none"/>
              </w:rPr>
              <w:t>年度</w:t>
            </w:r>
          </w:p>
          <w:p>
            <w:pPr>
              <w:pStyle w:val="0"/>
              <w:autoSpaceDE w:val="0"/>
              <w:autoSpaceDN w:val="0"/>
              <w:spacing w:line="220" w:lineRule="exact"/>
              <w:ind w:left="-227" w:right="-227"/>
              <w:jc w:val="center"/>
              <w:rPr>
                <w:rFonts w:hint="default"/>
                <w:color w:val="auto"/>
                <w:spacing w:val="-10"/>
                <w:sz w:val="16"/>
                <w:highlight w:val="none"/>
              </w:rPr>
            </w:pPr>
            <w:r>
              <w:rPr>
                <w:rFonts w:hint="eastAsia"/>
                <w:color w:val="auto"/>
                <w:spacing w:val="-10"/>
                <w:sz w:val="16"/>
                <w:highlight w:val="none"/>
              </w:rPr>
              <w:t>（</w:t>
            </w:r>
            <w:r>
              <w:rPr>
                <w:rFonts w:hint="eastAsia"/>
                <w:color w:val="auto"/>
                <w:spacing w:val="-10"/>
                <w:sz w:val="16"/>
                <w:highlight w:val="none"/>
              </w:rPr>
              <w:t>2024</w:t>
            </w:r>
            <w:r>
              <w:rPr>
                <w:rFonts w:hint="eastAsia"/>
                <w:color w:val="auto"/>
                <w:spacing w:val="-10"/>
                <w:sz w:val="16"/>
                <w:highlight w:val="none"/>
              </w:rPr>
              <w:t>年度）</w:t>
            </w:r>
          </w:p>
        </w:tc>
        <w:tc>
          <w:tcPr>
            <w:tcW w:w="830" w:type="dxa"/>
            <w:shd w:val="clear" w:color="auto" w:fill="CCECFF"/>
            <w:vAlign w:val="center"/>
          </w:tcPr>
          <w:p>
            <w:pPr>
              <w:pStyle w:val="0"/>
              <w:autoSpaceDE w:val="0"/>
              <w:autoSpaceDN w:val="0"/>
              <w:spacing w:line="220" w:lineRule="exact"/>
              <w:ind w:left="-227" w:right="-227"/>
              <w:jc w:val="center"/>
              <w:rPr>
                <w:rFonts w:hint="default"/>
                <w:color w:val="auto"/>
                <w:spacing w:val="-10"/>
                <w:sz w:val="18"/>
                <w:highlight w:val="none"/>
              </w:rPr>
            </w:pPr>
            <w:r>
              <w:rPr>
                <w:rFonts w:hint="eastAsia"/>
                <w:color w:val="auto"/>
                <w:spacing w:val="-10"/>
                <w:sz w:val="18"/>
                <w:highlight w:val="none"/>
              </w:rPr>
              <w:t>令和</w:t>
            </w:r>
          </w:p>
          <w:p>
            <w:pPr>
              <w:pStyle w:val="0"/>
              <w:autoSpaceDE w:val="0"/>
              <w:autoSpaceDN w:val="0"/>
              <w:spacing w:line="220" w:lineRule="exact"/>
              <w:ind w:left="-227" w:right="-227"/>
              <w:jc w:val="center"/>
              <w:rPr>
                <w:rFonts w:hint="default"/>
                <w:color w:val="auto"/>
                <w:spacing w:val="-10"/>
                <w:sz w:val="18"/>
                <w:highlight w:val="none"/>
              </w:rPr>
            </w:pPr>
            <w:r>
              <w:rPr>
                <w:rFonts w:hint="eastAsia"/>
                <w:color w:val="auto"/>
                <w:spacing w:val="-10"/>
                <w:sz w:val="18"/>
                <w:highlight w:val="none"/>
              </w:rPr>
              <w:t>7</w:t>
            </w:r>
            <w:r>
              <w:rPr>
                <w:rFonts w:hint="eastAsia"/>
                <w:color w:val="auto"/>
                <w:spacing w:val="-10"/>
                <w:sz w:val="18"/>
                <w:highlight w:val="none"/>
              </w:rPr>
              <w:t>年度</w:t>
            </w:r>
          </w:p>
          <w:p>
            <w:pPr>
              <w:pStyle w:val="0"/>
              <w:autoSpaceDE w:val="0"/>
              <w:autoSpaceDN w:val="0"/>
              <w:spacing w:line="220" w:lineRule="exact"/>
              <w:ind w:left="-227" w:right="-227"/>
              <w:jc w:val="center"/>
              <w:rPr>
                <w:rFonts w:hint="default"/>
                <w:color w:val="auto"/>
                <w:spacing w:val="-10"/>
                <w:sz w:val="16"/>
                <w:highlight w:val="none"/>
              </w:rPr>
            </w:pPr>
            <w:r>
              <w:rPr>
                <w:rFonts w:hint="eastAsia"/>
                <w:color w:val="auto"/>
                <w:spacing w:val="-10"/>
                <w:sz w:val="16"/>
                <w:highlight w:val="none"/>
              </w:rPr>
              <w:t>（</w:t>
            </w:r>
            <w:r>
              <w:rPr>
                <w:rFonts w:hint="eastAsia"/>
                <w:color w:val="auto"/>
                <w:spacing w:val="-10"/>
                <w:sz w:val="16"/>
                <w:highlight w:val="none"/>
              </w:rPr>
              <w:t>2025</w:t>
            </w:r>
            <w:r>
              <w:rPr>
                <w:rFonts w:hint="eastAsia"/>
                <w:color w:val="auto"/>
                <w:spacing w:val="-10"/>
                <w:sz w:val="16"/>
                <w:highlight w:val="none"/>
              </w:rPr>
              <w:t>年度）</w:t>
            </w:r>
          </w:p>
        </w:tc>
        <w:tc>
          <w:tcPr>
            <w:tcW w:w="830" w:type="dxa"/>
            <w:shd w:val="clear" w:color="auto" w:fill="CCECFF"/>
            <w:vAlign w:val="center"/>
          </w:tcPr>
          <w:p>
            <w:pPr>
              <w:pStyle w:val="0"/>
              <w:autoSpaceDE w:val="0"/>
              <w:autoSpaceDN w:val="0"/>
              <w:spacing w:line="220" w:lineRule="exact"/>
              <w:ind w:left="-227" w:right="-227"/>
              <w:jc w:val="center"/>
              <w:rPr>
                <w:rFonts w:hint="default"/>
                <w:color w:val="auto"/>
                <w:spacing w:val="-10"/>
                <w:sz w:val="18"/>
                <w:highlight w:val="none"/>
              </w:rPr>
            </w:pPr>
            <w:r>
              <w:rPr>
                <w:rFonts w:hint="eastAsia"/>
                <w:color w:val="auto"/>
                <w:spacing w:val="-10"/>
                <w:sz w:val="18"/>
                <w:highlight w:val="none"/>
              </w:rPr>
              <w:t>令和</w:t>
            </w:r>
          </w:p>
          <w:p>
            <w:pPr>
              <w:pStyle w:val="0"/>
              <w:autoSpaceDE w:val="0"/>
              <w:autoSpaceDN w:val="0"/>
              <w:spacing w:line="220" w:lineRule="exact"/>
              <w:ind w:left="-227" w:right="-227"/>
              <w:jc w:val="center"/>
              <w:rPr>
                <w:rFonts w:hint="default"/>
                <w:color w:val="auto"/>
                <w:spacing w:val="-10"/>
                <w:sz w:val="18"/>
                <w:highlight w:val="none"/>
              </w:rPr>
            </w:pPr>
            <w:r>
              <w:rPr>
                <w:rFonts w:hint="eastAsia"/>
                <w:color w:val="auto"/>
                <w:spacing w:val="-10"/>
                <w:sz w:val="18"/>
                <w:highlight w:val="none"/>
              </w:rPr>
              <w:t>8</w:t>
            </w:r>
            <w:r>
              <w:rPr>
                <w:rFonts w:hint="eastAsia"/>
                <w:color w:val="auto"/>
                <w:spacing w:val="-10"/>
                <w:sz w:val="18"/>
                <w:highlight w:val="none"/>
              </w:rPr>
              <w:t>年度</w:t>
            </w:r>
          </w:p>
          <w:p>
            <w:pPr>
              <w:pStyle w:val="0"/>
              <w:autoSpaceDE w:val="0"/>
              <w:autoSpaceDN w:val="0"/>
              <w:spacing w:line="220" w:lineRule="exact"/>
              <w:ind w:left="-227" w:right="-227"/>
              <w:jc w:val="center"/>
              <w:rPr>
                <w:rFonts w:hint="default"/>
                <w:color w:val="auto"/>
                <w:spacing w:val="-10"/>
                <w:sz w:val="16"/>
                <w:highlight w:val="none"/>
              </w:rPr>
            </w:pPr>
            <w:r>
              <w:rPr>
                <w:rFonts w:hint="eastAsia"/>
                <w:color w:val="auto"/>
                <w:spacing w:val="-10"/>
                <w:sz w:val="16"/>
                <w:highlight w:val="none"/>
              </w:rPr>
              <w:t>（</w:t>
            </w:r>
            <w:r>
              <w:rPr>
                <w:rFonts w:hint="eastAsia"/>
                <w:color w:val="auto"/>
                <w:spacing w:val="-10"/>
                <w:sz w:val="16"/>
                <w:highlight w:val="none"/>
              </w:rPr>
              <w:t>2026</w:t>
            </w:r>
            <w:r>
              <w:rPr>
                <w:rFonts w:hint="eastAsia"/>
                <w:color w:val="auto"/>
                <w:spacing w:val="-10"/>
                <w:sz w:val="16"/>
                <w:highlight w:val="none"/>
              </w:rPr>
              <w:t>年度）</w:t>
            </w:r>
          </w:p>
        </w:tc>
        <w:tc>
          <w:tcPr>
            <w:tcW w:w="830" w:type="dxa"/>
            <w:shd w:val="clear" w:color="auto" w:fill="CCECFF"/>
            <w:vAlign w:val="center"/>
          </w:tcPr>
          <w:p>
            <w:pPr>
              <w:pStyle w:val="0"/>
              <w:autoSpaceDE w:val="0"/>
              <w:autoSpaceDN w:val="0"/>
              <w:spacing w:line="220" w:lineRule="exact"/>
              <w:ind w:left="-227" w:right="-227"/>
              <w:jc w:val="center"/>
              <w:rPr>
                <w:rFonts w:hint="default"/>
                <w:color w:val="auto"/>
                <w:spacing w:val="-10"/>
                <w:sz w:val="18"/>
                <w:highlight w:val="none"/>
              </w:rPr>
            </w:pPr>
            <w:r>
              <w:rPr>
                <w:rFonts w:hint="eastAsia"/>
                <w:color w:val="auto"/>
                <w:spacing w:val="-10"/>
                <w:sz w:val="18"/>
                <w:highlight w:val="none"/>
              </w:rPr>
              <w:t>令和</w:t>
            </w:r>
          </w:p>
          <w:p>
            <w:pPr>
              <w:pStyle w:val="0"/>
              <w:autoSpaceDE w:val="0"/>
              <w:autoSpaceDN w:val="0"/>
              <w:spacing w:line="220" w:lineRule="exact"/>
              <w:ind w:left="-227" w:right="-227"/>
              <w:jc w:val="center"/>
              <w:rPr>
                <w:rFonts w:hint="default"/>
                <w:color w:val="auto"/>
                <w:spacing w:val="-10"/>
                <w:sz w:val="18"/>
                <w:highlight w:val="none"/>
              </w:rPr>
            </w:pPr>
            <w:r>
              <w:rPr>
                <w:rFonts w:hint="eastAsia"/>
                <w:color w:val="auto"/>
                <w:spacing w:val="-10"/>
                <w:sz w:val="18"/>
                <w:highlight w:val="none"/>
              </w:rPr>
              <w:t>9</w:t>
            </w:r>
            <w:r>
              <w:rPr>
                <w:rFonts w:hint="eastAsia"/>
                <w:color w:val="auto"/>
                <w:spacing w:val="-10"/>
                <w:sz w:val="18"/>
                <w:highlight w:val="none"/>
              </w:rPr>
              <w:t>年度</w:t>
            </w:r>
          </w:p>
          <w:p>
            <w:pPr>
              <w:pStyle w:val="0"/>
              <w:autoSpaceDE w:val="0"/>
              <w:autoSpaceDN w:val="0"/>
              <w:spacing w:line="220" w:lineRule="exact"/>
              <w:ind w:left="-227" w:right="-227"/>
              <w:jc w:val="center"/>
              <w:rPr>
                <w:rFonts w:hint="default"/>
                <w:color w:val="auto"/>
                <w:spacing w:val="-10"/>
                <w:sz w:val="16"/>
                <w:highlight w:val="none"/>
              </w:rPr>
            </w:pPr>
            <w:r>
              <w:rPr>
                <w:rFonts w:hint="eastAsia"/>
                <w:color w:val="auto"/>
                <w:spacing w:val="-10"/>
                <w:sz w:val="16"/>
                <w:highlight w:val="none"/>
              </w:rPr>
              <w:t>（</w:t>
            </w:r>
            <w:r>
              <w:rPr>
                <w:rFonts w:hint="eastAsia"/>
                <w:color w:val="auto"/>
                <w:spacing w:val="-10"/>
                <w:sz w:val="16"/>
                <w:highlight w:val="none"/>
              </w:rPr>
              <w:t>2027</w:t>
            </w:r>
            <w:r>
              <w:rPr>
                <w:rFonts w:hint="eastAsia"/>
                <w:color w:val="auto"/>
                <w:spacing w:val="-10"/>
                <w:sz w:val="16"/>
                <w:highlight w:val="none"/>
              </w:rPr>
              <w:t>年度）</w:t>
            </w:r>
          </w:p>
        </w:tc>
        <w:tc>
          <w:tcPr>
            <w:tcW w:w="830" w:type="dxa"/>
            <w:shd w:val="clear" w:color="auto" w:fill="CCECFF"/>
            <w:vAlign w:val="center"/>
          </w:tcPr>
          <w:p>
            <w:pPr>
              <w:pStyle w:val="0"/>
              <w:autoSpaceDE w:val="0"/>
              <w:autoSpaceDN w:val="0"/>
              <w:spacing w:line="220" w:lineRule="exact"/>
              <w:ind w:left="-227" w:right="-227"/>
              <w:jc w:val="center"/>
              <w:rPr>
                <w:rFonts w:hint="default"/>
                <w:color w:val="auto"/>
                <w:spacing w:val="-10"/>
                <w:sz w:val="18"/>
                <w:highlight w:val="none"/>
              </w:rPr>
            </w:pPr>
            <w:r>
              <w:rPr>
                <w:rFonts w:hint="eastAsia"/>
                <w:color w:val="auto"/>
                <w:spacing w:val="-10"/>
                <w:sz w:val="18"/>
                <w:highlight w:val="none"/>
              </w:rPr>
              <w:t>令和</w:t>
            </w:r>
          </w:p>
          <w:p>
            <w:pPr>
              <w:pStyle w:val="0"/>
              <w:autoSpaceDE w:val="0"/>
              <w:autoSpaceDN w:val="0"/>
              <w:spacing w:line="220" w:lineRule="exact"/>
              <w:ind w:left="-227" w:right="-227"/>
              <w:jc w:val="center"/>
              <w:rPr>
                <w:rFonts w:hint="default"/>
                <w:color w:val="auto"/>
                <w:spacing w:val="-10"/>
                <w:sz w:val="18"/>
                <w:highlight w:val="none"/>
              </w:rPr>
            </w:pPr>
            <w:r>
              <w:rPr>
                <w:rFonts w:hint="eastAsia"/>
                <w:color w:val="auto"/>
                <w:spacing w:val="-10"/>
                <w:sz w:val="18"/>
                <w:highlight w:val="none"/>
              </w:rPr>
              <w:t>10</w:t>
            </w:r>
            <w:r>
              <w:rPr>
                <w:rFonts w:hint="eastAsia"/>
                <w:color w:val="auto"/>
                <w:spacing w:val="-10"/>
                <w:sz w:val="18"/>
                <w:highlight w:val="none"/>
              </w:rPr>
              <w:t>年度</w:t>
            </w:r>
          </w:p>
          <w:p>
            <w:pPr>
              <w:pStyle w:val="0"/>
              <w:autoSpaceDE w:val="0"/>
              <w:autoSpaceDN w:val="0"/>
              <w:spacing w:line="220" w:lineRule="exact"/>
              <w:ind w:left="-227" w:right="-227"/>
              <w:jc w:val="center"/>
              <w:rPr>
                <w:rFonts w:hint="default"/>
                <w:color w:val="auto"/>
                <w:spacing w:val="-10"/>
                <w:sz w:val="16"/>
                <w:highlight w:val="none"/>
              </w:rPr>
            </w:pPr>
            <w:r>
              <w:rPr>
                <w:rFonts w:hint="eastAsia"/>
                <w:color w:val="auto"/>
                <w:spacing w:val="-10"/>
                <w:sz w:val="16"/>
                <w:highlight w:val="none"/>
              </w:rPr>
              <w:t>（</w:t>
            </w:r>
            <w:r>
              <w:rPr>
                <w:rFonts w:hint="eastAsia"/>
                <w:color w:val="auto"/>
                <w:spacing w:val="-10"/>
                <w:sz w:val="16"/>
                <w:highlight w:val="none"/>
              </w:rPr>
              <w:t>2028</w:t>
            </w:r>
            <w:r>
              <w:rPr>
                <w:rFonts w:hint="eastAsia"/>
                <w:color w:val="auto"/>
                <w:spacing w:val="-10"/>
                <w:sz w:val="16"/>
                <w:highlight w:val="none"/>
              </w:rPr>
              <w:t>年度）</w:t>
            </w:r>
          </w:p>
        </w:tc>
        <w:tc>
          <w:tcPr>
            <w:tcW w:w="830" w:type="dxa"/>
            <w:shd w:val="clear" w:color="auto" w:fill="CCECFF"/>
            <w:vAlign w:val="center"/>
          </w:tcPr>
          <w:p>
            <w:pPr>
              <w:pStyle w:val="0"/>
              <w:autoSpaceDE w:val="0"/>
              <w:autoSpaceDN w:val="0"/>
              <w:spacing w:line="220" w:lineRule="exact"/>
              <w:ind w:left="-227" w:right="-227"/>
              <w:jc w:val="center"/>
              <w:rPr>
                <w:rFonts w:hint="default"/>
                <w:color w:val="auto"/>
                <w:spacing w:val="-10"/>
                <w:sz w:val="18"/>
                <w:highlight w:val="none"/>
              </w:rPr>
            </w:pPr>
            <w:r>
              <w:rPr>
                <w:rFonts w:hint="eastAsia"/>
                <w:color w:val="auto"/>
                <w:spacing w:val="-10"/>
                <w:sz w:val="18"/>
                <w:highlight w:val="none"/>
              </w:rPr>
              <w:t>令和</w:t>
            </w:r>
          </w:p>
          <w:p>
            <w:pPr>
              <w:pStyle w:val="0"/>
              <w:autoSpaceDE w:val="0"/>
              <w:autoSpaceDN w:val="0"/>
              <w:spacing w:line="220" w:lineRule="exact"/>
              <w:ind w:left="-227" w:right="-227"/>
              <w:jc w:val="center"/>
              <w:rPr>
                <w:rFonts w:hint="default"/>
                <w:color w:val="auto"/>
                <w:spacing w:val="-10"/>
                <w:sz w:val="18"/>
                <w:highlight w:val="none"/>
              </w:rPr>
            </w:pPr>
            <w:r>
              <w:rPr>
                <w:rFonts w:hint="eastAsia"/>
                <w:color w:val="auto"/>
                <w:spacing w:val="-10"/>
                <w:sz w:val="18"/>
                <w:highlight w:val="none"/>
              </w:rPr>
              <w:t>11</w:t>
            </w:r>
            <w:r>
              <w:rPr>
                <w:rFonts w:hint="eastAsia"/>
                <w:color w:val="auto"/>
                <w:spacing w:val="-10"/>
                <w:sz w:val="18"/>
                <w:highlight w:val="none"/>
              </w:rPr>
              <w:t>年度</w:t>
            </w:r>
          </w:p>
          <w:p>
            <w:pPr>
              <w:pStyle w:val="0"/>
              <w:autoSpaceDE w:val="0"/>
              <w:autoSpaceDN w:val="0"/>
              <w:spacing w:line="220" w:lineRule="exact"/>
              <w:ind w:left="-227" w:right="-227"/>
              <w:jc w:val="center"/>
              <w:rPr>
                <w:rFonts w:hint="default"/>
                <w:color w:val="auto"/>
                <w:spacing w:val="-10"/>
                <w:sz w:val="16"/>
                <w:highlight w:val="none"/>
              </w:rPr>
            </w:pPr>
            <w:r>
              <w:rPr>
                <w:rFonts w:hint="eastAsia"/>
                <w:color w:val="auto"/>
                <w:spacing w:val="-10"/>
                <w:sz w:val="16"/>
                <w:highlight w:val="none"/>
              </w:rPr>
              <w:t>（</w:t>
            </w:r>
            <w:r>
              <w:rPr>
                <w:rFonts w:hint="eastAsia"/>
                <w:color w:val="auto"/>
                <w:spacing w:val="-10"/>
                <w:sz w:val="16"/>
                <w:highlight w:val="none"/>
              </w:rPr>
              <w:t>2029</w:t>
            </w:r>
            <w:r>
              <w:rPr>
                <w:rFonts w:hint="eastAsia"/>
                <w:color w:val="auto"/>
                <w:spacing w:val="-10"/>
                <w:sz w:val="16"/>
                <w:highlight w:val="none"/>
              </w:rPr>
              <w:t>年度）</w:t>
            </w:r>
          </w:p>
        </w:tc>
        <w:tc>
          <w:tcPr>
            <w:tcW w:w="830" w:type="dxa"/>
            <w:shd w:val="clear" w:color="auto" w:fill="CCECFF"/>
            <w:vAlign w:val="center"/>
          </w:tcPr>
          <w:p>
            <w:pPr>
              <w:pStyle w:val="0"/>
              <w:autoSpaceDE w:val="0"/>
              <w:autoSpaceDN w:val="0"/>
              <w:spacing w:line="220" w:lineRule="exact"/>
              <w:ind w:left="-227" w:right="-227"/>
              <w:jc w:val="center"/>
              <w:rPr>
                <w:rFonts w:hint="default"/>
                <w:color w:val="auto"/>
                <w:spacing w:val="-10"/>
                <w:sz w:val="18"/>
                <w:highlight w:val="none"/>
              </w:rPr>
            </w:pPr>
            <w:r>
              <w:rPr>
                <w:rFonts w:hint="eastAsia"/>
                <w:color w:val="auto"/>
                <w:spacing w:val="-10"/>
                <w:sz w:val="18"/>
                <w:highlight w:val="none"/>
              </w:rPr>
              <w:t>～</w:t>
            </w:r>
          </w:p>
        </w:tc>
        <w:tc>
          <w:tcPr>
            <w:tcW w:w="830" w:type="dxa"/>
            <w:shd w:val="clear" w:color="auto" w:fill="CCECFF"/>
            <w:vAlign w:val="center"/>
          </w:tcPr>
          <w:p>
            <w:pPr>
              <w:pStyle w:val="0"/>
              <w:autoSpaceDE w:val="0"/>
              <w:autoSpaceDN w:val="0"/>
              <w:spacing w:line="220" w:lineRule="exact"/>
              <w:ind w:left="-227" w:right="-227"/>
              <w:jc w:val="center"/>
              <w:rPr>
                <w:rFonts w:hint="default"/>
                <w:color w:val="auto"/>
                <w:spacing w:val="-10"/>
                <w:sz w:val="18"/>
                <w:highlight w:val="none"/>
              </w:rPr>
            </w:pPr>
            <w:r>
              <w:rPr>
                <w:rFonts w:hint="eastAsia"/>
                <w:color w:val="auto"/>
                <w:spacing w:val="-10"/>
                <w:sz w:val="18"/>
                <w:highlight w:val="none"/>
              </w:rPr>
              <w:t>令和</w:t>
            </w:r>
          </w:p>
          <w:p>
            <w:pPr>
              <w:pStyle w:val="0"/>
              <w:autoSpaceDE w:val="0"/>
              <w:autoSpaceDN w:val="0"/>
              <w:spacing w:line="220" w:lineRule="exact"/>
              <w:ind w:left="-227" w:right="-227"/>
              <w:jc w:val="center"/>
              <w:rPr>
                <w:rFonts w:hint="default"/>
                <w:color w:val="auto"/>
                <w:spacing w:val="-10"/>
                <w:sz w:val="18"/>
                <w:highlight w:val="none"/>
              </w:rPr>
            </w:pPr>
            <w:r>
              <w:rPr>
                <w:rFonts w:hint="eastAsia"/>
                <w:color w:val="auto"/>
                <w:spacing w:val="-10"/>
                <w:sz w:val="18"/>
                <w:highlight w:val="none"/>
              </w:rPr>
              <w:t>22</w:t>
            </w:r>
            <w:r>
              <w:rPr>
                <w:rFonts w:hint="eastAsia"/>
                <w:color w:val="auto"/>
                <w:spacing w:val="-10"/>
                <w:sz w:val="18"/>
                <w:highlight w:val="none"/>
              </w:rPr>
              <w:t>年度</w:t>
            </w:r>
          </w:p>
          <w:p>
            <w:pPr>
              <w:pStyle w:val="0"/>
              <w:autoSpaceDE w:val="0"/>
              <w:autoSpaceDN w:val="0"/>
              <w:spacing w:line="220" w:lineRule="exact"/>
              <w:ind w:left="-227" w:right="-227"/>
              <w:jc w:val="center"/>
              <w:rPr>
                <w:rFonts w:hint="default"/>
                <w:color w:val="auto"/>
                <w:spacing w:val="-10"/>
                <w:sz w:val="16"/>
                <w:highlight w:val="none"/>
              </w:rPr>
            </w:pPr>
            <w:r>
              <w:rPr>
                <w:rFonts w:hint="eastAsia"/>
                <w:color w:val="auto"/>
                <w:spacing w:val="-10"/>
                <w:sz w:val="16"/>
                <w:highlight w:val="none"/>
              </w:rPr>
              <w:t>（</w:t>
            </w:r>
            <w:r>
              <w:rPr>
                <w:rFonts w:hint="eastAsia"/>
                <w:color w:val="auto"/>
                <w:spacing w:val="-10"/>
                <w:sz w:val="16"/>
                <w:highlight w:val="none"/>
              </w:rPr>
              <w:t>2040</w:t>
            </w:r>
            <w:r>
              <w:rPr>
                <w:rFonts w:hint="eastAsia"/>
                <w:color w:val="auto"/>
                <w:spacing w:val="-10"/>
                <w:sz w:val="16"/>
                <w:highlight w:val="none"/>
              </w:rPr>
              <w:t>年度）</w:t>
            </w:r>
          </w:p>
        </w:tc>
      </w:tr>
      <w:tr>
        <w:trPr>
          <w:cantSplit/>
          <w:trHeight w:val="682" w:hRule="atLeast"/>
        </w:trPr>
        <w:tc>
          <w:tcPr>
            <w:tcW w:w="829" w:type="dxa"/>
            <w:shd w:val="clear" w:color="auto" w:fill="auto"/>
            <w:vAlign w:val="center"/>
          </w:tcPr>
          <w:p>
            <w:pPr>
              <w:pStyle w:val="0"/>
              <w:spacing w:line="200" w:lineRule="exact"/>
              <w:jc w:val="center"/>
              <w:rPr>
                <w:rFonts w:hint="default"/>
                <w:color w:val="auto"/>
                <w:sz w:val="20"/>
                <w:highlight w:val="none"/>
              </w:rPr>
            </w:pPr>
            <w:r>
              <w:rPr>
                <w:rFonts w:hint="default"/>
                <w:color w:val="auto"/>
                <w:highlight w:val="none"/>
              </w:rPr>
              <mc:AlternateContent>
                <mc:Choice Requires="wps">
                  <w:drawing>
                    <wp:anchor distT="0" distB="0" distL="114300" distR="114300" simplePos="0" relativeHeight="2" behindDoc="0" locked="0" layoutInCell="1" hidden="0" allowOverlap="1">
                      <wp:simplePos x="0" y="0"/>
                      <wp:positionH relativeFrom="column">
                        <wp:posOffset>-39370</wp:posOffset>
                      </wp:positionH>
                      <wp:positionV relativeFrom="paragraph">
                        <wp:posOffset>-11430</wp:posOffset>
                      </wp:positionV>
                      <wp:extent cx="5724525" cy="257175"/>
                      <wp:effectExtent l="635" t="635" r="30480" b="10795"/>
                      <wp:wrapNone/>
                      <wp:docPr id="1027" name="矢印: 五方向 39"/>
                      <a:graphic xmlns:a="http://schemas.openxmlformats.org/drawingml/2006/main">
                        <a:graphicData uri="http://schemas.microsoft.com/office/word/2010/wordprocessingShape">
                          <wps:wsp>
                            <wps:cNvPr id="1027" name="矢印: 五方向 39"/>
                            <wps:cNvSpPr>
                              <a:spLocks noChangeArrowheads="1"/>
                            </wps:cNvSpPr>
                            <wps:spPr>
                              <a:xfrm>
                                <a:off x="0" y="0"/>
                                <a:ext cx="5724525" cy="257175"/>
                              </a:xfrm>
                              <a:prstGeom prst="homePlate">
                                <a:avLst>
                                  <a:gd name="adj" fmla="val 149147"/>
                                </a:avLst>
                              </a:prstGeom>
                              <a:solidFill>
                                <a:schemeClr val="bg1"/>
                              </a:solidFill>
                              <a:ln w="19050">
                                <a:solidFill>
                                  <a:srgbClr val="0070C0"/>
                                </a:solidFill>
                                <a:miter lim="800000"/>
                                <a:headEnd/>
                                <a:tailEnd/>
                              </a:ln>
                            </wps:spPr>
                            <wps:txbx>
                              <w:txbxContent>
                                <w:p>
                                  <w:pPr>
                                    <w:pStyle w:val="0"/>
                                    <w:spacing w:line="260" w:lineRule="exact"/>
                                    <w:jc w:val="center"/>
                                    <w:rPr>
                                      <w:rFonts w:hint="default"/>
                                      <w:sz w:val="18"/>
                                    </w:rPr>
                                  </w:pPr>
                                  <w:r>
                                    <w:rPr>
                                      <w:rFonts w:hint="eastAsia"/>
                                      <w:sz w:val="18"/>
                                    </w:rPr>
                                    <w:t>令和</w:t>
                                  </w:r>
                                  <w:r>
                                    <w:rPr>
                                      <w:rFonts w:hint="eastAsia"/>
                                      <w:sz w:val="18"/>
                                    </w:rPr>
                                    <w:t>22</w:t>
                                  </w:r>
                                  <w:r>
                                    <w:rPr>
                                      <w:rFonts w:hint="eastAsia"/>
                                      <w:sz w:val="18"/>
                                    </w:rPr>
                                    <w:t>（</w:t>
                                  </w:r>
                                  <w:r>
                                    <w:rPr>
                                      <w:rFonts w:hint="eastAsia"/>
                                      <w:sz w:val="18"/>
                                    </w:rPr>
                                    <w:t>2040</w:t>
                                  </w:r>
                                  <w:r>
                                    <w:rPr>
                                      <w:rFonts w:hint="eastAsia"/>
                                      <w:sz w:val="18"/>
                                    </w:rPr>
                                    <w:t>）年を見据える</w:t>
                                  </w:r>
                                </w:p>
                              </w:txbxContent>
                            </wps:txbx>
                            <wps:bodyPr rot="0" vertOverflow="overflow" horzOverflow="overflow" wrap="square" tIns="0" bIns="0" anchor="ctr" anchorCtr="0" upright="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39" style="mso-wrap-distance-right:9pt;mso-wrap-distance-bottom:0pt;margin-top:-0.9pt;mso-position-vertical-relative:text;mso-position-horizontal-relative:text;v-text-anchor:middle;position:absolute;height:20.25pt;mso-wrap-distance-top:0pt;width:450.75pt;mso-wrap-distance-left:9pt;margin-left:-3.1pt;z-index:2;" o:spid="_x0000_s1027" o:allowincell="t" o:allowoverlap="t" filled="t" fillcolor="#ffffff [3212]" stroked="t" strokecolor="#0070c0" strokeweight="1.5pt" o:spt="15" type="#_x0000_t15" adj="0">
                      <v:fill/>
                      <v:stroke miterlimit="8" filltype="solid"/>
                      <v:textbox style="layout-flow:horizontal;" inset=",0mm,,0mm">
                        <w:txbxContent>
                          <w:p>
                            <w:pPr>
                              <w:pStyle w:val="0"/>
                              <w:spacing w:line="260" w:lineRule="exact"/>
                              <w:jc w:val="center"/>
                              <w:rPr>
                                <w:rFonts w:hint="default"/>
                                <w:sz w:val="18"/>
                              </w:rPr>
                            </w:pPr>
                            <w:r>
                              <w:rPr>
                                <w:rFonts w:hint="eastAsia"/>
                                <w:sz w:val="18"/>
                              </w:rPr>
                              <w:t>令和</w:t>
                            </w:r>
                            <w:r>
                              <w:rPr>
                                <w:rFonts w:hint="eastAsia"/>
                                <w:sz w:val="18"/>
                              </w:rPr>
                              <w:t>22</w:t>
                            </w:r>
                            <w:r>
                              <w:rPr>
                                <w:rFonts w:hint="eastAsia"/>
                                <w:sz w:val="18"/>
                              </w:rPr>
                              <w:t>（</w:t>
                            </w:r>
                            <w:r>
                              <w:rPr>
                                <w:rFonts w:hint="eastAsia"/>
                                <w:sz w:val="18"/>
                              </w:rPr>
                              <w:t>2040</w:t>
                            </w:r>
                            <w:r>
                              <w:rPr>
                                <w:rFonts w:hint="eastAsia"/>
                                <w:sz w:val="18"/>
                              </w:rPr>
                              <w:t>）年を見据える</w:t>
                            </w:r>
                          </w:p>
                        </w:txbxContent>
                      </v:textbox>
                      <v:imagedata o:title=""/>
                      <w10:wrap type="none" anchorx="text" anchory="text"/>
                    </v:shape>
                  </w:pict>
                </mc:Fallback>
              </mc:AlternateContent>
            </w:r>
          </w:p>
        </w:tc>
        <w:tc>
          <w:tcPr>
            <w:tcW w:w="830" w:type="dxa"/>
            <w:shd w:val="clear" w:color="auto" w:fill="auto"/>
            <w:vAlign w:val="center"/>
          </w:tcPr>
          <w:p>
            <w:pPr>
              <w:pStyle w:val="0"/>
              <w:spacing w:line="200" w:lineRule="exact"/>
              <w:jc w:val="center"/>
              <w:rPr>
                <w:rFonts w:hint="default"/>
                <w:color w:val="auto"/>
                <w:sz w:val="20"/>
                <w:highlight w:val="none"/>
              </w:rPr>
            </w:pPr>
          </w:p>
        </w:tc>
        <w:tc>
          <w:tcPr>
            <w:tcW w:w="830" w:type="dxa"/>
            <w:shd w:val="clear" w:color="auto" w:fill="auto"/>
            <w:vAlign w:val="center"/>
          </w:tcPr>
          <w:p>
            <w:pPr>
              <w:pStyle w:val="0"/>
              <w:spacing w:line="200" w:lineRule="exact"/>
              <w:jc w:val="center"/>
              <w:rPr>
                <w:rFonts w:hint="default"/>
                <w:color w:val="auto"/>
                <w:sz w:val="20"/>
                <w:highlight w:val="none"/>
              </w:rPr>
            </w:pPr>
          </w:p>
        </w:tc>
        <w:tc>
          <w:tcPr>
            <w:tcW w:w="830" w:type="dxa"/>
            <w:vMerge w:val="restart"/>
            <w:shd w:val="clear" w:color="auto" w:fill="auto"/>
            <w:vAlign w:val="center"/>
          </w:tcPr>
          <w:p>
            <w:pPr>
              <w:pStyle w:val="0"/>
              <w:spacing w:line="200" w:lineRule="exact"/>
              <w:jc w:val="center"/>
              <w:rPr>
                <w:rFonts w:hint="default"/>
                <w:color w:val="auto"/>
                <w:sz w:val="20"/>
                <w:highlight w:val="none"/>
              </w:rPr>
            </w:pPr>
          </w:p>
        </w:tc>
        <w:tc>
          <w:tcPr>
            <w:tcW w:w="830" w:type="dxa"/>
            <w:vMerge w:val="restart"/>
            <w:shd w:val="clear" w:color="auto" w:fill="auto"/>
            <w:vAlign w:val="center"/>
          </w:tcPr>
          <w:p>
            <w:pPr>
              <w:pStyle w:val="0"/>
              <w:spacing w:line="200" w:lineRule="exact"/>
              <w:jc w:val="center"/>
              <w:rPr>
                <w:rFonts w:hint="default"/>
                <w:color w:val="auto"/>
                <w:sz w:val="20"/>
                <w:highlight w:val="none"/>
              </w:rPr>
            </w:pPr>
          </w:p>
        </w:tc>
        <w:tc>
          <w:tcPr>
            <w:tcW w:w="830" w:type="dxa"/>
            <w:vMerge w:val="restart"/>
            <w:shd w:val="clear" w:color="auto" w:fill="auto"/>
            <w:vAlign w:val="center"/>
          </w:tcPr>
          <w:p>
            <w:pPr>
              <w:pStyle w:val="0"/>
              <w:spacing w:line="200" w:lineRule="exact"/>
              <w:jc w:val="center"/>
              <w:rPr>
                <w:rFonts w:hint="default"/>
                <w:color w:val="auto"/>
                <w:sz w:val="20"/>
                <w:highlight w:val="none"/>
              </w:rPr>
            </w:pPr>
          </w:p>
        </w:tc>
        <w:tc>
          <w:tcPr>
            <w:tcW w:w="830" w:type="dxa"/>
            <w:vMerge w:val="restart"/>
            <w:vAlign w:val="center"/>
          </w:tcPr>
          <w:p>
            <w:pPr>
              <w:pStyle w:val="0"/>
              <w:spacing w:line="200" w:lineRule="exact"/>
              <w:jc w:val="center"/>
              <w:rPr>
                <w:rFonts w:hint="default"/>
                <w:color w:val="auto"/>
                <w:sz w:val="20"/>
                <w:highlight w:val="none"/>
              </w:rPr>
            </w:pPr>
          </w:p>
        </w:tc>
        <w:tc>
          <w:tcPr>
            <w:tcW w:w="830" w:type="dxa"/>
            <w:vMerge w:val="restart"/>
            <w:vAlign w:val="center"/>
          </w:tcPr>
          <w:p>
            <w:pPr>
              <w:pStyle w:val="0"/>
              <w:spacing w:line="200" w:lineRule="exact"/>
              <w:jc w:val="center"/>
              <w:rPr>
                <w:rFonts w:hint="default"/>
                <w:color w:val="auto"/>
                <w:sz w:val="20"/>
                <w:highlight w:val="none"/>
              </w:rPr>
            </w:pPr>
          </w:p>
        </w:tc>
        <w:tc>
          <w:tcPr>
            <w:tcW w:w="830" w:type="dxa"/>
            <w:vMerge w:val="restart"/>
            <w:vAlign w:val="center"/>
          </w:tcPr>
          <w:p>
            <w:pPr>
              <w:pStyle w:val="0"/>
              <w:spacing w:line="200" w:lineRule="exact"/>
              <w:jc w:val="center"/>
              <w:rPr>
                <w:rFonts w:hint="default"/>
                <w:color w:val="auto"/>
                <w:sz w:val="20"/>
                <w:highlight w:val="none"/>
              </w:rPr>
            </w:pPr>
          </w:p>
        </w:tc>
        <w:tc>
          <w:tcPr>
            <w:tcW w:w="830" w:type="dxa"/>
            <w:vMerge w:val="restart"/>
            <w:vAlign w:val="center"/>
          </w:tcPr>
          <w:p>
            <w:pPr>
              <w:pStyle w:val="0"/>
              <w:spacing w:line="200" w:lineRule="exact"/>
              <w:jc w:val="center"/>
              <w:rPr>
                <w:rFonts w:hint="default"/>
                <w:color w:val="auto"/>
                <w:sz w:val="20"/>
                <w:highlight w:val="none"/>
              </w:rPr>
            </w:pPr>
          </w:p>
        </w:tc>
        <w:tc>
          <w:tcPr>
            <w:tcW w:w="830" w:type="dxa"/>
            <w:vMerge w:val="restart"/>
            <w:vAlign w:val="center"/>
          </w:tcPr>
          <w:p>
            <w:pPr>
              <w:pStyle w:val="0"/>
              <w:spacing w:line="200" w:lineRule="exact"/>
              <w:jc w:val="center"/>
              <w:rPr>
                <w:rFonts w:hint="default"/>
                <w:color w:val="auto"/>
                <w:sz w:val="20"/>
                <w:highlight w:val="none"/>
              </w:rPr>
            </w:pPr>
          </w:p>
        </w:tc>
      </w:tr>
      <w:tr>
        <w:trPr>
          <w:cantSplit/>
          <w:trHeight w:val="397" w:hRule="atLeast"/>
        </w:trPr>
        <w:tc>
          <w:tcPr>
            <w:tcW w:w="2489" w:type="dxa"/>
            <w:gridSpan w:val="3"/>
            <w:shd w:val="clear" w:color="auto" w:themeFill="background1" w:themeFillTint="FF" w:themeFillShade="D9"/>
            <w:vAlign w:val="center"/>
          </w:tcPr>
          <w:p>
            <w:pPr>
              <w:pStyle w:val="0"/>
              <w:spacing w:line="200" w:lineRule="exact"/>
              <w:jc w:val="center"/>
              <w:rPr>
                <w:rFonts w:hint="default"/>
                <w:color w:val="auto"/>
                <w:sz w:val="20"/>
                <w:highlight w:val="none"/>
              </w:rPr>
            </w:pPr>
            <w:r>
              <w:rPr>
                <w:rFonts w:hint="eastAsia"/>
                <w:color w:val="auto"/>
                <w:sz w:val="20"/>
                <w:highlight w:val="none"/>
              </w:rPr>
              <w:t>第８期計画</w:t>
            </w:r>
          </w:p>
        </w:tc>
        <w:tc>
          <w:tcPr>
            <w:tcW w:w="830" w:type="dxa"/>
            <w:vMerge w:val="continue"/>
            <w:shd w:val="clear" w:color="auto" w:fill="auto"/>
            <w:vAlign w:val="center"/>
          </w:tcPr>
          <w:p>
            <w:pPr>
              <w:pStyle w:val="0"/>
              <w:rPr>
                <w:rFonts w:hint="default"/>
              </w:rPr>
            </w:pPr>
          </w:p>
        </w:tc>
        <w:tc>
          <w:tcPr>
            <w:tcW w:w="830" w:type="dxa"/>
            <w:vMerge w:val="continue"/>
            <w:shd w:val="clear" w:color="auto" w:fill="auto"/>
            <w:vAlign w:val="center"/>
          </w:tcPr>
          <w:p>
            <w:pPr>
              <w:pStyle w:val="0"/>
              <w:rPr>
                <w:rFonts w:hint="default"/>
              </w:rPr>
            </w:pPr>
          </w:p>
        </w:tc>
        <w:tc>
          <w:tcPr>
            <w:tcW w:w="830" w:type="dxa"/>
            <w:vMerge w:val="continue"/>
            <w:shd w:val="clear" w:color="auto" w:fill="auto"/>
            <w:vAlign w:val="center"/>
          </w:tcPr>
          <w:p>
            <w:pPr>
              <w:pStyle w:val="0"/>
              <w:rPr>
                <w:rFonts w:hint="default"/>
              </w:rPr>
            </w:pPr>
          </w:p>
        </w:tc>
        <w:tc>
          <w:tcPr>
            <w:tcW w:w="830" w:type="dxa"/>
            <w:vMerge w:val="continue"/>
            <w:vAlign w:val="center"/>
          </w:tcPr>
          <w:p>
            <w:pPr>
              <w:pStyle w:val="0"/>
              <w:rPr>
                <w:rFonts w:hint="default"/>
              </w:rPr>
            </w:pPr>
          </w:p>
        </w:tc>
        <w:tc>
          <w:tcPr>
            <w:tcW w:w="830" w:type="dxa"/>
            <w:vMerge w:val="continue"/>
            <w:vAlign w:val="center"/>
          </w:tcPr>
          <w:p>
            <w:pPr>
              <w:pStyle w:val="0"/>
              <w:rPr>
                <w:rFonts w:hint="default"/>
              </w:rPr>
            </w:pPr>
          </w:p>
        </w:tc>
        <w:tc>
          <w:tcPr>
            <w:tcW w:w="830" w:type="dxa"/>
            <w:vMerge w:val="continue"/>
            <w:vAlign w:val="center"/>
          </w:tcPr>
          <w:p>
            <w:pPr>
              <w:pStyle w:val="0"/>
              <w:rPr>
                <w:rFonts w:hint="default"/>
              </w:rPr>
            </w:pPr>
          </w:p>
        </w:tc>
        <w:tc>
          <w:tcPr>
            <w:tcW w:w="830" w:type="dxa"/>
            <w:vMerge w:val="continue"/>
            <w:vAlign w:val="center"/>
          </w:tcPr>
          <w:p>
            <w:pPr>
              <w:pStyle w:val="0"/>
              <w:rPr>
                <w:rFonts w:hint="default"/>
              </w:rPr>
            </w:pPr>
          </w:p>
        </w:tc>
        <w:tc>
          <w:tcPr>
            <w:tcW w:w="830" w:type="dxa"/>
            <w:vMerge w:val="continue"/>
            <w:vAlign w:val="center"/>
          </w:tcPr>
          <w:p>
            <w:pPr>
              <w:pStyle w:val="0"/>
              <w:rPr>
                <w:rFonts w:hint="default"/>
              </w:rPr>
            </w:pPr>
          </w:p>
        </w:tc>
      </w:tr>
      <w:tr>
        <w:trPr>
          <w:cantSplit/>
          <w:trHeight w:val="397" w:hRule="atLeast"/>
        </w:trPr>
        <w:tc>
          <w:tcPr>
            <w:tcW w:w="829" w:type="dxa"/>
            <w:vMerge w:val="restart"/>
            <w:shd w:val="clear" w:color="auto" w:fill="auto"/>
            <w:vAlign w:val="center"/>
          </w:tcPr>
          <w:p>
            <w:pPr>
              <w:pStyle w:val="0"/>
              <w:spacing w:line="200" w:lineRule="exact"/>
              <w:jc w:val="center"/>
              <w:rPr>
                <w:rFonts w:hint="default" w:ascii="ＭＳ Ｐゴシック" w:hAnsi="ＭＳ Ｐゴシック" w:eastAsia="ＭＳ Ｐゴシック"/>
                <w:color w:val="auto"/>
                <w:sz w:val="20"/>
                <w:highlight w:val="none"/>
              </w:rPr>
            </w:pPr>
          </w:p>
        </w:tc>
        <w:tc>
          <w:tcPr>
            <w:tcW w:w="830" w:type="dxa"/>
            <w:vMerge w:val="restart"/>
            <w:shd w:val="clear" w:color="auto" w:fill="auto"/>
            <w:vAlign w:val="center"/>
          </w:tcPr>
          <w:p>
            <w:pPr>
              <w:pStyle w:val="0"/>
              <w:spacing w:line="200" w:lineRule="exact"/>
              <w:jc w:val="center"/>
              <w:rPr>
                <w:rFonts w:hint="default" w:ascii="ＭＳ Ｐゴシック" w:hAnsi="ＭＳ Ｐゴシック" w:eastAsia="ＭＳ Ｐゴシック"/>
                <w:color w:val="auto"/>
                <w:sz w:val="20"/>
                <w:highlight w:val="none"/>
              </w:rPr>
            </w:pPr>
          </w:p>
        </w:tc>
        <w:tc>
          <w:tcPr>
            <w:tcW w:w="830" w:type="dxa"/>
            <w:vMerge w:val="restart"/>
            <w:shd w:val="clear" w:color="auto" w:fill="auto"/>
            <w:vAlign w:val="center"/>
          </w:tcPr>
          <w:p>
            <w:pPr>
              <w:pStyle w:val="0"/>
              <w:spacing w:line="200" w:lineRule="exact"/>
              <w:jc w:val="center"/>
              <w:rPr>
                <w:rFonts w:hint="default" w:ascii="ＭＳ Ｐゴシック" w:hAnsi="ＭＳ Ｐゴシック" w:eastAsia="ＭＳ Ｐゴシック"/>
                <w:color w:val="auto"/>
                <w:sz w:val="20"/>
                <w:highlight w:val="none"/>
              </w:rPr>
            </w:pPr>
          </w:p>
        </w:tc>
        <w:tc>
          <w:tcPr>
            <w:tcW w:w="2490" w:type="dxa"/>
            <w:gridSpan w:val="3"/>
            <w:shd w:val="clear" w:color="auto" w:fill="0070C0"/>
            <w:vAlign w:val="center"/>
          </w:tcPr>
          <w:p>
            <w:pPr>
              <w:pStyle w:val="0"/>
              <w:spacing w:line="200" w:lineRule="exact"/>
              <w:jc w:val="center"/>
              <w:rPr>
                <w:rFonts w:hint="default"/>
                <w:b w:val="1"/>
                <w:color w:val="auto"/>
                <w:sz w:val="20"/>
                <w:highlight w:val="none"/>
              </w:rPr>
            </w:pPr>
            <w:r>
              <w:rPr>
                <w:rFonts w:hint="eastAsia"/>
                <w:b w:val="1"/>
                <w:color w:val="auto"/>
                <w:sz w:val="20"/>
                <w:highlight w:val="none"/>
              </w:rPr>
              <w:t>第９期計画</w:t>
            </w:r>
          </w:p>
        </w:tc>
        <w:tc>
          <w:tcPr>
            <w:tcW w:w="830" w:type="dxa"/>
            <w:vMerge w:val="continue"/>
            <w:shd w:val="clear" w:color="auto" w:fill="auto"/>
            <w:vAlign w:val="center"/>
          </w:tcPr>
          <w:p>
            <w:pPr>
              <w:pStyle w:val="0"/>
              <w:rPr>
                <w:rFonts w:hint="default"/>
              </w:rPr>
            </w:pPr>
          </w:p>
        </w:tc>
        <w:tc>
          <w:tcPr>
            <w:tcW w:w="830" w:type="dxa"/>
            <w:vMerge w:val="continue"/>
            <w:shd w:val="clear" w:color="auto" w:fill="auto"/>
            <w:vAlign w:val="center"/>
          </w:tcPr>
          <w:p>
            <w:pPr>
              <w:pStyle w:val="0"/>
              <w:rPr>
                <w:rFonts w:hint="default"/>
              </w:rPr>
            </w:pPr>
          </w:p>
        </w:tc>
        <w:tc>
          <w:tcPr>
            <w:tcW w:w="830" w:type="dxa"/>
            <w:vMerge w:val="continue"/>
            <w:shd w:val="clear" w:color="auto" w:fill="auto"/>
            <w:vAlign w:val="center"/>
          </w:tcPr>
          <w:p>
            <w:pPr>
              <w:pStyle w:val="0"/>
              <w:rPr>
                <w:rFonts w:hint="default"/>
              </w:rPr>
            </w:pPr>
          </w:p>
        </w:tc>
        <w:tc>
          <w:tcPr>
            <w:tcW w:w="830" w:type="dxa"/>
            <w:vMerge w:val="continue"/>
            <w:vAlign w:val="center"/>
          </w:tcPr>
          <w:p>
            <w:pPr>
              <w:pStyle w:val="0"/>
              <w:rPr>
                <w:rFonts w:hint="default"/>
              </w:rPr>
            </w:pPr>
          </w:p>
        </w:tc>
        <w:tc>
          <w:tcPr>
            <w:tcW w:w="830" w:type="dxa"/>
            <w:vMerge w:val="continue"/>
            <w:shd w:val="clear" w:color="auto" w:fill="auto"/>
            <w:vAlign w:val="center"/>
          </w:tcPr>
          <w:p>
            <w:pPr>
              <w:pStyle w:val="0"/>
              <w:rPr>
                <w:rFonts w:hint="default"/>
              </w:rPr>
            </w:pPr>
          </w:p>
        </w:tc>
      </w:tr>
      <w:tr>
        <w:trPr>
          <w:cantSplit/>
          <w:trHeight w:val="397" w:hRule="atLeast"/>
        </w:trPr>
        <w:tc>
          <w:tcPr>
            <w:tcW w:w="829" w:type="dxa"/>
            <w:vMerge w:val="continue"/>
            <w:shd w:val="clear" w:color="auto" w:fill="auto"/>
            <w:vAlign w:val="center"/>
          </w:tcPr>
          <w:p>
            <w:pPr>
              <w:pStyle w:val="0"/>
              <w:spacing w:line="200" w:lineRule="exact"/>
              <w:jc w:val="center"/>
              <w:rPr>
                <w:rFonts w:hint="default" w:ascii="ＭＳ Ｐゴシック" w:hAnsi="ＭＳ Ｐゴシック" w:eastAsia="ＭＳ Ｐゴシック"/>
                <w:sz w:val="20"/>
              </w:rPr>
            </w:pPr>
          </w:p>
        </w:tc>
        <w:tc>
          <w:tcPr>
            <w:tcW w:w="830" w:type="dxa"/>
            <w:vMerge w:val="continue"/>
            <w:shd w:val="clear" w:color="auto" w:fill="auto"/>
            <w:vAlign w:val="center"/>
          </w:tcPr>
          <w:p>
            <w:pPr>
              <w:pStyle w:val="0"/>
              <w:spacing w:line="200" w:lineRule="exact"/>
              <w:jc w:val="center"/>
              <w:rPr>
                <w:rFonts w:hint="default" w:ascii="ＭＳ Ｐゴシック" w:hAnsi="ＭＳ Ｐゴシック" w:eastAsia="ＭＳ Ｐゴシック"/>
                <w:sz w:val="20"/>
              </w:rPr>
            </w:pPr>
          </w:p>
        </w:tc>
        <w:tc>
          <w:tcPr>
            <w:tcW w:w="830" w:type="dxa"/>
            <w:vMerge w:val="continue"/>
            <w:shd w:val="clear" w:color="auto" w:fill="auto"/>
            <w:vAlign w:val="center"/>
          </w:tcPr>
          <w:p>
            <w:pPr>
              <w:pStyle w:val="0"/>
              <w:spacing w:line="200" w:lineRule="exact"/>
              <w:jc w:val="center"/>
              <w:rPr>
                <w:rFonts w:hint="default" w:ascii="ＭＳ Ｐゴシック" w:hAnsi="ＭＳ Ｐゴシック" w:eastAsia="ＭＳ Ｐゴシック"/>
                <w:sz w:val="20"/>
              </w:rPr>
            </w:pPr>
          </w:p>
        </w:tc>
        <w:tc>
          <w:tcPr>
            <w:tcW w:w="830" w:type="dxa"/>
            <w:shd w:val="clear" w:color="auto" w:fill="auto"/>
            <w:vAlign w:val="center"/>
          </w:tcPr>
          <w:p>
            <w:pPr>
              <w:pStyle w:val="0"/>
              <w:spacing w:line="200" w:lineRule="exact"/>
              <w:jc w:val="center"/>
              <w:rPr>
                <w:rFonts w:hint="default" w:ascii="ＭＳ Ｐゴシック" w:hAnsi="ＭＳ Ｐゴシック" w:eastAsia="ＭＳ Ｐゴシック"/>
                <w:color w:val="auto"/>
                <w:sz w:val="20"/>
                <w:highlight w:val="none"/>
              </w:rPr>
            </w:pPr>
          </w:p>
        </w:tc>
        <w:tc>
          <w:tcPr>
            <w:tcW w:w="830" w:type="dxa"/>
            <w:shd w:val="clear" w:color="auto" w:fill="auto"/>
            <w:vAlign w:val="center"/>
          </w:tcPr>
          <w:p>
            <w:pPr>
              <w:pStyle w:val="0"/>
              <w:spacing w:line="200" w:lineRule="exact"/>
              <w:jc w:val="center"/>
              <w:rPr>
                <w:rFonts w:hint="default" w:ascii="ＭＳ Ｐゴシック" w:hAnsi="ＭＳ Ｐゴシック" w:eastAsia="ＭＳ Ｐゴシック"/>
                <w:color w:val="auto"/>
                <w:sz w:val="20"/>
                <w:highlight w:val="none"/>
              </w:rPr>
            </w:pPr>
          </w:p>
        </w:tc>
        <w:tc>
          <w:tcPr>
            <w:tcW w:w="830" w:type="dxa"/>
            <w:shd w:val="clear" w:color="auto" w:fill="auto"/>
            <w:vAlign w:val="center"/>
          </w:tcPr>
          <w:p>
            <w:pPr>
              <w:pStyle w:val="0"/>
              <w:spacing w:line="200" w:lineRule="exact"/>
              <w:jc w:val="center"/>
              <w:rPr>
                <w:rFonts w:hint="default" w:ascii="ＭＳ Ｐゴシック" w:hAnsi="ＭＳ Ｐゴシック" w:eastAsia="ＭＳ Ｐゴシック"/>
                <w:color w:val="auto"/>
                <w:sz w:val="20"/>
                <w:highlight w:val="none"/>
              </w:rPr>
            </w:pPr>
          </w:p>
        </w:tc>
        <w:tc>
          <w:tcPr>
            <w:tcW w:w="2490" w:type="dxa"/>
            <w:gridSpan w:val="3"/>
            <w:shd w:val="clear" w:color="auto" w:themeFill="background1" w:themeFillTint="FF" w:themeFillShade="D9"/>
            <w:vAlign w:val="center"/>
          </w:tcPr>
          <w:p>
            <w:pPr>
              <w:pStyle w:val="0"/>
              <w:spacing w:line="200" w:lineRule="exact"/>
              <w:jc w:val="center"/>
              <w:rPr>
                <w:rFonts w:hint="default"/>
                <w:color w:val="auto"/>
                <w:sz w:val="20"/>
                <w:highlight w:val="none"/>
              </w:rPr>
            </w:pPr>
            <w:r>
              <w:rPr>
                <w:rFonts w:hint="eastAsia"/>
                <w:color w:val="auto"/>
                <w:sz w:val="20"/>
                <w:highlight w:val="none"/>
              </w:rPr>
              <w:t>第</w:t>
            </w:r>
            <w:r>
              <w:rPr>
                <w:rFonts w:hint="eastAsia"/>
                <w:color w:val="auto"/>
                <w:sz w:val="20"/>
                <w:highlight w:val="none"/>
              </w:rPr>
              <w:t>10</w:t>
            </w:r>
            <w:r>
              <w:rPr>
                <w:rFonts w:hint="eastAsia"/>
                <w:color w:val="auto"/>
                <w:sz w:val="20"/>
                <w:highlight w:val="none"/>
              </w:rPr>
              <w:t>期計画</w:t>
            </w:r>
          </w:p>
        </w:tc>
        <w:tc>
          <w:tcPr>
            <w:tcW w:w="830" w:type="dxa"/>
            <w:vMerge w:val="continue"/>
            <w:vAlign w:val="center"/>
          </w:tcPr>
          <w:p>
            <w:pPr>
              <w:pStyle w:val="0"/>
              <w:rPr>
                <w:rFonts w:hint="default"/>
              </w:rPr>
            </w:pPr>
          </w:p>
        </w:tc>
        <w:tc>
          <w:tcPr>
            <w:tcW w:w="830" w:type="dxa"/>
            <w:vMerge w:val="continue"/>
            <w:shd w:val="clear" w:color="auto" w:fill="auto"/>
            <w:vAlign w:val="center"/>
          </w:tcPr>
          <w:p>
            <w:pPr>
              <w:pStyle w:val="0"/>
              <w:rPr>
                <w:rFonts w:hint="default"/>
              </w:rPr>
            </w:pPr>
          </w:p>
        </w:tc>
      </w:tr>
    </w:tbl>
    <w:p>
      <w:pPr>
        <w:pStyle w:val="41"/>
        <w:rPr>
          <w:rFonts w:hint="default"/>
          <w:color w:val="auto"/>
          <w:highlight w:val="none"/>
        </w:rPr>
      </w:pPr>
      <w:r>
        <w:rPr>
          <w:rFonts w:hint="default"/>
          <w:color w:val="auto"/>
          <w:highlight w:val="none"/>
        </w:rPr>
        <w:br w:type="page"/>
      </w:r>
    </w:p>
    <w:p>
      <w:pPr>
        <w:pStyle w:val="22"/>
        <w:spacing w:after="76" w:afterLines="0" w:afterAutospacing="0"/>
        <w:rPr>
          <w:rFonts w:hint="default"/>
          <w:color w:val="auto"/>
          <w:highlight w:val="none"/>
        </w:rPr>
      </w:pPr>
      <w:bookmarkStart w:id="10" w:name="_Toc152160608"/>
      <w:r>
        <w:rPr>
          <w:rFonts w:hint="eastAsia"/>
          <w:color w:val="auto"/>
          <w:highlight w:val="none"/>
        </w:rPr>
        <w:t>４　</w:t>
      </w:r>
      <w:r>
        <w:rPr>
          <w:rStyle w:val="38"/>
          <w:rFonts w:hint="eastAsia" w:ascii="BIZ UDPゴシック" w:hAnsi="BIZ UDPゴシック" w:eastAsia="BIZ UDPゴシック"/>
          <w:color w:val="auto"/>
          <w:sz w:val="32"/>
          <w:highlight w:val="none"/>
        </w:rPr>
        <w:t>計画の策定体制</w:t>
      </w:r>
      <w:bookmarkEnd w:id="10"/>
    </w:p>
    <w:p>
      <w:pPr>
        <w:pStyle w:val="24"/>
        <w:rPr>
          <w:rFonts w:hint="default"/>
          <w:color w:val="auto"/>
          <w:highlight w:val="none"/>
        </w:rPr>
      </w:pPr>
      <w:r>
        <w:rPr>
          <w:rFonts w:hint="eastAsia"/>
          <w:color w:val="auto"/>
          <w:highlight w:val="none"/>
        </w:rPr>
        <w:t>高齢者への福祉施策や介護サービスのあり方について、高齢者はもとより、広く市民のニーズを把握し、計画に反映するため、以下の取組を行いました。</w:t>
      </w:r>
    </w:p>
    <w:p>
      <w:pPr>
        <w:pStyle w:val="41"/>
        <w:rPr>
          <w:rFonts w:hint="default"/>
          <w:color w:val="auto"/>
          <w:highlight w:val="none"/>
        </w:rPr>
      </w:pPr>
    </w:p>
    <w:p>
      <w:pPr>
        <w:pStyle w:val="26"/>
        <w:spacing w:after="76" w:afterLines="0" w:afterAutospacing="0"/>
        <w:rPr>
          <w:rFonts w:hint="default"/>
          <w:color w:val="auto"/>
          <w:highlight w:val="none"/>
        </w:rPr>
      </w:pPr>
      <w:bookmarkStart w:id="11" w:name="_Toc150813495"/>
      <w:bookmarkStart w:id="12" w:name="_Toc152155806"/>
      <w:bookmarkStart w:id="13" w:name="_Toc152160609"/>
      <w:r>
        <w:rPr>
          <w:rFonts w:hint="default"/>
          <w:color w:val="auto"/>
          <w:highlight w:val="none"/>
        </w:rPr>
        <w:t>（</w:t>
      </w:r>
      <w:r>
        <w:rPr>
          <w:rFonts w:hint="eastAsia"/>
          <w:color w:val="auto"/>
          <w:highlight w:val="none"/>
        </w:rPr>
        <w:t>１</w:t>
      </w:r>
      <w:r>
        <w:rPr>
          <w:rFonts w:hint="default"/>
          <w:color w:val="auto"/>
          <w:highlight w:val="none"/>
        </w:rPr>
        <w:t>）</w:t>
      </w:r>
      <w:r>
        <w:rPr>
          <w:rFonts w:hint="eastAsia"/>
          <w:color w:val="auto"/>
          <w:highlight w:val="none"/>
        </w:rPr>
        <w:t>廿日市市保健福祉審議会高齢福祉専門部会での検討</w:t>
      </w:r>
      <w:bookmarkEnd w:id="11"/>
      <w:bookmarkEnd w:id="12"/>
      <w:bookmarkEnd w:id="13"/>
    </w:p>
    <w:p>
      <w:pPr>
        <w:pStyle w:val="41"/>
        <w:spacing w:after="185" w:afterLines="50" w:afterAutospacing="0" w:line="400" w:lineRule="exact"/>
        <w:ind w:left="660" w:leftChars="300"/>
        <w:rPr>
          <w:rFonts w:hint="default"/>
          <w:b w:val="1"/>
          <w:color w:val="auto"/>
          <w:highlight w:val="none"/>
        </w:rPr>
      </w:pPr>
      <w:r>
        <w:rPr>
          <w:rFonts w:hint="eastAsia"/>
          <w:b w:val="1"/>
          <w:color w:val="auto"/>
          <w:highlight w:val="none"/>
        </w:rPr>
        <w:t>［廿日市市高齢者福祉計画・第９期廿日市市介護保険事業計画策定委員会］</w:t>
      </w:r>
    </w:p>
    <w:p>
      <w:pPr>
        <w:pStyle w:val="28"/>
        <w:rPr>
          <w:rFonts w:hint="default"/>
          <w:color w:val="auto"/>
          <w:highlight w:val="none"/>
        </w:rPr>
      </w:pPr>
      <w:r>
        <w:rPr>
          <w:rFonts w:hint="eastAsia"/>
          <w:color w:val="auto"/>
          <w:highlight w:val="none"/>
        </w:rPr>
        <w:t>計画策定において、被保険者をはじめとする市民各層の意見を反映させるため、「廿日市市保健福祉審議会高齢福祉専門部会」を拡充し、計画策定に関する協議、審議を行いました。</w:t>
      </w:r>
    </w:p>
    <w:p>
      <w:pPr>
        <w:pStyle w:val="28"/>
        <w:rPr>
          <w:rFonts w:hint="default"/>
          <w:color w:val="auto"/>
          <w:highlight w:val="none"/>
        </w:rPr>
      </w:pPr>
      <w:r>
        <w:rPr>
          <w:rFonts w:hint="eastAsia"/>
          <w:color w:val="auto"/>
          <w:highlight w:val="none"/>
        </w:rPr>
        <w:t>この会議には、保健・医療・福祉の関係者のほか、学識経験者、地域での活動者などが委員（委員名簿は資料編参照）として参画し、様々な見地から議論されました。</w:t>
      </w:r>
    </w:p>
    <w:p>
      <w:pPr>
        <w:pStyle w:val="0"/>
        <w:rPr>
          <w:rFonts w:hint="default"/>
          <w:color w:val="auto"/>
          <w:highlight w:val="none"/>
        </w:rPr>
      </w:pPr>
    </w:p>
    <w:p>
      <w:pPr>
        <w:pStyle w:val="26"/>
        <w:spacing w:after="76" w:afterLines="0" w:afterAutospacing="0"/>
        <w:rPr>
          <w:rFonts w:hint="default"/>
          <w:color w:val="auto"/>
          <w:highlight w:val="none"/>
        </w:rPr>
      </w:pPr>
      <w:bookmarkStart w:id="14" w:name="_Toc150813496"/>
      <w:bookmarkStart w:id="15" w:name="_Toc152155807"/>
      <w:bookmarkStart w:id="16" w:name="_Toc152160610"/>
      <w:r>
        <w:rPr>
          <w:rFonts w:hint="eastAsia"/>
          <w:color w:val="auto"/>
          <w:highlight w:val="none"/>
        </w:rPr>
        <w:t>（２）アンケート調査の実施</w:t>
      </w:r>
      <w:bookmarkEnd w:id="14"/>
      <w:bookmarkEnd w:id="15"/>
      <w:bookmarkEnd w:id="16"/>
    </w:p>
    <w:p>
      <w:pPr>
        <w:pStyle w:val="28"/>
        <w:rPr>
          <w:rFonts w:hint="default"/>
          <w:color w:val="auto"/>
          <w:highlight w:val="none"/>
        </w:rPr>
      </w:pPr>
      <w:r>
        <w:rPr>
          <w:rFonts w:hint="eastAsia"/>
          <w:color w:val="auto"/>
          <w:highlight w:val="none"/>
        </w:rPr>
        <w:t>広く市民のニーズを把握するとともに地域の課題を明らかにして計画に反映するため、「高齢者の保健福祉に関するアンケート調査」、「在宅介護実態調査」、「在宅生活改善調査」、「居所変更実態調査」、「サービス提供状況調査」、「サービス展開意向調査」「介護人材実態調査」を実施しました。</w:t>
      </w:r>
    </w:p>
    <w:p>
      <w:pPr>
        <w:pStyle w:val="41"/>
        <w:rPr>
          <w:rFonts w:hint="default"/>
          <w:color w:val="auto"/>
          <w:highlight w:val="none"/>
        </w:rPr>
      </w:pPr>
    </w:p>
    <w:p>
      <w:pPr>
        <w:pStyle w:val="30"/>
        <w:spacing w:after="76" w:afterLines="0" w:afterAutospacing="0"/>
        <w:rPr>
          <w:rFonts w:hint="default"/>
          <w:color w:val="auto"/>
          <w:highlight w:val="none"/>
        </w:rPr>
      </w:pPr>
      <w:r>
        <w:rPr>
          <w:rFonts w:hint="eastAsia"/>
          <w:color w:val="auto"/>
          <w:spacing w:val="1"/>
          <w:w w:val="85"/>
          <w:highlight w:val="none"/>
          <w:fitText w:val="8064" w:id="1"/>
        </w:rPr>
        <w:t>ア　高齢者の保健福祉に関するアンケート調査（介護予防・日常生活圏域ニーズ調査</w:t>
      </w:r>
      <w:r>
        <w:rPr>
          <w:rFonts w:hint="eastAsia"/>
          <w:color w:val="auto"/>
          <w:spacing w:val="19"/>
          <w:w w:val="85"/>
          <w:highlight w:val="none"/>
          <w:fitText w:val="8064" w:id="1"/>
        </w:rPr>
        <w:t>）</w:t>
      </w:r>
    </w:p>
    <w:tbl>
      <w:tblPr>
        <w:tblStyle w:val="81"/>
        <w:tblW w:w="8499" w:type="dxa"/>
        <w:tblInd w:w="562" w:type="dxa"/>
        <w:tblLayout w:type="fixed"/>
        <w:tblLook w:firstRow="1" w:lastRow="0" w:firstColumn="1" w:lastColumn="0" w:noHBand="0" w:noVBand="1" w:val="04A0"/>
      </w:tblPr>
      <w:tblGrid>
        <w:gridCol w:w="2523"/>
        <w:gridCol w:w="5976"/>
      </w:tblGrid>
      <w:tr>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目的</w:t>
            </w:r>
          </w:p>
        </w:tc>
        <w:tc>
          <w:tcPr>
            <w:tcW w:w="5976" w:type="dxa"/>
            <w:vAlign w:val="center"/>
          </w:tcPr>
          <w:p>
            <w:pPr>
              <w:pStyle w:val="0"/>
              <w:spacing w:line="340" w:lineRule="exact"/>
              <w:rPr>
                <w:rFonts w:hint="default"/>
                <w:color w:val="auto"/>
                <w:highlight w:val="none"/>
              </w:rPr>
            </w:pPr>
            <w:r>
              <w:rPr>
                <w:rFonts w:hint="eastAsia"/>
                <w:color w:val="auto"/>
                <w:highlight w:val="none"/>
              </w:rPr>
              <w:t>日常生活圏域における高齢者等の実態や課題を把握する。</w:t>
            </w:r>
          </w:p>
        </w:tc>
      </w:tr>
      <w:tr>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調査対象</w:t>
            </w:r>
          </w:p>
        </w:tc>
        <w:tc>
          <w:tcPr>
            <w:tcW w:w="5976" w:type="dxa"/>
            <w:vAlign w:val="center"/>
          </w:tcPr>
          <w:p>
            <w:pPr>
              <w:pStyle w:val="0"/>
              <w:spacing w:line="340" w:lineRule="exact"/>
              <w:rPr>
                <w:rFonts w:hint="default"/>
                <w:color w:val="auto"/>
                <w:highlight w:val="none"/>
              </w:rPr>
            </w:pPr>
            <w:r>
              <w:rPr>
                <w:rFonts w:hint="eastAsia"/>
                <w:color w:val="auto"/>
                <w:highlight w:val="none"/>
              </w:rPr>
              <w:t>65</w:t>
            </w:r>
            <w:r>
              <w:rPr>
                <w:rFonts w:hint="eastAsia"/>
                <w:color w:val="auto"/>
                <w:highlight w:val="none"/>
              </w:rPr>
              <w:t>歳以上の市民</w:t>
            </w:r>
          </w:p>
          <w:p>
            <w:pPr>
              <w:pStyle w:val="0"/>
              <w:spacing w:line="340" w:lineRule="exact"/>
              <w:rPr>
                <w:rFonts w:hint="default"/>
                <w:color w:val="auto"/>
                <w:highlight w:val="none"/>
              </w:rPr>
            </w:pPr>
            <w:r>
              <w:rPr>
                <w:rFonts w:hint="eastAsia"/>
                <w:color w:val="auto"/>
                <w:highlight w:val="none"/>
              </w:rPr>
              <w:t>（要介護</w:t>
            </w:r>
            <w:r>
              <w:rPr>
                <w:rFonts w:hint="eastAsia"/>
                <w:color w:val="auto"/>
                <w:highlight w:val="none"/>
              </w:rPr>
              <w:t>1</w:t>
            </w:r>
            <w:r>
              <w:rPr>
                <w:rFonts w:hint="eastAsia"/>
                <w:color w:val="auto"/>
                <w:highlight w:val="none"/>
              </w:rPr>
              <w:t>～</w:t>
            </w:r>
            <w:r>
              <w:rPr>
                <w:rFonts w:hint="eastAsia"/>
                <w:color w:val="auto"/>
                <w:highlight w:val="none"/>
              </w:rPr>
              <w:t>5</w:t>
            </w:r>
            <w:r>
              <w:rPr>
                <w:rFonts w:hint="eastAsia"/>
                <w:color w:val="auto"/>
                <w:highlight w:val="none"/>
              </w:rPr>
              <w:t>の認定を受けている市民を除く）</w:t>
            </w:r>
          </w:p>
          <w:p>
            <w:pPr>
              <w:pStyle w:val="0"/>
              <w:spacing w:line="340" w:lineRule="exact"/>
              <w:rPr>
                <w:rFonts w:hint="default"/>
                <w:color w:val="auto"/>
                <w:highlight w:val="none"/>
              </w:rPr>
            </w:pPr>
            <w:r>
              <w:rPr>
                <w:rFonts w:hint="eastAsia"/>
                <w:color w:val="auto"/>
                <w:highlight w:val="none"/>
              </w:rPr>
              <w:t>8,988</w:t>
            </w:r>
            <w:r>
              <w:rPr>
                <w:rFonts w:hint="eastAsia"/>
                <w:color w:val="auto"/>
                <w:highlight w:val="none"/>
              </w:rPr>
              <w:t>人</w:t>
            </w:r>
          </w:p>
        </w:tc>
      </w:tr>
      <w:tr>
        <w:trPr>
          <w:trHeight w:val="340" w:hRule="atLeast"/>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調査方法</w:t>
            </w:r>
          </w:p>
        </w:tc>
        <w:tc>
          <w:tcPr>
            <w:tcW w:w="5976" w:type="dxa"/>
            <w:vAlign w:val="center"/>
          </w:tcPr>
          <w:p>
            <w:pPr>
              <w:pStyle w:val="0"/>
              <w:spacing w:line="340" w:lineRule="exact"/>
              <w:rPr>
                <w:rFonts w:hint="default"/>
                <w:color w:val="auto"/>
                <w:highlight w:val="none"/>
              </w:rPr>
            </w:pPr>
            <w:r>
              <w:rPr>
                <w:rFonts w:hint="eastAsia"/>
                <w:color w:val="auto"/>
                <w:highlight w:val="none"/>
              </w:rPr>
              <w:t>郵送法</w:t>
            </w:r>
          </w:p>
        </w:tc>
      </w:tr>
      <w:tr>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調査期間</w:t>
            </w:r>
          </w:p>
        </w:tc>
        <w:tc>
          <w:tcPr>
            <w:tcW w:w="5976" w:type="dxa"/>
            <w:vAlign w:val="center"/>
          </w:tcPr>
          <w:p>
            <w:pPr>
              <w:pStyle w:val="0"/>
              <w:spacing w:line="340" w:lineRule="exact"/>
              <w:rPr>
                <w:rFonts w:hint="default"/>
                <w:color w:val="auto"/>
                <w:highlight w:val="none"/>
              </w:rPr>
            </w:pPr>
            <w:r>
              <w:rPr>
                <w:rFonts w:hint="eastAsia"/>
                <w:color w:val="auto"/>
                <w:highlight w:val="none"/>
              </w:rPr>
              <w:t>令和</w:t>
            </w:r>
            <w:r>
              <w:rPr>
                <w:rFonts w:hint="eastAsia"/>
                <w:color w:val="auto"/>
                <w:highlight w:val="none"/>
              </w:rPr>
              <w:t>5</w:t>
            </w:r>
            <w:r>
              <w:rPr>
                <w:rFonts w:hint="eastAsia"/>
                <w:color w:val="auto"/>
                <w:highlight w:val="none"/>
              </w:rPr>
              <w:t>（</w:t>
            </w:r>
            <w:r>
              <w:rPr>
                <w:rFonts w:hint="eastAsia"/>
                <w:color w:val="auto"/>
                <w:highlight w:val="none"/>
              </w:rPr>
              <w:t>2023</w:t>
            </w:r>
            <w:r>
              <w:rPr>
                <w:rFonts w:hint="eastAsia"/>
                <w:color w:val="auto"/>
                <w:highlight w:val="none"/>
              </w:rPr>
              <w:t>）年</w:t>
            </w:r>
            <w:r>
              <w:rPr>
                <w:rFonts w:hint="eastAsia"/>
                <w:color w:val="auto"/>
                <w:highlight w:val="none"/>
              </w:rPr>
              <w:t>1</w:t>
            </w:r>
            <w:r>
              <w:rPr>
                <w:rFonts w:hint="eastAsia"/>
                <w:color w:val="auto"/>
                <w:highlight w:val="none"/>
              </w:rPr>
              <w:t>月</w:t>
            </w:r>
            <w:r>
              <w:rPr>
                <w:rFonts w:hint="eastAsia"/>
                <w:color w:val="auto"/>
                <w:highlight w:val="none"/>
              </w:rPr>
              <w:t>12</w:t>
            </w:r>
            <w:r>
              <w:rPr>
                <w:rFonts w:hint="eastAsia"/>
                <w:color w:val="auto"/>
                <w:highlight w:val="none"/>
              </w:rPr>
              <w:t>日～</w:t>
            </w:r>
            <w:r>
              <w:rPr>
                <w:rFonts w:hint="eastAsia"/>
                <w:color w:val="auto"/>
                <w:highlight w:val="none"/>
              </w:rPr>
              <w:t>1</w:t>
            </w:r>
            <w:r>
              <w:rPr>
                <w:rFonts w:hint="eastAsia"/>
                <w:color w:val="auto"/>
                <w:highlight w:val="none"/>
              </w:rPr>
              <w:t>月</w:t>
            </w:r>
            <w:r>
              <w:rPr>
                <w:rFonts w:hint="eastAsia"/>
                <w:color w:val="auto"/>
                <w:highlight w:val="none"/>
              </w:rPr>
              <w:t>31</w:t>
            </w:r>
            <w:r>
              <w:rPr>
                <w:rFonts w:hint="eastAsia"/>
                <w:color w:val="auto"/>
                <w:highlight w:val="none"/>
              </w:rPr>
              <w:t>日</w:t>
            </w:r>
          </w:p>
        </w:tc>
      </w:tr>
      <w:tr>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有効回収数（回収率）</w:t>
            </w:r>
          </w:p>
        </w:tc>
        <w:tc>
          <w:tcPr>
            <w:tcW w:w="5976" w:type="dxa"/>
            <w:vAlign w:val="center"/>
          </w:tcPr>
          <w:p>
            <w:pPr>
              <w:pStyle w:val="0"/>
              <w:spacing w:line="340" w:lineRule="exact"/>
              <w:rPr>
                <w:rFonts w:hint="default"/>
                <w:color w:val="auto"/>
                <w:highlight w:val="none"/>
              </w:rPr>
            </w:pPr>
            <w:r>
              <w:rPr>
                <w:rFonts w:hint="eastAsia"/>
                <w:color w:val="auto"/>
                <w:highlight w:val="none"/>
              </w:rPr>
              <w:t>5,760</w:t>
            </w:r>
            <w:r>
              <w:rPr>
                <w:rFonts w:hint="eastAsia"/>
                <w:color w:val="auto"/>
                <w:highlight w:val="none"/>
              </w:rPr>
              <w:t>票（</w:t>
            </w:r>
            <w:r>
              <w:rPr>
                <w:rFonts w:hint="eastAsia"/>
                <w:color w:val="auto"/>
                <w:highlight w:val="none"/>
              </w:rPr>
              <w:t>64.1</w:t>
            </w:r>
            <w:r>
              <w:rPr>
                <w:rFonts w:hint="eastAsia"/>
                <w:color w:val="auto"/>
                <w:highlight w:val="none"/>
              </w:rPr>
              <w:t>％）</w:t>
            </w:r>
          </w:p>
        </w:tc>
      </w:tr>
    </w:tbl>
    <w:p>
      <w:pPr>
        <w:pStyle w:val="30"/>
        <w:spacing w:before="185" w:beforeLines="50" w:beforeAutospacing="0" w:after="76" w:afterLines="0" w:afterAutospacing="0"/>
        <w:rPr>
          <w:rFonts w:hint="default"/>
          <w:color w:val="auto"/>
          <w:highlight w:val="none"/>
        </w:rPr>
      </w:pPr>
      <w:r>
        <w:rPr>
          <w:rFonts w:hint="eastAsia"/>
          <w:color w:val="auto"/>
          <w:highlight w:val="none"/>
        </w:rPr>
        <w:t>イ　在宅介護実態調査</w:t>
      </w:r>
    </w:p>
    <w:tbl>
      <w:tblPr>
        <w:tblStyle w:val="81"/>
        <w:tblW w:w="8499" w:type="dxa"/>
        <w:tblInd w:w="562" w:type="dxa"/>
        <w:tblLayout w:type="fixed"/>
        <w:tblLook w:firstRow="1" w:lastRow="0" w:firstColumn="1" w:lastColumn="0" w:noHBand="0" w:noVBand="1" w:val="04A0"/>
      </w:tblPr>
      <w:tblGrid>
        <w:gridCol w:w="2523"/>
        <w:gridCol w:w="5976"/>
      </w:tblGrid>
      <w:tr>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目的</w:t>
            </w:r>
          </w:p>
        </w:tc>
        <w:tc>
          <w:tcPr>
            <w:tcW w:w="5976" w:type="dxa"/>
            <w:vAlign w:val="center"/>
          </w:tcPr>
          <w:p>
            <w:pPr>
              <w:pStyle w:val="0"/>
              <w:spacing w:line="300" w:lineRule="exact"/>
              <w:rPr>
                <w:rFonts w:hint="default"/>
                <w:color w:val="auto"/>
                <w:highlight w:val="none"/>
              </w:rPr>
            </w:pPr>
            <w:r>
              <w:rPr>
                <w:rFonts w:hint="eastAsia"/>
                <w:color w:val="auto"/>
                <w:highlight w:val="none"/>
              </w:rPr>
              <w:t>在宅での介護の状況や家族等介護者の就労継続の状況を把握する。</w:t>
            </w:r>
          </w:p>
        </w:tc>
      </w:tr>
      <w:tr>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調査対象</w:t>
            </w:r>
          </w:p>
        </w:tc>
        <w:tc>
          <w:tcPr>
            <w:tcW w:w="5976" w:type="dxa"/>
            <w:vAlign w:val="center"/>
          </w:tcPr>
          <w:p>
            <w:pPr>
              <w:pStyle w:val="0"/>
              <w:spacing w:line="300" w:lineRule="exact"/>
              <w:rPr>
                <w:rFonts w:hint="default"/>
                <w:color w:val="auto"/>
                <w:highlight w:val="none"/>
              </w:rPr>
            </w:pPr>
            <w:r>
              <w:rPr>
                <w:rFonts w:hint="eastAsia"/>
                <w:color w:val="auto"/>
                <w:highlight w:val="none"/>
              </w:rPr>
              <w:t>在宅で生活している要支援・要介護者のうち「要支援・要介護認定の更新申請・区分変更申請」を行い、対象期間中に認定調査を受けた人</w:t>
            </w:r>
          </w:p>
        </w:tc>
      </w:tr>
      <w:tr>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調査方法</w:t>
            </w:r>
          </w:p>
        </w:tc>
        <w:tc>
          <w:tcPr>
            <w:tcW w:w="5976" w:type="dxa"/>
            <w:vAlign w:val="center"/>
          </w:tcPr>
          <w:p>
            <w:pPr>
              <w:pStyle w:val="0"/>
              <w:spacing w:line="340" w:lineRule="exact"/>
              <w:rPr>
                <w:rFonts w:hint="default"/>
                <w:color w:val="auto"/>
                <w:highlight w:val="none"/>
              </w:rPr>
            </w:pPr>
            <w:r>
              <w:rPr>
                <w:rFonts w:hint="eastAsia"/>
                <w:color w:val="auto"/>
                <w:highlight w:val="none"/>
              </w:rPr>
              <w:t>調査員による聞き取り</w:t>
            </w:r>
          </w:p>
        </w:tc>
      </w:tr>
      <w:tr>
        <w:trPr>
          <w:trHeight w:val="35" w:hRule="atLeast"/>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調査期間</w:t>
            </w:r>
          </w:p>
        </w:tc>
        <w:tc>
          <w:tcPr>
            <w:tcW w:w="5976" w:type="dxa"/>
            <w:vAlign w:val="center"/>
          </w:tcPr>
          <w:p>
            <w:pPr>
              <w:pStyle w:val="0"/>
              <w:spacing w:line="340" w:lineRule="exact"/>
              <w:rPr>
                <w:rFonts w:hint="default"/>
                <w:color w:val="auto"/>
                <w:highlight w:val="none"/>
              </w:rPr>
            </w:pPr>
            <w:r>
              <w:rPr>
                <w:rFonts w:hint="eastAsia"/>
                <w:color w:val="auto"/>
                <w:highlight w:val="none"/>
              </w:rPr>
              <w:t>令和</w:t>
            </w:r>
            <w:r>
              <w:rPr>
                <w:rFonts w:hint="eastAsia"/>
                <w:color w:val="auto"/>
                <w:highlight w:val="none"/>
              </w:rPr>
              <w:t>4</w:t>
            </w:r>
            <w:r>
              <w:rPr>
                <w:rFonts w:hint="eastAsia"/>
                <w:color w:val="auto"/>
                <w:highlight w:val="none"/>
              </w:rPr>
              <w:t>（</w:t>
            </w:r>
            <w:r>
              <w:rPr>
                <w:rFonts w:hint="eastAsia"/>
                <w:color w:val="auto"/>
                <w:highlight w:val="none"/>
              </w:rPr>
              <w:t>2022</w:t>
            </w:r>
            <w:r>
              <w:rPr>
                <w:rFonts w:hint="eastAsia"/>
                <w:color w:val="auto"/>
                <w:highlight w:val="none"/>
              </w:rPr>
              <w:t>）年</w:t>
            </w:r>
            <w:r>
              <w:rPr>
                <w:rFonts w:hint="eastAsia"/>
                <w:color w:val="auto"/>
                <w:highlight w:val="none"/>
              </w:rPr>
              <w:t>8</w:t>
            </w:r>
            <w:r>
              <w:rPr>
                <w:rFonts w:hint="eastAsia"/>
                <w:color w:val="auto"/>
                <w:highlight w:val="none"/>
              </w:rPr>
              <w:t>月～令和</w:t>
            </w:r>
            <w:r>
              <w:rPr>
                <w:rFonts w:hint="eastAsia"/>
                <w:color w:val="auto"/>
                <w:highlight w:val="none"/>
              </w:rPr>
              <w:t>5</w:t>
            </w:r>
            <w:r>
              <w:rPr>
                <w:rFonts w:hint="eastAsia"/>
                <w:color w:val="auto"/>
                <w:highlight w:val="none"/>
              </w:rPr>
              <w:t>（</w:t>
            </w:r>
            <w:r>
              <w:rPr>
                <w:rFonts w:hint="eastAsia"/>
                <w:color w:val="auto"/>
                <w:highlight w:val="none"/>
              </w:rPr>
              <w:t>2023</w:t>
            </w:r>
            <w:r>
              <w:rPr>
                <w:rFonts w:hint="eastAsia"/>
                <w:color w:val="auto"/>
                <w:highlight w:val="none"/>
              </w:rPr>
              <w:t>）年</w:t>
            </w:r>
            <w:r>
              <w:rPr>
                <w:rFonts w:hint="eastAsia"/>
                <w:color w:val="auto"/>
                <w:highlight w:val="none"/>
              </w:rPr>
              <w:t>5</w:t>
            </w:r>
            <w:r>
              <w:rPr>
                <w:rFonts w:hint="eastAsia"/>
                <w:color w:val="auto"/>
                <w:highlight w:val="none"/>
              </w:rPr>
              <w:t>月</w:t>
            </w:r>
          </w:p>
        </w:tc>
      </w:tr>
      <w:tr>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有効回収数（回収率）</w:t>
            </w:r>
          </w:p>
        </w:tc>
        <w:tc>
          <w:tcPr>
            <w:tcW w:w="5976" w:type="dxa"/>
            <w:vAlign w:val="center"/>
          </w:tcPr>
          <w:p>
            <w:pPr>
              <w:pStyle w:val="0"/>
              <w:spacing w:line="340" w:lineRule="exact"/>
              <w:rPr>
                <w:rFonts w:hint="default"/>
                <w:color w:val="auto"/>
                <w:highlight w:val="none"/>
              </w:rPr>
            </w:pPr>
            <w:r>
              <w:rPr>
                <w:rFonts w:hint="eastAsia"/>
                <w:color w:val="auto"/>
                <w:highlight w:val="none"/>
              </w:rPr>
              <w:t>596</w:t>
            </w:r>
            <w:r>
              <w:rPr>
                <w:rFonts w:hint="eastAsia"/>
                <w:color w:val="auto"/>
                <w:highlight w:val="none"/>
              </w:rPr>
              <w:t>票</w:t>
            </w:r>
          </w:p>
        </w:tc>
      </w:tr>
    </w:tbl>
    <w:p>
      <w:pPr>
        <w:pStyle w:val="0"/>
        <w:widowControl w:val="1"/>
        <w:jc w:val="left"/>
        <w:rPr>
          <w:rFonts w:hint="default" w:ascii="BIZ UDPゴシック" w:hAnsi="BIZ UDPゴシック" w:eastAsia="BIZ UDPゴシック"/>
          <w:b w:val="1"/>
          <w:color w:val="auto"/>
          <w:sz w:val="24"/>
          <w:highlight w:val="none"/>
        </w:rPr>
      </w:pPr>
    </w:p>
    <w:p>
      <w:pPr>
        <w:pStyle w:val="30"/>
        <w:spacing w:after="76" w:afterLines="0" w:afterAutospacing="0"/>
        <w:rPr>
          <w:rFonts w:hint="default"/>
          <w:color w:val="auto"/>
          <w:highlight w:val="none"/>
        </w:rPr>
      </w:pPr>
      <w:r>
        <w:rPr>
          <w:rFonts w:hint="eastAsia"/>
          <w:color w:val="auto"/>
          <w:highlight w:val="none"/>
        </w:rPr>
        <w:t>ウ　在宅生活実態調査</w:t>
      </w:r>
    </w:p>
    <w:tbl>
      <w:tblPr>
        <w:tblStyle w:val="81"/>
        <w:tblW w:w="8499" w:type="dxa"/>
        <w:tblInd w:w="562" w:type="dxa"/>
        <w:tblLayout w:type="fixed"/>
        <w:tblLook w:firstRow="1" w:lastRow="0" w:firstColumn="1" w:lastColumn="0" w:noHBand="0" w:noVBand="1" w:val="04A0"/>
      </w:tblPr>
      <w:tblGrid>
        <w:gridCol w:w="2523"/>
        <w:gridCol w:w="5976"/>
      </w:tblGrid>
      <w:tr>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目的</w:t>
            </w:r>
          </w:p>
        </w:tc>
        <w:tc>
          <w:tcPr>
            <w:tcW w:w="5976" w:type="dxa"/>
            <w:vAlign w:val="center"/>
          </w:tcPr>
          <w:p>
            <w:pPr>
              <w:pStyle w:val="0"/>
              <w:spacing w:line="300" w:lineRule="exact"/>
              <w:rPr>
                <w:rFonts w:hint="default"/>
                <w:color w:val="auto"/>
                <w:highlight w:val="none"/>
              </w:rPr>
            </w:pPr>
            <w:r>
              <w:rPr>
                <w:rFonts w:hint="eastAsia"/>
                <w:color w:val="auto"/>
                <w:highlight w:val="none"/>
              </w:rPr>
              <w:t>在宅で生活し、現在のサービス利用では生活の維持が困難となっている利用者の実態を把握する。</w:t>
            </w:r>
          </w:p>
        </w:tc>
      </w:tr>
      <w:tr>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調査対象</w:t>
            </w:r>
          </w:p>
        </w:tc>
        <w:tc>
          <w:tcPr>
            <w:tcW w:w="5976" w:type="dxa"/>
            <w:vAlign w:val="center"/>
          </w:tcPr>
          <w:p>
            <w:pPr>
              <w:pStyle w:val="0"/>
              <w:spacing w:line="300" w:lineRule="exact"/>
              <w:rPr>
                <w:rFonts w:hint="default"/>
                <w:color w:val="auto"/>
                <w:highlight w:val="none"/>
              </w:rPr>
            </w:pPr>
            <w:r>
              <w:rPr>
                <w:rFonts w:hint="eastAsia"/>
                <w:color w:val="auto"/>
                <w:highlight w:val="none"/>
              </w:rPr>
              <w:t>廿日市市内の居宅介護支援事業所・小規模多機能型居宅介護事業所　</w:t>
            </w:r>
            <w:r>
              <w:rPr>
                <w:rFonts w:hint="eastAsia"/>
                <w:color w:val="auto"/>
                <w:highlight w:val="none"/>
              </w:rPr>
              <w:t>40</w:t>
            </w:r>
            <w:r>
              <w:rPr>
                <w:rFonts w:hint="eastAsia"/>
                <w:color w:val="auto"/>
                <w:highlight w:val="none"/>
              </w:rPr>
              <w:t>事業所</w:t>
            </w:r>
          </w:p>
        </w:tc>
      </w:tr>
      <w:tr>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調査方法</w:t>
            </w:r>
          </w:p>
        </w:tc>
        <w:tc>
          <w:tcPr>
            <w:tcW w:w="5976" w:type="dxa"/>
            <w:vAlign w:val="center"/>
          </w:tcPr>
          <w:p>
            <w:pPr>
              <w:pStyle w:val="0"/>
              <w:spacing w:line="340" w:lineRule="exact"/>
              <w:rPr>
                <w:rFonts w:hint="default"/>
                <w:color w:val="auto"/>
                <w:highlight w:val="none"/>
              </w:rPr>
            </w:pPr>
            <w:r>
              <w:rPr>
                <w:rFonts w:hint="eastAsia"/>
                <w:color w:val="auto"/>
                <w:highlight w:val="none"/>
              </w:rPr>
              <w:t>郵送配付・回収</w:t>
            </w:r>
          </w:p>
        </w:tc>
      </w:tr>
      <w:tr>
        <w:trPr/>
        <w:tc>
          <w:tcPr>
            <w:tcW w:w="2523"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調査期間</w:t>
            </w:r>
          </w:p>
        </w:tc>
        <w:tc>
          <w:tcPr>
            <w:tcW w:w="5976"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340" w:lineRule="exact"/>
              <w:rPr>
                <w:rFonts w:hint="default"/>
                <w:color w:val="auto"/>
                <w:highlight w:val="none"/>
              </w:rPr>
            </w:pPr>
            <w:r>
              <w:rPr>
                <w:rFonts w:hint="eastAsia"/>
                <w:color w:val="auto"/>
                <w:highlight w:val="none"/>
              </w:rPr>
              <w:t>令和</w:t>
            </w:r>
            <w:r>
              <w:rPr>
                <w:rFonts w:hint="eastAsia"/>
                <w:color w:val="auto"/>
                <w:highlight w:val="none"/>
              </w:rPr>
              <w:t>5</w:t>
            </w:r>
            <w:r>
              <w:rPr>
                <w:rFonts w:hint="eastAsia"/>
                <w:color w:val="auto"/>
                <w:highlight w:val="none"/>
              </w:rPr>
              <w:t>（</w:t>
            </w:r>
            <w:r>
              <w:rPr>
                <w:rFonts w:hint="eastAsia"/>
                <w:color w:val="auto"/>
                <w:highlight w:val="none"/>
              </w:rPr>
              <w:t>2023</w:t>
            </w:r>
            <w:r>
              <w:rPr>
                <w:rFonts w:hint="eastAsia"/>
                <w:color w:val="auto"/>
                <w:highlight w:val="none"/>
              </w:rPr>
              <w:t>）年</w:t>
            </w:r>
            <w:r>
              <w:rPr>
                <w:rFonts w:hint="eastAsia"/>
                <w:color w:val="auto"/>
                <w:highlight w:val="none"/>
              </w:rPr>
              <w:t>2</w:t>
            </w:r>
            <w:r>
              <w:rPr>
                <w:rFonts w:hint="eastAsia"/>
                <w:color w:val="auto"/>
                <w:highlight w:val="none"/>
              </w:rPr>
              <w:t>月</w:t>
            </w:r>
            <w:r>
              <w:rPr>
                <w:rFonts w:hint="eastAsia"/>
                <w:color w:val="auto"/>
                <w:highlight w:val="none"/>
              </w:rPr>
              <w:t>28</w:t>
            </w:r>
            <w:r>
              <w:rPr>
                <w:rFonts w:hint="eastAsia"/>
                <w:color w:val="auto"/>
                <w:highlight w:val="none"/>
              </w:rPr>
              <w:t>日～</w:t>
            </w:r>
            <w:r>
              <w:rPr>
                <w:rFonts w:hint="eastAsia"/>
                <w:color w:val="auto"/>
                <w:highlight w:val="none"/>
              </w:rPr>
              <w:t>6</w:t>
            </w:r>
            <w:r>
              <w:rPr>
                <w:rFonts w:hint="eastAsia"/>
                <w:color w:val="auto"/>
                <w:highlight w:val="none"/>
              </w:rPr>
              <w:t>月</w:t>
            </w:r>
            <w:r>
              <w:rPr>
                <w:rFonts w:hint="eastAsia"/>
                <w:color w:val="auto"/>
                <w:highlight w:val="none"/>
              </w:rPr>
              <w:t>16</w:t>
            </w:r>
            <w:r>
              <w:rPr>
                <w:rFonts w:hint="eastAsia"/>
                <w:color w:val="auto"/>
                <w:highlight w:val="none"/>
              </w:rPr>
              <w:t>日</w:t>
            </w:r>
          </w:p>
        </w:tc>
      </w:tr>
      <w:tr>
        <w:trPr/>
        <w:tc>
          <w:tcPr>
            <w:tcW w:w="2523"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有効回収数（回収率）</w:t>
            </w:r>
          </w:p>
        </w:tc>
        <w:tc>
          <w:tcPr>
            <w:tcW w:w="5976"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340" w:lineRule="exact"/>
              <w:rPr>
                <w:rFonts w:hint="default"/>
                <w:color w:val="auto"/>
                <w:highlight w:val="none"/>
              </w:rPr>
            </w:pPr>
            <w:r>
              <w:rPr>
                <w:rFonts w:hint="eastAsia"/>
                <w:color w:val="auto"/>
                <w:highlight w:val="none"/>
              </w:rPr>
              <w:t>28</w:t>
            </w:r>
            <w:r>
              <w:rPr>
                <w:rFonts w:hint="eastAsia"/>
                <w:color w:val="auto"/>
                <w:highlight w:val="none"/>
              </w:rPr>
              <w:t>票（</w:t>
            </w:r>
            <w:r>
              <w:rPr>
                <w:rFonts w:hint="eastAsia"/>
                <w:color w:val="auto"/>
                <w:highlight w:val="none"/>
              </w:rPr>
              <w:t>70.0</w:t>
            </w:r>
            <w:r>
              <w:rPr>
                <w:rFonts w:hint="eastAsia"/>
                <w:color w:val="auto"/>
                <w:highlight w:val="none"/>
              </w:rPr>
              <w:t>％）</w:t>
            </w:r>
          </w:p>
        </w:tc>
      </w:tr>
    </w:tbl>
    <w:p>
      <w:pPr>
        <w:pStyle w:val="30"/>
        <w:spacing w:before="185" w:beforeLines="50" w:beforeAutospacing="0" w:after="76" w:afterLines="0" w:afterAutospacing="0"/>
        <w:rPr>
          <w:rFonts w:hint="default"/>
          <w:color w:val="auto"/>
          <w:highlight w:val="none"/>
        </w:rPr>
      </w:pPr>
      <w:r>
        <w:rPr>
          <w:rFonts w:hint="eastAsia"/>
          <w:color w:val="auto"/>
          <w:highlight w:val="none"/>
        </w:rPr>
        <w:t>エ　居所変更実態調査</w:t>
      </w:r>
    </w:p>
    <w:tbl>
      <w:tblPr>
        <w:tblStyle w:val="81"/>
        <w:tblW w:w="8499" w:type="dxa"/>
        <w:tblInd w:w="562" w:type="dxa"/>
        <w:tblLayout w:type="fixed"/>
        <w:tblLook w:firstRow="1" w:lastRow="0" w:firstColumn="1" w:lastColumn="0" w:noHBand="0" w:noVBand="1" w:val="04A0"/>
      </w:tblPr>
      <w:tblGrid>
        <w:gridCol w:w="2523"/>
        <w:gridCol w:w="5976"/>
      </w:tblGrid>
      <w:tr>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目的</w:t>
            </w:r>
          </w:p>
        </w:tc>
        <w:tc>
          <w:tcPr>
            <w:tcW w:w="5976" w:type="dxa"/>
            <w:vAlign w:val="center"/>
          </w:tcPr>
          <w:p>
            <w:pPr>
              <w:pStyle w:val="0"/>
              <w:spacing w:line="300" w:lineRule="exact"/>
              <w:rPr>
                <w:rFonts w:hint="default"/>
                <w:color w:val="auto"/>
                <w:highlight w:val="none"/>
              </w:rPr>
            </w:pPr>
            <w:r>
              <w:rPr>
                <w:rFonts w:hint="eastAsia"/>
                <w:color w:val="auto"/>
                <w:highlight w:val="none"/>
              </w:rPr>
              <w:t>新規入居・退去の流れやその理由などを把握し、住み慣れた住まい等で暮らし続けるために必要な機能等を検討する。</w:t>
            </w:r>
          </w:p>
        </w:tc>
      </w:tr>
      <w:tr>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調査対象</w:t>
            </w:r>
          </w:p>
        </w:tc>
        <w:tc>
          <w:tcPr>
            <w:tcW w:w="5976" w:type="dxa"/>
            <w:vAlign w:val="center"/>
          </w:tcPr>
          <w:p>
            <w:pPr>
              <w:pStyle w:val="0"/>
              <w:spacing w:line="300" w:lineRule="exact"/>
              <w:rPr>
                <w:rFonts w:hint="default"/>
                <w:color w:val="auto"/>
                <w:highlight w:val="none"/>
              </w:rPr>
            </w:pPr>
            <w:r>
              <w:rPr>
                <w:rFonts w:hint="eastAsia"/>
                <w:color w:val="auto"/>
                <w:highlight w:val="none"/>
              </w:rPr>
              <w:t>廿日市市内の居住系介護サービス提供事業所・有料老人ホーム・サービス付き高齢者住宅</w:t>
            </w:r>
            <w:r>
              <w:rPr>
                <w:rFonts w:hint="eastAsia"/>
                <w:color w:val="auto"/>
                <w:highlight w:val="none"/>
              </w:rPr>
              <w:t>40</w:t>
            </w:r>
            <w:r>
              <w:rPr>
                <w:rFonts w:hint="eastAsia"/>
                <w:color w:val="auto"/>
                <w:highlight w:val="none"/>
              </w:rPr>
              <w:t>事業所</w:t>
            </w:r>
          </w:p>
        </w:tc>
      </w:tr>
      <w:tr>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調査方法</w:t>
            </w:r>
          </w:p>
        </w:tc>
        <w:tc>
          <w:tcPr>
            <w:tcW w:w="5976" w:type="dxa"/>
            <w:vAlign w:val="center"/>
          </w:tcPr>
          <w:p>
            <w:pPr>
              <w:pStyle w:val="0"/>
              <w:spacing w:line="340" w:lineRule="exact"/>
              <w:rPr>
                <w:rFonts w:hint="default"/>
                <w:color w:val="auto"/>
                <w:highlight w:val="none"/>
              </w:rPr>
            </w:pPr>
            <w:r>
              <w:rPr>
                <w:rFonts w:hint="eastAsia"/>
                <w:color w:val="auto"/>
                <w:highlight w:val="none"/>
              </w:rPr>
              <w:t>メールによる送付・回収、郵送配付・回収</w:t>
            </w:r>
          </w:p>
        </w:tc>
      </w:tr>
      <w:tr>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調査期間</w:t>
            </w:r>
          </w:p>
        </w:tc>
        <w:tc>
          <w:tcPr>
            <w:tcW w:w="5976" w:type="dxa"/>
            <w:vAlign w:val="center"/>
          </w:tcPr>
          <w:p>
            <w:pPr>
              <w:pStyle w:val="0"/>
              <w:spacing w:line="340" w:lineRule="exact"/>
              <w:rPr>
                <w:rFonts w:hint="default"/>
                <w:color w:val="auto"/>
                <w:highlight w:val="none"/>
              </w:rPr>
            </w:pPr>
            <w:r>
              <w:rPr>
                <w:rFonts w:hint="eastAsia"/>
                <w:color w:val="auto"/>
                <w:highlight w:val="none"/>
              </w:rPr>
              <w:t>令和</w:t>
            </w:r>
            <w:r>
              <w:rPr>
                <w:rFonts w:hint="eastAsia"/>
                <w:color w:val="auto"/>
                <w:highlight w:val="none"/>
              </w:rPr>
              <w:t>5</w:t>
            </w:r>
            <w:r>
              <w:rPr>
                <w:rFonts w:hint="eastAsia"/>
                <w:color w:val="auto"/>
                <w:highlight w:val="none"/>
              </w:rPr>
              <w:t>（</w:t>
            </w:r>
            <w:r>
              <w:rPr>
                <w:rFonts w:hint="eastAsia"/>
                <w:color w:val="auto"/>
                <w:highlight w:val="none"/>
              </w:rPr>
              <w:t>2023</w:t>
            </w:r>
            <w:r>
              <w:rPr>
                <w:rFonts w:hint="eastAsia"/>
                <w:color w:val="auto"/>
                <w:highlight w:val="none"/>
              </w:rPr>
              <w:t>）年</w:t>
            </w:r>
            <w:r>
              <w:rPr>
                <w:rFonts w:hint="eastAsia"/>
                <w:color w:val="auto"/>
                <w:highlight w:val="none"/>
              </w:rPr>
              <w:t>2</w:t>
            </w:r>
            <w:r>
              <w:rPr>
                <w:rFonts w:hint="eastAsia"/>
                <w:color w:val="auto"/>
                <w:highlight w:val="none"/>
              </w:rPr>
              <w:t>月</w:t>
            </w:r>
            <w:r>
              <w:rPr>
                <w:rFonts w:hint="eastAsia"/>
                <w:color w:val="auto"/>
                <w:highlight w:val="none"/>
              </w:rPr>
              <w:t>28</w:t>
            </w:r>
            <w:r>
              <w:rPr>
                <w:rFonts w:hint="eastAsia"/>
                <w:color w:val="auto"/>
                <w:highlight w:val="none"/>
              </w:rPr>
              <w:t>日～</w:t>
            </w:r>
            <w:r>
              <w:rPr>
                <w:rFonts w:hint="eastAsia"/>
                <w:color w:val="auto"/>
                <w:highlight w:val="none"/>
              </w:rPr>
              <w:t>6</w:t>
            </w:r>
            <w:r>
              <w:rPr>
                <w:rFonts w:hint="eastAsia"/>
                <w:color w:val="auto"/>
                <w:highlight w:val="none"/>
              </w:rPr>
              <w:t>月</w:t>
            </w:r>
            <w:r>
              <w:rPr>
                <w:rFonts w:hint="eastAsia"/>
                <w:color w:val="auto"/>
                <w:highlight w:val="none"/>
              </w:rPr>
              <w:t>16</w:t>
            </w:r>
            <w:r>
              <w:rPr>
                <w:rFonts w:hint="eastAsia"/>
                <w:color w:val="auto"/>
                <w:highlight w:val="none"/>
              </w:rPr>
              <w:t>日</w:t>
            </w:r>
          </w:p>
        </w:tc>
      </w:tr>
      <w:tr>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有効回収数（回収率）</w:t>
            </w:r>
          </w:p>
        </w:tc>
        <w:tc>
          <w:tcPr>
            <w:tcW w:w="5976" w:type="dxa"/>
            <w:vAlign w:val="center"/>
          </w:tcPr>
          <w:p>
            <w:pPr>
              <w:pStyle w:val="0"/>
              <w:spacing w:line="340" w:lineRule="exact"/>
              <w:rPr>
                <w:rFonts w:hint="default"/>
                <w:color w:val="auto"/>
                <w:highlight w:val="none"/>
              </w:rPr>
            </w:pPr>
            <w:r>
              <w:rPr>
                <w:rFonts w:hint="eastAsia"/>
                <w:color w:val="auto"/>
                <w:highlight w:val="none"/>
              </w:rPr>
              <w:t>33</w:t>
            </w:r>
            <w:r>
              <w:rPr>
                <w:rFonts w:hint="eastAsia"/>
                <w:color w:val="auto"/>
                <w:highlight w:val="none"/>
              </w:rPr>
              <w:t>票（</w:t>
            </w:r>
            <w:r>
              <w:rPr>
                <w:rFonts w:hint="eastAsia"/>
                <w:color w:val="auto"/>
                <w:highlight w:val="none"/>
              </w:rPr>
              <w:t>82.5</w:t>
            </w:r>
            <w:r>
              <w:rPr>
                <w:rFonts w:hint="eastAsia"/>
                <w:color w:val="auto"/>
                <w:highlight w:val="none"/>
              </w:rPr>
              <w:t>％）</w:t>
            </w:r>
          </w:p>
        </w:tc>
      </w:tr>
    </w:tbl>
    <w:p>
      <w:pPr>
        <w:pStyle w:val="30"/>
        <w:spacing w:before="185" w:beforeLines="50" w:beforeAutospacing="0" w:after="76" w:afterLines="0" w:afterAutospacing="0"/>
        <w:rPr>
          <w:rFonts w:hint="default"/>
          <w:color w:val="auto"/>
          <w:highlight w:val="none"/>
        </w:rPr>
      </w:pPr>
      <w:r>
        <w:rPr>
          <w:rFonts w:hint="eastAsia"/>
          <w:color w:val="auto"/>
          <w:highlight w:val="none"/>
        </w:rPr>
        <w:t>オ　サービス提供状況調査</w:t>
      </w:r>
    </w:p>
    <w:tbl>
      <w:tblPr>
        <w:tblStyle w:val="81"/>
        <w:tblW w:w="8499" w:type="dxa"/>
        <w:tblInd w:w="562" w:type="dxa"/>
        <w:tblLayout w:type="fixed"/>
        <w:tblLook w:firstRow="1" w:lastRow="0" w:firstColumn="1" w:lastColumn="0" w:noHBand="0" w:noVBand="1" w:val="04A0"/>
      </w:tblPr>
      <w:tblGrid>
        <w:gridCol w:w="2523"/>
        <w:gridCol w:w="5976"/>
      </w:tblGrid>
      <w:tr>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目的</w:t>
            </w:r>
          </w:p>
        </w:tc>
        <w:tc>
          <w:tcPr>
            <w:tcW w:w="5976" w:type="dxa"/>
            <w:vAlign w:val="center"/>
          </w:tcPr>
          <w:p>
            <w:pPr>
              <w:pStyle w:val="0"/>
              <w:spacing w:line="300" w:lineRule="exact"/>
              <w:rPr>
                <w:rFonts w:hint="default"/>
                <w:color w:val="auto"/>
                <w:highlight w:val="none"/>
              </w:rPr>
            </w:pPr>
            <w:r>
              <w:rPr>
                <w:rFonts w:hint="eastAsia"/>
                <w:color w:val="auto"/>
                <w:highlight w:val="none"/>
              </w:rPr>
              <w:t>サービスの提供・利用状況や課題を把握する。</w:t>
            </w:r>
          </w:p>
        </w:tc>
      </w:tr>
      <w:tr>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調査対象</w:t>
            </w:r>
          </w:p>
        </w:tc>
        <w:tc>
          <w:tcPr>
            <w:tcW w:w="5976" w:type="dxa"/>
            <w:vAlign w:val="center"/>
          </w:tcPr>
          <w:p>
            <w:pPr>
              <w:pStyle w:val="0"/>
              <w:spacing w:line="300" w:lineRule="exact"/>
              <w:rPr>
                <w:rFonts w:hint="default"/>
                <w:color w:val="auto"/>
                <w:highlight w:val="none"/>
              </w:rPr>
            </w:pPr>
            <w:r>
              <w:rPr>
                <w:rFonts w:hint="eastAsia"/>
                <w:color w:val="auto"/>
                <w:highlight w:val="none"/>
              </w:rPr>
              <w:t>廿日市市内の介護保険事業所等　</w:t>
            </w:r>
            <w:r>
              <w:rPr>
                <w:rFonts w:hint="eastAsia"/>
                <w:color w:val="auto"/>
                <w:highlight w:val="none"/>
              </w:rPr>
              <w:t>275</w:t>
            </w:r>
            <w:r>
              <w:rPr>
                <w:rFonts w:hint="eastAsia"/>
                <w:color w:val="auto"/>
                <w:highlight w:val="none"/>
              </w:rPr>
              <w:t>事業所</w:t>
            </w:r>
          </w:p>
        </w:tc>
      </w:tr>
      <w:tr>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調査方法</w:t>
            </w:r>
          </w:p>
        </w:tc>
        <w:tc>
          <w:tcPr>
            <w:tcW w:w="5976" w:type="dxa"/>
            <w:vAlign w:val="center"/>
          </w:tcPr>
          <w:p>
            <w:pPr>
              <w:pStyle w:val="0"/>
              <w:spacing w:line="340" w:lineRule="exact"/>
              <w:rPr>
                <w:rFonts w:hint="default"/>
                <w:color w:val="auto"/>
                <w:highlight w:val="none"/>
              </w:rPr>
            </w:pPr>
            <w:r>
              <w:rPr>
                <w:rFonts w:hint="eastAsia"/>
                <w:color w:val="auto"/>
                <w:highlight w:val="none"/>
              </w:rPr>
              <w:t>メールによる送付・回収、郵送配付・回収</w:t>
            </w:r>
          </w:p>
        </w:tc>
      </w:tr>
      <w:tr>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調査期間</w:t>
            </w:r>
          </w:p>
        </w:tc>
        <w:tc>
          <w:tcPr>
            <w:tcW w:w="5976" w:type="dxa"/>
            <w:vAlign w:val="center"/>
          </w:tcPr>
          <w:p>
            <w:pPr>
              <w:pStyle w:val="0"/>
              <w:spacing w:line="340" w:lineRule="exact"/>
              <w:rPr>
                <w:rFonts w:hint="default"/>
                <w:color w:val="auto"/>
                <w:highlight w:val="none"/>
              </w:rPr>
            </w:pPr>
            <w:r>
              <w:rPr>
                <w:rFonts w:hint="eastAsia"/>
                <w:color w:val="auto"/>
                <w:highlight w:val="none"/>
              </w:rPr>
              <w:t>令和</w:t>
            </w:r>
            <w:r>
              <w:rPr>
                <w:rFonts w:hint="eastAsia"/>
                <w:color w:val="auto"/>
                <w:highlight w:val="none"/>
              </w:rPr>
              <w:t>5</w:t>
            </w:r>
            <w:r>
              <w:rPr>
                <w:rFonts w:hint="eastAsia"/>
                <w:color w:val="auto"/>
                <w:highlight w:val="none"/>
              </w:rPr>
              <w:t>（</w:t>
            </w:r>
            <w:r>
              <w:rPr>
                <w:rFonts w:hint="eastAsia"/>
                <w:color w:val="auto"/>
                <w:highlight w:val="none"/>
              </w:rPr>
              <w:t>2023</w:t>
            </w:r>
            <w:r>
              <w:rPr>
                <w:rFonts w:hint="eastAsia"/>
                <w:color w:val="auto"/>
                <w:highlight w:val="none"/>
              </w:rPr>
              <w:t>）年</w:t>
            </w:r>
            <w:r>
              <w:rPr>
                <w:rFonts w:hint="eastAsia"/>
                <w:color w:val="auto"/>
                <w:highlight w:val="none"/>
              </w:rPr>
              <w:t>3</w:t>
            </w:r>
            <w:r>
              <w:rPr>
                <w:rFonts w:hint="eastAsia"/>
                <w:color w:val="auto"/>
                <w:highlight w:val="none"/>
              </w:rPr>
              <w:t>月</w:t>
            </w:r>
            <w:r>
              <w:rPr>
                <w:rFonts w:hint="eastAsia"/>
                <w:color w:val="auto"/>
                <w:highlight w:val="none"/>
              </w:rPr>
              <w:t>7</w:t>
            </w:r>
            <w:r>
              <w:rPr>
                <w:rFonts w:hint="eastAsia"/>
                <w:color w:val="auto"/>
                <w:highlight w:val="none"/>
              </w:rPr>
              <w:t>日～</w:t>
            </w:r>
            <w:r>
              <w:rPr>
                <w:rFonts w:hint="eastAsia"/>
                <w:color w:val="auto"/>
                <w:highlight w:val="none"/>
              </w:rPr>
              <w:t>6</w:t>
            </w:r>
            <w:r>
              <w:rPr>
                <w:rFonts w:hint="eastAsia"/>
                <w:color w:val="auto"/>
                <w:highlight w:val="none"/>
              </w:rPr>
              <w:t>月</w:t>
            </w:r>
            <w:r>
              <w:rPr>
                <w:rFonts w:hint="eastAsia"/>
                <w:color w:val="auto"/>
                <w:highlight w:val="none"/>
              </w:rPr>
              <w:t>16</w:t>
            </w:r>
            <w:r>
              <w:rPr>
                <w:rFonts w:hint="eastAsia"/>
                <w:color w:val="auto"/>
                <w:highlight w:val="none"/>
              </w:rPr>
              <w:t>日</w:t>
            </w:r>
          </w:p>
        </w:tc>
      </w:tr>
      <w:tr>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有効回収数（回収率）</w:t>
            </w:r>
          </w:p>
        </w:tc>
        <w:tc>
          <w:tcPr>
            <w:tcW w:w="5976" w:type="dxa"/>
            <w:vAlign w:val="center"/>
          </w:tcPr>
          <w:p>
            <w:pPr>
              <w:pStyle w:val="0"/>
              <w:spacing w:line="340" w:lineRule="exact"/>
              <w:rPr>
                <w:rFonts w:hint="default"/>
                <w:color w:val="auto"/>
                <w:highlight w:val="none"/>
              </w:rPr>
            </w:pPr>
            <w:r>
              <w:rPr>
                <w:rFonts w:hint="eastAsia"/>
                <w:color w:val="auto"/>
                <w:highlight w:val="none"/>
              </w:rPr>
              <w:t>170</w:t>
            </w:r>
            <w:r>
              <w:rPr>
                <w:rFonts w:hint="eastAsia"/>
                <w:color w:val="auto"/>
                <w:highlight w:val="none"/>
              </w:rPr>
              <w:t>票（</w:t>
            </w:r>
            <w:r>
              <w:rPr>
                <w:rFonts w:hint="eastAsia"/>
                <w:color w:val="auto"/>
                <w:highlight w:val="none"/>
              </w:rPr>
              <w:t>61.8</w:t>
            </w:r>
            <w:r>
              <w:rPr>
                <w:rFonts w:hint="eastAsia"/>
                <w:color w:val="auto"/>
                <w:highlight w:val="none"/>
              </w:rPr>
              <w:t>％）</w:t>
            </w:r>
          </w:p>
        </w:tc>
      </w:tr>
    </w:tbl>
    <w:p>
      <w:pPr>
        <w:pStyle w:val="30"/>
        <w:spacing w:before="185" w:beforeLines="50" w:beforeAutospacing="0" w:after="76" w:afterLines="0" w:afterAutospacing="0"/>
        <w:rPr>
          <w:rFonts w:hint="default"/>
          <w:color w:val="auto"/>
          <w:highlight w:val="none"/>
        </w:rPr>
      </w:pPr>
      <w:r>
        <w:rPr>
          <w:rFonts w:hint="eastAsia"/>
          <w:color w:val="auto"/>
          <w:highlight w:val="none"/>
        </w:rPr>
        <w:t>カ　サービス展開意向調査</w:t>
      </w:r>
    </w:p>
    <w:tbl>
      <w:tblPr>
        <w:tblStyle w:val="81"/>
        <w:tblW w:w="8499" w:type="dxa"/>
        <w:tblInd w:w="562" w:type="dxa"/>
        <w:tblLayout w:type="fixed"/>
        <w:tblLook w:firstRow="1" w:lastRow="0" w:firstColumn="1" w:lastColumn="0" w:noHBand="0" w:noVBand="1" w:val="04A0"/>
      </w:tblPr>
      <w:tblGrid>
        <w:gridCol w:w="2523"/>
        <w:gridCol w:w="5976"/>
      </w:tblGrid>
      <w:tr>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目的</w:t>
            </w:r>
          </w:p>
        </w:tc>
        <w:tc>
          <w:tcPr>
            <w:tcW w:w="5976" w:type="dxa"/>
            <w:vAlign w:val="center"/>
          </w:tcPr>
          <w:p>
            <w:pPr>
              <w:pStyle w:val="0"/>
              <w:spacing w:line="300" w:lineRule="exact"/>
              <w:rPr>
                <w:rFonts w:hint="default"/>
                <w:color w:val="auto"/>
                <w:highlight w:val="none"/>
              </w:rPr>
            </w:pPr>
            <w:r>
              <w:rPr>
                <w:rFonts w:hint="eastAsia"/>
                <w:color w:val="auto"/>
                <w:highlight w:val="none"/>
              </w:rPr>
              <w:t>今後のサービス展開に関する課題や意向等を把握する。</w:t>
            </w:r>
          </w:p>
        </w:tc>
      </w:tr>
      <w:tr>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調査対象</w:t>
            </w:r>
          </w:p>
        </w:tc>
        <w:tc>
          <w:tcPr>
            <w:tcW w:w="5976" w:type="dxa"/>
            <w:vAlign w:val="center"/>
          </w:tcPr>
          <w:p>
            <w:pPr>
              <w:pStyle w:val="0"/>
              <w:spacing w:line="300" w:lineRule="exact"/>
              <w:rPr>
                <w:rFonts w:hint="default"/>
                <w:color w:val="auto"/>
                <w:highlight w:val="none"/>
              </w:rPr>
            </w:pPr>
            <w:r>
              <w:rPr>
                <w:rFonts w:hint="eastAsia"/>
                <w:color w:val="auto"/>
                <w:kern w:val="0"/>
                <w:highlight w:val="none"/>
              </w:rPr>
              <w:t>廿日市市内・近隣で介護保険サービス等を提供されている法人及び廿日市市内での介護保険サービス等に参入を希望する法人</w:t>
            </w:r>
          </w:p>
        </w:tc>
      </w:tr>
      <w:tr>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調査方法</w:t>
            </w:r>
          </w:p>
        </w:tc>
        <w:tc>
          <w:tcPr>
            <w:tcW w:w="5976" w:type="dxa"/>
            <w:vAlign w:val="center"/>
          </w:tcPr>
          <w:p>
            <w:pPr>
              <w:pStyle w:val="0"/>
              <w:spacing w:line="340" w:lineRule="exact"/>
              <w:rPr>
                <w:rFonts w:hint="default"/>
                <w:color w:val="auto"/>
                <w:highlight w:val="none"/>
              </w:rPr>
            </w:pPr>
            <w:r>
              <w:rPr>
                <w:rFonts w:hint="eastAsia"/>
                <w:color w:val="auto"/>
                <w:highlight w:val="none"/>
              </w:rPr>
              <w:t>市ＨＰで周知、メールによる送付・回収</w:t>
            </w:r>
          </w:p>
        </w:tc>
      </w:tr>
      <w:tr>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調査期間</w:t>
            </w:r>
          </w:p>
        </w:tc>
        <w:tc>
          <w:tcPr>
            <w:tcW w:w="5976" w:type="dxa"/>
            <w:vAlign w:val="center"/>
          </w:tcPr>
          <w:p>
            <w:pPr>
              <w:pStyle w:val="0"/>
              <w:spacing w:line="340" w:lineRule="exact"/>
              <w:rPr>
                <w:rFonts w:hint="default"/>
                <w:color w:val="auto"/>
                <w:highlight w:val="none"/>
              </w:rPr>
            </w:pPr>
            <w:r>
              <w:rPr>
                <w:rFonts w:hint="eastAsia"/>
                <w:color w:val="auto"/>
                <w:highlight w:val="none"/>
              </w:rPr>
              <w:t>令和</w:t>
            </w:r>
            <w:r>
              <w:rPr>
                <w:rFonts w:hint="eastAsia"/>
                <w:color w:val="auto"/>
                <w:highlight w:val="none"/>
              </w:rPr>
              <w:t>5</w:t>
            </w:r>
            <w:r>
              <w:rPr>
                <w:rFonts w:hint="eastAsia"/>
                <w:color w:val="auto"/>
                <w:highlight w:val="none"/>
              </w:rPr>
              <w:t>（</w:t>
            </w:r>
            <w:r>
              <w:rPr>
                <w:rFonts w:hint="eastAsia"/>
                <w:color w:val="auto"/>
                <w:highlight w:val="none"/>
              </w:rPr>
              <w:t>2023</w:t>
            </w:r>
            <w:r>
              <w:rPr>
                <w:rFonts w:hint="eastAsia"/>
                <w:color w:val="auto"/>
                <w:highlight w:val="none"/>
              </w:rPr>
              <w:t>）年</w:t>
            </w:r>
            <w:r>
              <w:rPr>
                <w:rFonts w:hint="eastAsia"/>
                <w:color w:val="auto"/>
                <w:highlight w:val="none"/>
              </w:rPr>
              <w:t>3</w:t>
            </w:r>
            <w:r>
              <w:rPr>
                <w:rFonts w:hint="eastAsia"/>
                <w:color w:val="auto"/>
                <w:highlight w:val="none"/>
              </w:rPr>
              <w:t>月</w:t>
            </w:r>
            <w:r>
              <w:rPr>
                <w:rFonts w:hint="eastAsia"/>
                <w:color w:val="auto"/>
                <w:highlight w:val="none"/>
              </w:rPr>
              <w:t>16</w:t>
            </w:r>
            <w:r>
              <w:rPr>
                <w:rFonts w:hint="eastAsia"/>
                <w:color w:val="auto"/>
                <w:highlight w:val="none"/>
              </w:rPr>
              <w:t>日～</w:t>
            </w:r>
            <w:r>
              <w:rPr>
                <w:rFonts w:hint="eastAsia"/>
                <w:color w:val="auto"/>
                <w:highlight w:val="none"/>
              </w:rPr>
              <w:t>5</w:t>
            </w:r>
            <w:r>
              <w:rPr>
                <w:rFonts w:hint="eastAsia"/>
                <w:color w:val="auto"/>
                <w:highlight w:val="none"/>
              </w:rPr>
              <w:t>月</w:t>
            </w:r>
            <w:r>
              <w:rPr>
                <w:rFonts w:hint="eastAsia"/>
                <w:color w:val="auto"/>
                <w:highlight w:val="none"/>
              </w:rPr>
              <w:t>31</w:t>
            </w:r>
            <w:r>
              <w:rPr>
                <w:rFonts w:hint="eastAsia"/>
                <w:color w:val="auto"/>
                <w:highlight w:val="none"/>
              </w:rPr>
              <w:t>日</w:t>
            </w:r>
          </w:p>
        </w:tc>
      </w:tr>
      <w:tr>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有効回収数</w:t>
            </w:r>
          </w:p>
        </w:tc>
        <w:tc>
          <w:tcPr>
            <w:tcW w:w="5976" w:type="dxa"/>
            <w:vAlign w:val="center"/>
          </w:tcPr>
          <w:p>
            <w:pPr>
              <w:pStyle w:val="0"/>
              <w:spacing w:line="340" w:lineRule="exact"/>
              <w:rPr>
                <w:rFonts w:hint="default"/>
                <w:color w:val="auto"/>
                <w:highlight w:val="none"/>
              </w:rPr>
            </w:pPr>
            <w:r>
              <w:rPr>
                <w:rFonts w:hint="eastAsia"/>
                <w:color w:val="auto"/>
                <w:highlight w:val="none"/>
              </w:rPr>
              <w:t>16</w:t>
            </w:r>
            <w:r>
              <w:rPr>
                <w:rFonts w:hint="eastAsia"/>
                <w:color w:val="auto"/>
                <w:highlight w:val="none"/>
              </w:rPr>
              <w:t>件</w:t>
            </w:r>
          </w:p>
        </w:tc>
      </w:tr>
    </w:tbl>
    <w:p>
      <w:pPr>
        <w:pStyle w:val="41"/>
        <w:rPr>
          <w:rFonts w:hint="default"/>
          <w:color w:val="auto"/>
          <w:highlight w:val="none"/>
        </w:rPr>
      </w:pPr>
    </w:p>
    <w:p>
      <w:pPr>
        <w:pStyle w:val="0"/>
        <w:widowControl w:val="1"/>
        <w:jc w:val="left"/>
        <w:rPr>
          <w:rFonts w:hint="default" w:ascii="BIZ UDPゴシック" w:hAnsi="BIZ UDPゴシック" w:eastAsia="BIZ UDPゴシック"/>
          <w:b w:val="1"/>
          <w:color w:val="auto"/>
          <w:sz w:val="24"/>
          <w:highlight w:val="none"/>
        </w:rPr>
      </w:pPr>
      <w:r>
        <w:rPr>
          <w:rFonts w:hint="default"/>
          <w:color w:val="auto"/>
          <w:highlight w:val="none"/>
        </w:rPr>
        <w:br w:type="page"/>
      </w:r>
    </w:p>
    <w:p>
      <w:pPr>
        <w:pStyle w:val="30"/>
        <w:spacing w:after="76" w:afterLines="0" w:afterAutospacing="0"/>
        <w:rPr>
          <w:rFonts w:hint="default"/>
          <w:color w:val="auto"/>
          <w:highlight w:val="none"/>
        </w:rPr>
      </w:pPr>
      <w:r>
        <w:rPr>
          <w:rFonts w:hint="eastAsia"/>
          <w:color w:val="auto"/>
          <w:highlight w:val="none"/>
        </w:rPr>
        <w:t>キ　介護人材実態調査</w:t>
      </w:r>
    </w:p>
    <w:tbl>
      <w:tblPr>
        <w:tblStyle w:val="81"/>
        <w:tblW w:w="8499" w:type="dxa"/>
        <w:tblInd w:w="562" w:type="dxa"/>
        <w:tblLayout w:type="fixed"/>
        <w:tblLook w:firstRow="1" w:lastRow="0" w:firstColumn="1" w:lastColumn="0" w:noHBand="0" w:noVBand="1" w:val="04A0"/>
      </w:tblPr>
      <w:tblGrid>
        <w:gridCol w:w="2523"/>
        <w:gridCol w:w="5976"/>
      </w:tblGrid>
      <w:tr>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目的</w:t>
            </w:r>
          </w:p>
        </w:tc>
        <w:tc>
          <w:tcPr>
            <w:tcW w:w="5976" w:type="dxa"/>
            <w:vAlign w:val="center"/>
          </w:tcPr>
          <w:p>
            <w:pPr>
              <w:pStyle w:val="0"/>
              <w:spacing w:line="300" w:lineRule="exact"/>
              <w:rPr>
                <w:rFonts w:hint="default"/>
                <w:color w:val="auto"/>
                <w:highlight w:val="none"/>
              </w:rPr>
            </w:pPr>
            <w:r>
              <w:rPr>
                <w:rFonts w:hint="eastAsia"/>
                <w:color w:val="auto"/>
                <w:highlight w:val="none"/>
              </w:rPr>
              <w:t>今後のサービス展開に関する課題や意向等を把握する。</w:t>
            </w:r>
          </w:p>
        </w:tc>
      </w:tr>
      <w:tr>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調査対象</w:t>
            </w:r>
          </w:p>
        </w:tc>
        <w:tc>
          <w:tcPr>
            <w:tcW w:w="5976" w:type="dxa"/>
            <w:vAlign w:val="center"/>
          </w:tcPr>
          <w:p>
            <w:pPr>
              <w:pStyle w:val="0"/>
              <w:spacing w:line="300" w:lineRule="exact"/>
              <w:rPr>
                <w:rFonts w:hint="default"/>
                <w:color w:val="auto"/>
                <w:highlight w:val="none"/>
              </w:rPr>
            </w:pPr>
            <w:r>
              <w:rPr>
                <w:rFonts w:hint="eastAsia"/>
                <w:color w:val="auto"/>
                <w:kern w:val="0"/>
                <w:highlight w:val="none"/>
              </w:rPr>
              <w:t>廿日市市内で介護保険サービスを提供している事業所</w:t>
            </w:r>
          </w:p>
          <w:p>
            <w:pPr>
              <w:pStyle w:val="0"/>
              <w:spacing w:line="300" w:lineRule="exact"/>
              <w:rPr>
                <w:rFonts w:hint="default"/>
                <w:color w:val="auto"/>
                <w:highlight w:val="none"/>
              </w:rPr>
            </w:pPr>
            <w:r>
              <w:rPr>
                <w:rFonts w:hint="eastAsia"/>
                <w:color w:val="auto"/>
                <w:kern w:val="0"/>
                <w:highlight w:val="none"/>
              </w:rPr>
              <w:t>275</w:t>
            </w:r>
            <w:r>
              <w:rPr>
                <w:rFonts w:hint="eastAsia"/>
                <w:color w:val="auto"/>
                <w:kern w:val="0"/>
                <w:highlight w:val="none"/>
              </w:rPr>
              <w:t>事業所</w:t>
            </w:r>
          </w:p>
        </w:tc>
      </w:tr>
      <w:tr>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調査方法</w:t>
            </w:r>
          </w:p>
        </w:tc>
        <w:tc>
          <w:tcPr>
            <w:tcW w:w="5976" w:type="dxa"/>
            <w:vAlign w:val="center"/>
          </w:tcPr>
          <w:p>
            <w:pPr>
              <w:pStyle w:val="0"/>
              <w:spacing w:line="340" w:lineRule="exact"/>
              <w:rPr>
                <w:rFonts w:hint="default"/>
                <w:color w:val="auto"/>
                <w:highlight w:val="none"/>
              </w:rPr>
            </w:pPr>
            <w:r>
              <w:rPr>
                <w:rFonts w:hint="eastAsia"/>
                <w:color w:val="auto"/>
                <w:highlight w:val="none"/>
              </w:rPr>
              <w:t>【事業所票】メールによる送付・回収、郵送配付・回収</w:t>
            </w:r>
          </w:p>
          <w:p>
            <w:pPr>
              <w:pStyle w:val="0"/>
              <w:spacing w:line="340" w:lineRule="exact"/>
              <w:rPr>
                <w:rFonts w:hint="default"/>
                <w:color w:val="auto"/>
                <w:highlight w:val="none"/>
              </w:rPr>
            </w:pPr>
            <w:r>
              <w:rPr>
                <w:rFonts w:hint="eastAsia"/>
                <w:color w:val="auto"/>
                <w:highlight w:val="none"/>
              </w:rPr>
              <w:t>【職員票】インターネットによる回答</w:t>
            </w:r>
          </w:p>
        </w:tc>
      </w:tr>
      <w:tr>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調査期間</w:t>
            </w:r>
          </w:p>
        </w:tc>
        <w:tc>
          <w:tcPr>
            <w:tcW w:w="5976" w:type="dxa"/>
            <w:vAlign w:val="center"/>
          </w:tcPr>
          <w:p>
            <w:pPr>
              <w:pStyle w:val="0"/>
              <w:spacing w:line="340" w:lineRule="exact"/>
              <w:rPr>
                <w:rFonts w:hint="default"/>
                <w:color w:val="auto"/>
                <w:highlight w:val="none"/>
              </w:rPr>
            </w:pPr>
            <w:r>
              <w:rPr>
                <w:rFonts w:hint="eastAsia"/>
                <w:color w:val="auto"/>
                <w:highlight w:val="none"/>
              </w:rPr>
              <w:t>令和</w:t>
            </w:r>
            <w:r>
              <w:rPr>
                <w:rFonts w:hint="eastAsia"/>
                <w:color w:val="auto"/>
                <w:highlight w:val="none"/>
              </w:rPr>
              <w:t>5</w:t>
            </w:r>
            <w:r>
              <w:rPr>
                <w:rFonts w:hint="eastAsia"/>
                <w:color w:val="auto"/>
                <w:highlight w:val="none"/>
              </w:rPr>
              <w:t>（</w:t>
            </w:r>
            <w:r>
              <w:rPr>
                <w:rFonts w:hint="eastAsia"/>
                <w:color w:val="auto"/>
                <w:highlight w:val="none"/>
              </w:rPr>
              <w:t>2023</w:t>
            </w:r>
            <w:r>
              <w:rPr>
                <w:rFonts w:hint="eastAsia"/>
                <w:color w:val="auto"/>
                <w:highlight w:val="none"/>
              </w:rPr>
              <w:t>）年</w:t>
            </w:r>
            <w:r>
              <w:rPr>
                <w:rFonts w:hint="eastAsia"/>
                <w:color w:val="auto"/>
                <w:highlight w:val="none"/>
              </w:rPr>
              <w:t>2</w:t>
            </w:r>
            <w:r>
              <w:rPr>
                <w:rFonts w:hint="eastAsia"/>
                <w:color w:val="auto"/>
                <w:highlight w:val="none"/>
              </w:rPr>
              <w:t>月</w:t>
            </w:r>
            <w:r>
              <w:rPr>
                <w:rFonts w:hint="eastAsia"/>
                <w:color w:val="auto"/>
                <w:highlight w:val="none"/>
              </w:rPr>
              <w:t>28</w:t>
            </w:r>
            <w:r>
              <w:rPr>
                <w:rFonts w:hint="eastAsia"/>
                <w:color w:val="auto"/>
                <w:highlight w:val="none"/>
              </w:rPr>
              <w:t>日～</w:t>
            </w:r>
            <w:r>
              <w:rPr>
                <w:rFonts w:hint="eastAsia"/>
                <w:color w:val="auto"/>
                <w:highlight w:val="none"/>
              </w:rPr>
              <w:t>6</w:t>
            </w:r>
            <w:r>
              <w:rPr>
                <w:rFonts w:hint="eastAsia"/>
                <w:color w:val="auto"/>
                <w:highlight w:val="none"/>
              </w:rPr>
              <w:t>月</w:t>
            </w:r>
            <w:r>
              <w:rPr>
                <w:rFonts w:hint="eastAsia"/>
                <w:color w:val="auto"/>
                <w:highlight w:val="none"/>
              </w:rPr>
              <w:t>16</w:t>
            </w:r>
            <w:r>
              <w:rPr>
                <w:rFonts w:hint="eastAsia"/>
                <w:color w:val="auto"/>
                <w:highlight w:val="none"/>
              </w:rPr>
              <w:t>日</w:t>
            </w:r>
          </w:p>
        </w:tc>
      </w:tr>
      <w:tr>
        <w:trPr/>
        <w:tc>
          <w:tcPr>
            <w:tcW w:w="2523"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有効回収数（回収率）</w:t>
            </w:r>
          </w:p>
        </w:tc>
        <w:tc>
          <w:tcPr>
            <w:tcW w:w="5976" w:type="dxa"/>
            <w:vAlign w:val="center"/>
          </w:tcPr>
          <w:p>
            <w:pPr>
              <w:pStyle w:val="0"/>
              <w:spacing w:line="340" w:lineRule="exact"/>
              <w:rPr>
                <w:rFonts w:hint="default"/>
                <w:color w:val="auto"/>
                <w:highlight w:val="none"/>
              </w:rPr>
            </w:pPr>
            <w:r>
              <w:rPr>
                <w:rFonts w:hint="eastAsia"/>
                <w:color w:val="auto"/>
                <w:highlight w:val="none"/>
              </w:rPr>
              <w:t>【事業所票】</w:t>
            </w:r>
            <w:r>
              <w:rPr>
                <w:rFonts w:hint="eastAsia"/>
                <w:color w:val="auto"/>
                <w:highlight w:val="none"/>
              </w:rPr>
              <w:t>162</w:t>
            </w:r>
            <w:r>
              <w:rPr>
                <w:rFonts w:hint="eastAsia"/>
                <w:color w:val="auto"/>
                <w:highlight w:val="none"/>
              </w:rPr>
              <w:t>票（</w:t>
            </w:r>
            <w:r>
              <w:rPr>
                <w:rFonts w:hint="eastAsia"/>
                <w:color w:val="auto"/>
                <w:highlight w:val="none"/>
              </w:rPr>
              <w:t>58.9</w:t>
            </w:r>
            <w:r>
              <w:rPr>
                <w:rFonts w:hint="eastAsia"/>
                <w:color w:val="auto"/>
                <w:highlight w:val="none"/>
              </w:rPr>
              <w:t>％）</w:t>
            </w:r>
          </w:p>
          <w:p>
            <w:pPr>
              <w:pStyle w:val="0"/>
              <w:spacing w:line="340" w:lineRule="exact"/>
              <w:rPr>
                <w:rFonts w:hint="default"/>
                <w:color w:val="auto"/>
                <w:highlight w:val="none"/>
              </w:rPr>
            </w:pPr>
            <w:r>
              <w:rPr>
                <w:rFonts w:hint="eastAsia"/>
                <w:color w:val="auto"/>
                <w:highlight w:val="none"/>
              </w:rPr>
              <w:t>【職員票】</w:t>
            </w:r>
            <w:r>
              <w:rPr>
                <w:rFonts w:hint="eastAsia"/>
                <w:color w:val="auto"/>
                <w:highlight w:val="none"/>
              </w:rPr>
              <w:t>906</w:t>
            </w:r>
            <w:r>
              <w:rPr>
                <w:rFonts w:hint="eastAsia"/>
                <w:color w:val="auto"/>
                <w:highlight w:val="none"/>
              </w:rPr>
              <w:t>票</w:t>
            </w:r>
          </w:p>
        </w:tc>
      </w:tr>
    </w:tbl>
    <w:p>
      <w:pPr>
        <w:pStyle w:val="41"/>
        <w:rPr>
          <w:rFonts w:hint="default"/>
          <w:color w:val="auto"/>
          <w:highlight w:val="none"/>
        </w:rPr>
      </w:pPr>
    </w:p>
    <w:p>
      <w:pPr>
        <w:pStyle w:val="26"/>
        <w:spacing w:after="76" w:afterLines="0" w:afterAutospacing="0"/>
        <w:rPr>
          <w:rFonts w:hint="default"/>
          <w:color w:val="auto"/>
          <w:highlight w:val="none"/>
        </w:rPr>
      </w:pPr>
      <w:bookmarkStart w:id="17" w:name="_Toc150813497"/>
      <w:bookmarkStart w:id="18" w:name="_Toc152155808"/>
      <w:bookmarkStart w:id="19" w:name="_Toc152160611"/>
      <w:r>
        <w:rPr>
          <w:rFonts w:hint="eastAsia"/>
          <w:color w:val="auto"/>
          <w:highlight w:val="none"/>
        </w:rPr>
        <w:t>（３）パブリックコメントの実施</w:t>
      </w:r>
      <w:bookmarkEnd w:id="17"/>
      <w:bookmarkEnd w:id="18"/>
      <w:bookmarkEnd w:id="19"/>
    </w:p>
    <w:p>
      <w:pPr>
        <w:pStyle w:val="28"/>
        <w:spacing w:after="185" w:afterLines="50" w:afterAutospacing="0"/>
        <w:rPr>
          <w:rFonts w:hint="default"/>
          <w:color w:val="auto"/>
          <w:highlight w:val="none"/>
        </w:rPr>
      </w:pPr>
      <w:r>
        <w:rPr>
          <w:rFonts w:hint="eastAsia"/>
          <w:color w:val="auto"/>
          <w:highlight w:val="none"/>
        </w:rPr>
        <w:t>計画素案を広く市民に公表し、意見募集（パブリックコメント）を行います。</w:t>
      </w:r>
    </w:p>
    <w:tbl>
      <w:tblPr>
        <w:tblStyle w:val="81"/>
        <w:tblW w:w="8499" w:type="dxa"/>
        <w:tblInd w:w="562" w:type="dxa"/>
        <w:tblLayout w:type="fixed"/>
        <w:tblLook w:firstRow="1" w:lastRow="0" w:firstColumn="1" w:lastColumn="0" w:noHBand="0" w:noVBand="1" w:val="04A0"/>
      </w:tblPr>
      <w:tblGrid>
        <w:gridCol w:w="2210"/>
        <w:gridCol w:w="6289"/>
      </w:tblGrid>
      <w:tr>
        <w:trPr/>
        <w:tc>
          <w:tcPr>
            <w:tcW w:w="2210"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実施期間（予定）</w:t>
            </w:r>
          </w:p>
        </w:tc>
        <w:tc>
          <w:tcPr>
            <w:tcW w:w="6289" w:type="dxa"/>
            <w:vAlign w:val="center"/>
          </w:tcPr>
          <w:p>
            <w:pPr>
              <w:pStyle w:val="0"/>
              <w:spacing w:line="300" w:lineRule="exact"/>
              <w:rPr>
                <w:rFonts w:hint="default"/>
                <w:color w:val="auto"/>
                <w:highlight w:val="none"/>
              </w:rPr>
            </w:pPr>
            <w:r>
              <w:rPr>
                <w:rFonts w:hint="eastAsia"/>
                <w:color w:val="auto"/>
                <w:highlight w:val="none"/>
              </w:rPr>
              <w:t>令和</w:t>
            </w:r>
            <w:r>
              <w:rPr>
                <w:rFonts w:hint="eastAsia"/>
                <w:color w:val="auto"/>
                <w:highlight w:val="none"/>
              </w:rPr>
              <w:t>6</w:t>
            </w:r>
            <w:r>
              <w:rPr>
                <w:rFonts w:hint="eastAsia"/>
                <w:color w:val="auto"/>
                <w:highlight w:val="none"/>
              </w:rPr>
              <w:t>（</w:t>
            </w:r>
            <w:r>
              <w:rPr>
                <w:rFonts w:hint="eastAsia"/>
                <w:color w:val="auto"/>
                <w:highlight w:val="none"/>
              </w:rPr>
              <w:t>2024</w:t>
            </w:r>
            <w:r>
              <w:rPr>
                <w:rFonts w:hint="eastAsia"/>
                <w:color w:val="auto"/>
                <w:highlight w:val="none"/>
              </w:rPr>
              <w:t>）年１月</w:t>
            </w:r>
          </w:p>
        </w:tc>
      </w:tr>
      <w:tr>
        <w:trPr/>
        <w:tc>
          <w:tcPr>
            <w:tcW w:w="2210" w:type="dxa"/>
            <w:shd w:val="clear" w:color="auto" w:themeFill="background1" w:themeFillTint="FF" w:themeFillShade="D9"/>
            <w:vAlign w:val="center"/>
          </w:tcPr>
          <w:p>
            <w:pPr>
              <w:pStyle w:val="0"/>
              <w:spacing w:line="340" w:lineRule="exact"/>
              <w:jc w:val="center"/>
              <w:rPr>
                <w:rFonts w:hint="default"/>
                <w:color w:val="auto"/>
                <w:highlight w:val="none"/>
              </w:rPr>
            </w:pPr>
            <w:r>
              <w:rPr>
                <w:rFonts w:hint="eastAsia"/>
                <w:color w:val="auto"/>
                <w:highlight w:val="none"/>
              </w:rPr>
              <w:t>実施方法</w:t>
            </w:r>
          </w:p>
        </w:tc>
        <w:tc>
          <w:tcPr>
            <w:tcW w:w="6289" w:type="dxa"/>
            <w:vAlign w:val="center"/>
          </w:tcPr>
          <w:p>
            <w:pPr>
              <w:pStyle w:val="0"/>
              <w:spacing w:line="300" w:lineRule="exact"/>
              <w:rPr>
                <w:rFonts w:hint="default"/>
                <w:color w:val="auto"/>
                <w:highlight w:val="none"/>
              </w:rPr>
            </w:pPr>
            <w:r>
              <w:rPr>
                <w:rFonts w:hint="eastAsia"/>
                <w:color w:val="auto"/>
                <w:highlight w:val="none"/>
              </w:rPr>
              <w:t>市ホームページにおける公表及び市役所・支所での閲覧</w:t>
            </w:r>
          </w:p>
        </w:tc>
      </w:tr>
    </w:tbl>
    <w:p>
      <w:pPr>
        <w:pStyle w:val="0"/>
        <w:widowControl w:val="1"/>
        <w:jc w:val="left"/>
        <w:rPr>
          <w:rFonts w:hint="default"/>
          <w:color w:val="auto"/>
          <w:highlight w:val="none"/>
        </w:rPr>
      </w:pPr>
      <w:r>
        <w:rPr>
          <w:rFonts w:hint="default"/>
          <w:color w:val="auto"/>
          <w:highlight w:val="none"/>
        </w:rPr>
        <w:br w:type="page"/>
      </w:r>
    </w:p>
    <w:p>
      <w:pPr>
        <w:pStyle w:val="0"/>
        <w:keepNext w:val="1"/>
        <w:spacing w:line="720" w:lineRule="exact"/>
        <w:outlineLvl w:val="0"/>
        <w:rPr>
          <w:rFonts w:hint="default" w:ascii="BIZ UDPゴシック" w:hAnsi="BIZ UDPゴシック" w:eastAsia="BIZ UDPゴシック"/>
          <w:b w:val="1"/>
          <w:color w:val="auto"/>
          <w:sz w:val="40"/>
          <w:highlight w:val="none"/>
        </w:rPr>
      </w:pPr>
      <w:bookmarkStart w:id="20" w:name="_Toc152160612"/>
      <w:r>
        <w:rPr>
          <w:rFonts w:hint="eastAsia" w:ascii="BIZ UDPゴシック" w:hAnsi="BIZ UDPゴシック" w:eastAsia="BIZ UDPゴシック"/>
          <w:b w:val="1"/>
          <w:color w:val="auto"/>
          <w:sz w:val="40"/>
          <w:highlight w:val="none"/>
        </w:rPr>
        <w:t>第２章　高齢者を取り巻く現状</w:t>
      </w:r>
      <w:bookmarkEnd w:id="20"/>
    </w:p>
    <w:p>
      <w:pPr>
        <w:pStyle w:val="0"/>
        <w:keepNext w:val="1"/>
        <w:spacing w:after="74" w:afterLines="20" w:afterAutospacing="0" w:line="600" w:lineRule="exact"/>
        <w:outlineLvl w:val="0"/>
        <w:rPr>
          <w:rFonts w:hint="default" w:ascii="BIZ UDPゴシック" w:hAnsi="BIZ UDPゴシック" w:eastAsia="BIZ UDPゴシック"/>
          <w:b w:val="1"/>
          <w:color w:val="auto"/>
          <w:sz w:val="32"/>
          <w:highlight w:val="none"/>
        </w:rPr>
      </w:pPr>
      <w:bookmarkStart w:id="21" w:name="_Toc152160613"/>
      <w:r>
        <w:rPr>
          <w:rFonts w:hint="eastAsia" w:ascii="BIZ UDPゴシック" w:hAnsi="BIZ UDPゴシック" w:eastAsia="BIZ UDPゴシック"/>
          <w:b w:val="1"/>
          <w:color w:val="auto"/>
          <w:sz w:val="32"/>
          <w:highlight w:val="none"/>
        </w:rPr>
        <w:t>１　人口の推移と推計</w:t>
      </w:r>
      <w:bookmarkEnd w:id="21"/>
    </w:p>
    <w:p>
      <w:pPr>
        <w:pStyle w:val="0"/>
        <w:keepNext w:val="1"/>
        <w:spacing w:after="74" w:afterLines="20" w:afterAutospacing="0" w:line="440" w:lineRule="exact"/>
        <w:ind w:left="220" w:leftChars="100"/>
        <w:outlineLvl w:val="0"/>
        <w:rPr>
          <w:rFonts w:hint="default" w:ascii="BIZ UDPゴシック" w:hAnsi="BIZ UDPゴシック" w:eastAsia="BIZ UDPゴシック"/>
          <w:b w:val="1"/>
          <w:color w:val="auto"/>
          <w:sz w:val="28"/>
          <w:highlight w:val="none"/>
        </w:rPr>
      </w:pPr>
      <w:bookmarkStart w:id="22" w:name="_Toc150813500"/>
      <w:bookmarkStart w:id="23" w:name="_Toc152155811"/>
      <w:bookmarkStart w:id="24" w:name="_Toc152160614"/>
      <w:r>
        <w:rPr>
          <w:rFonts w:hint="eastAsia" w:ascii="BIZ UDPゴシック" w:hAnsi="BIZ UDPゴシック" w:eastAsia="BIZ UDPゴシック"/>
          <w:b w:val="1"/>
          <w:color w:val="auto"/>
          <w:sz w:val="28"/>
          <w:highlight w:val="none"/>
        </w:rPr>
        <w:t>（１）全国の人口の推移と推計</w:t>
      </w:r>
      <w:bookmarkEnd w:id="22"/>
      <w:bookmarkEnd w:id="23"/>
      <w:bookmarkEnd w:id="24"/>
    </w:p>
    <w:p>
      <w:pPr>
        <w:pStyle w:val="0"/>
        <w:numPr>
          <w:ilvl w:val="3"/>
          <w:numId w:val="1"/>
        </w:numPr>
        <w:autoSpaceDE w:val="0"/>
        <w:autoSpaceDN w:val="0"/>
        <w:spacing w:line="380" w:lineRule="exact"/>
        <w:ind w:left="882" w:leftChars="200" w:hanging="442"/>
        <w:rPr>
          <w:rFonts w:hint="default"/>
          <w:color w:val="auto"/>
          <w:highlight w:val="none"/>
        </w:rPr>
      </w:pPr>
      <w:r>
        <w:rPr>
          <w:rFonts w:hint="eastAsia"/>
          <w:color w:val="auto"/>
          <w:highlight w:val="none"/>
        </w:rPr>
        <w:t>全国の総人口は減少傾向にありますが、高齢者の占める割合は上昇し、令和</w:t>
      </w:r>
      <w:r>
        <w:rPr>
          <w:rFonts w:hint="eastAsia"/>
          <w:color w:val="auto"/>
          <w:highlight w:val="none"/>
        </w:rPr>
        <w:t>22</w:t>
      </w:r>
      <w:r>
        <w:rPr>
          <w:rFonts w:hint="eastAsia"/>
          <w:color w:val="auto"/>
          <w:highlight w:val="none"/>
        </w:rPr>
        <w:t>（</w:t>
      </w:r>
      <w:r>
        <w:rPr>
          <w:rFonts w:hint="eastAsia"/>
          <w:color w:val="auto"/>
          <w:highlight w:val="none"/>
        </w:rPr>
        <w:t>2040</w:t>
      </w:r>
      <w:r>
        <w:rPr>
          <w:rFonts w:hint="eastAsia"/>
          <w:color w:val="auto"/>
          <w:highlight w:val="none"/>
        </w:rPr>
        <w:t>）年には</w:t>
      </w:r>
      <w:r>
        <w:rPr>
          <w:rFonts w:hint="eastAsia"/>
          <w:color w:val="auto"/>
          <w:highlight w:val="none"/>
        </w:rPr>
        <w:t>34.8</w:t>
      </w:r>
      <w:r>
        <w:rPr>
          <w:rFonts w:hint="eastAsia"/>
          <w:color w:val="auto"/>
          <w:highlight w:val="none"/>
        </w:rPr>
        <w:t>％となると見込まれます。</w:t>
      </w:r>
    </w:p>
    <w:p>
      <w:pPr>
        <w:pStyle w:val="0"/>
        <w:numPr>
          <w:ilvl w:val="3"/>
          <w:numId w:val="1"/>
        </w:numPr>
        <w:autoSpaceDE w:val="0"/>
        <w:autoSpaceDN w:val="0"/>
        <w:spacing w:line="380" w:lineRule="exact"/>
        <w:ind w:left="882" w:leftChars="200" w:hanging="442"/>
        <w:rPr>
          <w:rFonts w:hint="default"/>
          <w:color w:val="auto"/>
          <w:highlight w:val="none"/>
        </w:rPr>
      </w:pPr>
      <w:r>
        <w:rPr>
          <w:rFonts w:hint="eastAsia"/>
          <w:color w:val="auto"/>
          <w:highlight w:val="none"/>
        </w:rPr>
        <w:t>０～</w:t>
      </w:r>
      <w:r>
        <w:rPr>
          <w:rFonts w:hint="eastAsia"/>
          <w:color w:val="auto"/>
          <w:highlight w:val="none"/>
        </w:rPr>
        <w:t>14</w:t>
      </w:r>
      <w:r>
        <w:rPr>
          <w:rFonts w:hint="eastAsia"/>
          <w:color w:val="auto"/>
          <w:highlight w:val="none"/>
        </w:rPr>
        <w:t>歳人口、</w:t>
      </w:r>
      <w:r>
        <w:rPr>
          <w:rFonts w:hint="eastAsia"/>
          <w:color w:val="auto"/>
          <w:highlight w:val="none"/>
        </w:rPr>
        <w:t>15</w:t>
      </w:r>
      <w:r>
        <w:rPr>
          <w:rFonts w:hint="eastAsia"/>
          <w:color w:val="auto"/>
          <w:highlight w:val="none"/>
        </w:rPr>
        <w:t>～</w:t>
      </w:r>
      <w:r>
        <w:rPr>
          <w:rFonts w:hint="eastAsia"/>
          <w:color w:val="auto"/>
          <w:highlight w:val="none"/>
        </w:rPr>
        <w:t>64</w:t>
      </w:r>
      <w:r>
        <w:rPr>
          <w:rFonts w:hint="eastAsia"/>
          <w:color w:val="auto"/>
          <w:highlight w:val="none"/>
        </w:rPr>
        <w:t>歳人口は減少し続け、令和</w:t>
      </w:r>
      <w:r>
        <w:rPr>
          <w:rFonts w:hint="eastAsia"/>
          <w:color w:val="auto"/>
          <w:highlight w:val="none"/>
        </w:rPr>
        <w:t>22</w:t>
      </w:r>
      <w:r>
        <w:rPr>
          <w:rFonts w:hint="eastAsia"/>
          <w:color w:val="auto"/>
          <w:highlight w:val="none"/>
        </w:rPr>
        <w:t>（</w:t>
      </w:r>
      <w:r>
        <w:rPr>
          <w:rFonts w:hint="eastAsia"/>
          <w:color w:val="auto"/>
          <w:highlight w:val="none"/>
        </w:rPr>
        <w:t>2040</w:t>
      </w:r>
      <w:r>
        <w:rPr>
          <w:rFonts w:hint="eastAsia"/>
          <w:color w:val="auto"/>
          <w:highlight w:val="none"/>
        </w:rPr>
        <w:t>）年の</w:t>
      </w:r>
      <w:r>
        <w:rPr>
          <w:rFonts w:hint="eastAsia"/>
          <w:color w:val="auto"/>
          <w:highlight w:val="none"/>
        </w:rPr>
        <w:t>15</w:t>
      </w:r>
      <w:r>
        <w:rPr>
          <w:rFonts w:hint="eastAsia"/>
          <w:color w:val="auto"/>
          <w:highlight w:val="none"/>
        </w:rPr>
        <w:t>～</w:t>
      </w:r>
      <w:r>
        <w:rPr>
          <w:rFonts w:hint="eastAsia"/>
          <w:color w:val="auto"/>
          <w:highlight w:val="none"/>
        </w:rPr>
        <w:t>64</w:t>
      </w:r>
      <w:r>
        <w:rPr>
          <w:rFonts w:hint="eastAsia"/>
          <w:color w:val="auto"/>
          <w:highlight w:val="none"/>
        </w:rPr>
        <w:t>歳人口は、令和４年より</w:t>
      </w:r>
      <w:r>
        <w:rPr>
          <w:rFonts w:hint="eastAsia"/>
          <w:color w:val="auto"/>
          <w:highlight w:val="none"/>
        </w:rPr>
        <w:t>16.3</w:t>
      </w:r>
      <w:r>
        <w:rPr>
          <w:rFonts w:hint="eastAsia"/>
          <w:color w:val="auto"/>
          <w:highlight w:val="none"/>
        </w:rPr>
        <w:t>％減となると見込まれます。</w:t>
      </w:r>
    </w:p>
    <w:p>
      <w:pPr>
        <w:pStyle w:val="0"/>
        <w:numPr>
          <w:ilvl w:val="3"/>
          <w:numId w:val="1"/>
        </w:numPr>
        <w:autoSpaceDE w:val="0"/>
        <w:autoSpaceDN w:val="0"/>
        <w:spacing w:line="380" w:lineRule="exact"/>
        <w:ind w:left="882" w:leftChars="200" w:hanging="442"/>
        <w:rPr>
          <w:rFonts w:hint="default"/>
          <w:color w:val="auto"/>
          <w:highlight w:val="none"/>
        </w:rPr>
      </w:pPr>
      <w:r>
        <w:rPr>
          <w:rFonts w:hint="eastAsia"/>
          <w:color w:val="auto"/>
          <w:highlight w:val="none"/>
        </w:rPr>
        <w:t>75</w:t>
      </w:r>
      <w:r>
        <w:rPr>
          <w:rFonts w:hint="eastAsia"/>
          <w:color w:val="auto"/>
          <w:highlight w:val="none"/>
        </w:rPr>
        <w:t>歳以上の後期高齢者人口は令和</w:t>
      </w:r>
      <w:r>
        <w:rPr>
          <w:rFonts w:hint="eastAsia"/>
          <w:color w:val="auto"/>
          <w:highlight w:val="none"/>
        </w:rPr>
        <w:t>12</w:t>
      </w:r>
      <w:r>
        <w:rPr>
          <w:rFonts w:hint="eastAsia"/>
          <w:color w:val="auto"/>
          <w:highlight w:val="none"/>
        </w:rPr>
        <w:t>（</w:t>
      </w:r>
      <w:r>
        <w:rPr>
          <w:rFonts w:hint="eastAsia"/>
          <w:color w:val="auto"/>
          <w:highlight w:val="none"/>
        </w:rPr>
        <w:t>2030</w:t>
      </w:r>
      <w:r>
        <w:rPr>
          <w:rFonts w:hint="eastAsia"/>
          <w:color w:val="auto"/>
          <w:highlight w:val="none"/>
        </w:rPr>
        <w:t>）年までその伸びが大きいことが見込まれます。</w:t>
      </w:r>
    </w:p>
    <w:p>
      <w:pPr>
        <w:pStyle w:val="0"/>
        <w:rPr>
          <w:rFonts w:hint="default" w:ascii="HG丸ｺﾞｼｯｸM-PRO" w:hAnsi="HG丸ｺﾞｼｯｸM-PRO" w:eastAsia="HG丸ｺﾞｼｯｸM-PRO"/>
          <w:color w:val="auto"/>
          <w:highlight w:val="none"/>
        </w:rPr>
      </w:pPr>
      <w:r>
        <w:rPr>
          <w:rFonts w:hint="default"/>
          <w:color w:val="auto"/>
          <w:highlight w:val="none"/>
        </w:rPr>
        <w:drawing>
          <wp:anchor distT="0" distB="0" distL="114300" distR="114300" simplePos="0" relativeHeight="23" behindDoc="1" locked="0" layoutInCell="1" hidden="0" allowOverlap="1">
            <wp:simplePos x="0" y="0"/>
            <wp:positionH relativeFrom="margin">
              <wp:posOffset>-165100</wp:posOffset>
            </wp:positionH>
            <wp:positionV relativeFrom="paragraph">
              <wp:posOffset>106045</wp:posOffset>
            </wp:positionV>
            <wp:extent cx="6127750" cy="3976370"/>
            <wp:effectExtent l="0" t="0" r="0" b="0"/>
            <wp:wrapNone/>
            <wp:docPr id="1028" name="Picture 1"/>
            <a:graphic xmlns:a="http://schemas.openxmlformats.org/drawingml/2006/main">
              <a:graphicData uri="http://schemas.openxmlformats.org/drawingml/2006/picture">
                <pic:pic xmlns:pic="http://schemas.openxmlformats.org/drawingml/2006/picture">
                  <pic:nvPicPr>
                    <pic:cNvPr id="1028" name="Picture 1"/>
                    <pic:cNvPicPr>
                      <a:picLocks noChangeAspect="1" noChangeArrowheads="1"/>
                    </pic:cNvPicPr>
                  </pic:nvPicPr>
                  <pic:blipFill>
                    <a:blip r:embed="rId8"/>
                    <a:stretch>
                      <a:fillRect/>
                    </a:stretch>
                  </pic:blipFill>
                  <pic:spPr>
                    <a:xfrm>
                      <a:off x="0" y="0"/>
                      <a:ext cx="6127750" cy="3976370"/>
                    </a:xfrm>
                    <a:prstGeom prst="rect">
                      <a:avLst/>
                    </a:prstGeom>
                    <a:noFill/>
                    <a:ln>
                      <a:noFill/>
                    </a:ln>
                  </pic:spPr>
                </pic:pic>
              </a:graphicData>
            </a:graphic>
          </wp:anchor>
        </w:drawing>
      </w:r>
    </w:p>
    <w:p>
      <w:pPr>
        <w:pStyle w:val="0"/>
        <w:spacing w:line="400" w:lineRule="exact"/>
        <w:ind w:left="1701" w:leftChars="773"/>
        <w:jc w:val="left"/>
        <w:rPr>
          <w:rFonts w:hint="default"/>
          <w:color w:val="auto"/>
          <w:sz w:val="21"/>
          <w:highlight w:val="none"/>
        </w:rPr>
      </w:pPr>
      <w:r>
        <w:rPr>
          <w:rFonts w:hint="eastAsia"/>
          <w:color w:val="auto"/>
          <w:sz w:val="21"/>
          <w:highlight w:val="none"/>
        </w:rPr>
        <w:t>図表　人口と高齢化率の推移・推計（全国）</w:t>
      </w: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r>
        <w:rPr>
          <w:rFonts w:hint="default"/>
          <w:color w:val="auto"/>
          <w:highlight w:val="none"/>
        </w:rPr>
        <mc:AlternateContent>
          <mc:Choice Requires="wps">
            <w:drawing>
              <wp:anchor distT="0" distB="0" distL="114299" distR="114299" simplePos="0" relativeHeight="39" behindDoc="0" locked="0" layoutInCell="1" hidden="0" allowOverlap="1">
                <wp:simplePos x="0" y="0"/>
                <wp:positionH relativeFrom="column">
                  <wp:posOffset>3509010</wp:posOffset>
                </wp:positionH>
                <wp:positionV relativeFrom="paragraph">
                  <wp:posOffset>226695</wp:posOffset>
                </wp:positionV>
                <wp:extent cx="0" cy="2915920"/>
                <wp:effectExtent l="635" t="0" r="29845" b="8255"/>
                <wp:wrapNone/>
                <wp:docPr id="1029" name="直線コネクタ 22"/>
                <a:graphic xmlns:a="http://schemas.openxmlformats.org/drawingml/2006/main">
                  <a:graphicData uri="http://schemas.microsoft.com/office/word/2010/wordprocessingShape">
                    <wps:wsp>
                      <wps:cNvPr id="1029" name="直線コネクタ 22"/>
                      <wps:cNvSpPr/>
                      <wps:spPr>
                        <a:xfrm>
                          <a:off x="0" y="0"/>
                          <a:ext cx="0" cy="291592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2" style="mso-wrap-distance-top:0pt;mso-wrap-distance-right:8.94pt;mso-wrap-distance-bottom:0pt;mso-position-vertical-relative:text;mso-position-horizontal-relative:text;position:absolute;mso-wrap-distance-left:8.94pt;z-index:39;" o:spid="_x0000_s1029" o:allowincell="t" o:allowoverlap="t" filled="f" stroked="t" strokecolor="#000000 [3213]" strokeweight="0.5pt" o:spt="20" from="276.3pt,17.850000000000001pt" to="276.3pt,247.45pt">
                <v:fill/>
                <v:stroke linestyle="single" miterlimit="8" endcap="flat" dashstyle="dash" filltype="solid"/>
                <v:textbox style="layout-flow:horizontal;"/>
                <v:imagedata o:title=""/>
                <w10:wrap type="none" anchorx="text" anchory="text"/>
              </v:line>
            </w:pict>
          </mc:Fallback>
        </mc:AlternateContent>
      </w: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r>
        <w:rPr>
          <w:rFonts w:hint="default"/>
          <w:color w:val="auto"/>
          <w:highlight w:val="none"/>
        </w:rPr>
        <mc:AlternateContent>
          <mc:Choice Requires="wps">
            <w:drawing>
              <wp:anchor distT="0" distB="0" distL="114300" distR="114300" simplePos="0" relativeHeight="44" behindDoc="0" locked="0" layoutInCell="1" hidden="0" allowOverlap="1">
                <wp:simplePos x="0" y="0"/>
                <wp:positionH relativeFrom="margin">
                  <wp:posOffset>3445510</wp:posOffset>
                </wp:positionH>
                <wp:positionV relativeFrom="paragraph">
                  <wp:posOffset>111125</wp:posOffset>
                </wp:positionV>
                <wp:extent cx="2286000" cy="179705"/>
                <wp:effectExtent l="0" t="0" r="635" b="635"/>
                <wp:wrapNone/>
                <wp:docPr id="1030" name="正方形/長方形 21"/>
                <a:graphic xmlns:a="http://schemas.openxmlformats.org/drawingml/2006/main">
                  <a:graphicData uri="http://schemas.microsoft.com/office/word/2010/wordprocessingShape">
                    <wps:wsp>
                      <wps:cNvPr id="1030" name="正方形/長方形 21"/>
                      <wps:cNvSpPr/>
                      <wps:spPr>
                        <a:xfrm>
                          <a:off x="0" y="0"/>
                          <a:ext cx="2286000" cy="179705"/>
                        </a:xfrm>
                        <a:prstGeom prst="rect">
                          <a:avLst/>
                        </a:prstGeom>
                        <a:noFill/>
                        <a:ln w="25400" cap="flat" cmpd="sng" algn="ctr">
                          <a:noFill/>
                          <a:prstDash val="solid"/>
                        </a:ln>
                        <a:effectLst/>
                      </wps:spPr>
                      <wps:txbx>
                        <w:txbxContent>
                          <w:p>
                            <w:pPr>
                              <w:pStyle w:val="0"/>
                              <w:spacing w:line="240" w:lineRule="exact"/>
                              <w:jc w:val="center"/>
                              <w:rPr>
                                <w:rFonts w:hint="default" w:ascii="ＭＳ Ｐゴシック" w:hAnsi="ＭＳ Ｐゴシック" w:eastAsia="ＭＳ Ｐゴシック"/>
                                <w:color w:val="000000" w:themeColor="text1"/>
                                <w:sz w:val="18"/>
                              </w:rPr>
                            </w:pPr>
                            <w:r>
                              <w:rPr>
                                <w:rFonts w:hint="eastAsia" w:ascii="ＭＳ Ｐゴシック" w:hAnsi="ＭＳ Ｐゴシック" w:eastAsia="ＭＳ Ｐゴシック"/>
                                <w:color w:val="000000" w:themeColor="text1"/>
                                <w:sz w:val="18"/>
                              </w:rPr>
                              <w:t>国立社会保障・人口問題研究所推計値</w:t>
                            </w:r>
                          </w:p>
                        </w:txbxContent>
                      </wps:txbx>
                      <wps:bodyPr rot="0" vertOverflow="overflow" horzOverflow="overflow" wrap="square" lIns="0" tIns="0" rIns="0" bIns="0" numCol="1" spcCol="0" rtlCol="0" fromWordArt="0" anchor="t" anchorCtr="0" forceAA="0" compatLnSpc="1"/>
                    </wps:wsp>
                  </a:graphicData>
                </a:graphic>
              </wp:anchor>
            </w:drawing>
          </mc:Choice>
          <mc:Fallback>
            <w:pict>
              <v:rect id="正方形/長方形 21" style="mso-wrap-distance-right:9pt;mso-wrap-distance-bottom:0pt;margin-top:8.75pt;mso-position-vertical-relative:text;mso-position-horizontal-relative:margin;v-text-anchor:top;position:absolute;height:14.15pt;mso-wrap-distance-top:0pt;width:180pt;mso-wrap-distance-left:9pt;margin-left:271.3pt;z-index:44;" o:spid="_x0000_s1030" o:allowincell="t" o:allowoverlap="t" filled="f" stroked="f" strokeweight="2pt" o:spt="1">
                <v:fill/>
                <v:stroke linestyle="single" endcap="flat" dashstyle="solid"/>
                <v:textbox style="layout-flow:horizontal;" inset="0mm,0mm,0mm,0mm">
                  <w:txbxContent>
                    <w:p>
                      <w:pPr>
                        <w:pStyle w:val="0"/>
                        <w:spacing w:line="240" w:lineRule="exact"/>
                        <w:jc w:val="center"/>
                        <w:rPr>
                          <w:rFonts w:hint="default" w:ascii="ＭＳ Ｐゴシック" w:hAnsi="ＭＳ Ｐゴシック" w:eastAsia="ＭＳ Ｐゴシック"/>
                          <w:color w:val="000000" w:themeColor="text1"/>
                          <w:sz w:val="18"/>
                        </w:rPr>
                      </w:pPr>
                      <w:r>
                        <w:rPr>
                          <w:rFonts w:hint="eastAsia" w:ascii="ＭＳ Ｐゴシック" w:hAnsi="ＭＳ Ｐゴシック" w:eastAsia="ＭＳ Ｐゴシック"/>
                          <w:color w:val="000000" w:themeColor="text1"/>
                          <w:sz w:val="18"/>
                        </w:rPr>
                        <w:t>国立社会保障・人口問題研究所推計値</w:t>
                      </w:r>
                    </w:p>
                  </w:txbxContent>
                </v:textbox>
                <v:imagedata o:title=""/>
                <w10:wrap type="none" anchorx="margin" anchory="text"/>
              </v:rect>
            </w:pict>
          </mc:Fallback>
        </mc:AlternateContent>
      </w:r>
      <w:r>
        <w:rPr>
          <w:rFonts w:hint="default"/>
          <w:color w:val="auto"/>
          <w:highlight w:val="none"/>
        </w:rPr>
        <mc:AlternateContent>
          <mc:Choice Requires="wps">
            <w:drawing>
              <wp:anchor distT="0" distB="0" distL="114300" distR="114300" simplePos="0" relativeHeight="43" behindDoc="0" locked="0" layoutInCell="1" hidden="0" allowOverlap="1">
                <wp:simplePos x="0" y="0"/>
                <wp:positionH relativeFrom="column">
                  <wp:posOffset>1252220</wp:posOffset>
                </wp:positionH>
                <wp:positionV relativeFrom="paragraph">
                  <wp:posOffset>112395</wp:posOffset>
                </wp:positionV>
                <wp:extent cx="1524000" cy="179705"/>
                <wp:effectExtent l="0" t="0" r="635" b="635"/>
                <wp:wrapNone/>
                <wp:docPr id="1031" name="正方形/長方形 20"/>
                <a:graphic xmlns:a="http://schemas.openxmlformats.org/drawingml/2006/main">
                  <a:graphicData uri="http://schemas.microsoft.com/office/word/2010/wordprocessingShape">
                    <wps:wsp>
                      <wps:cNvPr id="1031" name="正方形/長方形 20"/>
                      <wps:cNvSpPr/>
                      <wps:spPr>
                        <a:xfrm>
                          <a:off x="0" y="0"/>
                          <a:ext cx="1524000" cy="179705"/>
                        </a:xfrm>
                        <a:prstGeom prst="rect">
                          <a:avLst/>
                        </a:prstGeom>
                        <a:solidFill>
                          <a:sysClr val="window" lastClr="FFFFFF"/>
                        </a:solidFill>
                        <a:ln w="25400" cap="flat" cmpd="sng" algn="ctr">
                          <a:noFill/>
                          <a:prstDash val="solid"/>
                        </a:ln>
                        <a:effectLst/>
                      </wps:spPr>
                      <wps:txbx>
                        <w:txbxContent>
                          <w:p>
                            <w:pPr>
                              <w:pStyle w:val="0"/>
                              <w:spacing w:line="240" w:lineRule="exact"/>
                              <w:jc w:val="center"/>
                              <w:rPr>
                                <w:rFonts w:hint="default" w:ascii="ＭＳ Ｐゴシック" w:hAnsi="ＭＳ Ｐゴシック" w:eastAsia="ＭＳ Ｐゴシック"/>
                                <w:color w:val="000000" w:themeColor="text1"/>
                                <w:sz w:val="18"/>
                              </w:rPr>
                            </w:pPr>
                            <w:r>
                              <w:rPr>
                                <w:rFonts w:hint="eastAsia" w:ascii="ＭＳ Ｐゴシック" w:hAnsi="ＭＳ Ｐゴシック" w:eastAsia="ＭＳ Ｐゴシック"/>
                                <w:color w:val="000000" w:themeColor="text1"/>
                                <w:sz w:val="18"/>
                              </w:rPr>
                              <w:t>国勢調査</w:t>
                            </w:r>
                            <w:r>
                              <w:rPr>
                                <w:rFonts w:hint="default" w:ascii="ＭＳ Ｐゴシック" w:hAnsi="ＭＳ Ｐゴシック" w:eastAsia="ＭＳ Ｐゴシック"/>
                                <w:color w:val="000000" w:themeColor="text1"/>
                                <w:sz w:val="18"/>
                              </w:rPr>
                              <w:t>・</w:t>
                            </w:r>
                            <w:r>
                              <w:rPr>
                                <w:rFonts w:hint="eastAsia" w:ascii="ＭＳ Ｐゴシック" w:hAnsi="ＭＳ Ｐゴシック" w:eastAsia="ＭＳ Ｐゴシック"/>
                                <w:color w:val="000000" w:themeColor="text1"/>
                                <w:sz w:val="18"/>
                              </w:rPr>
                              <w:t>人口</w:t>
                            </w:r>
                            <w:r>
                              <w:rPr>
                                <w:rFonts w:hint="default" w:ascii="ＭＳ Ｐゴシック" w:hAnsi="ＭＳ Ｐゴシック" w:eastAsia="ＭＳ Ｐゴシック"/>
                                <w:color w:val="000000" w:themeColor="text1"/>
                                <w:sz w:val="18"/>
                              </w:rPr>
                              <w:t>推計</w:t>
                            </w:r>
                            <w:r>
                              <w:rPr>
                                <w:rFonts w:hint="eastAsia" w:ascii="ＭＳ Ｐゴシック" w:hAnsi="ＭＳ Ｐゴシック" w:eastAsia="ＭＳ Ｐゴシック"/>
                                <w:color w:val="000000" w:themeColor="text1"/>
                                <w:sz w:val="18"/>
                              </w:rPr>
                              <w:t>（総務省）</w:t>
                            </w:r>
                          </w:p>
                        </w:txbxContent>
                      </wps:txbx>
                      <wps:bodyPr rot="0" vertOverflow="overflow" horzOverflow="overflow" wrap="square" lIns="0" tIns="0" rIns="0" bIns="0" numCol="1" spcCol="0" rtlCol="0" fromWordArt="0" anchor="t" anchorCtr="0" forceAA="0" compatLnSpc="1"/>
                    </wps:wsp>
                  </a:graphicData>
                </a:graphic>
              </wp:anchor>
            </w:drawing>
          </mc:Choice>
          <mc:Fallback>
            <w:pict>
              <v:rect id="正方形/長方形 20" style="mso-wrap-distance-right:9pt;mso-wrap-distance-bottom:0pt;margin-top:8.85pt;mso-position-vertical-relative:text;mso-position-horizontal-relative:text;v-text-anchor:top;position:absolute;height:14.15pt;mso-wrap-distance-top:0pt;width:120pt;mso-wrap-distance-left:9pt;margin-left:98.6pt;z-index:43;" o:spid="_x0000_s1031" o:allowincell="t" o:allowoverlap="t" filled="t" fillcolor="#ffffff" stroked="f" strokeweight="2pt" o:spt="1">
                <v:fill/>
                <v:stroke linestyle="single" endcap="flat" dashstyle="solid"/>
                <v:textbox style="layout-flow:horizontal;" inset="0mm,0mm,0mm,0mm">
                  <w:txbxContent>
                    <w:p>
                      <w:pPr>
                        <w:pStyle w:val="0"/>
                        <w:spacing w:line="240" w:lineRule="exact"/>
                        <w:jc w:val="center"/>
                        <w:rPr>
                          <w:rFonts w:hint="default" w:ascii="ＭＳ Ｐゴシック" w:hAnsi="ＭＳ Ｐゴシック" w:eastAsia="ＭＳ Ｐゴシック"/>
                          <w:color w:val="000000" w:themeColor="text1"/>
                          <w:sz w:val="18"/>
                        </w:rPr>
                      </w:pPr>
                      <w:r>
                        <w:rPr>
                          <w:rFonts w:hint="eastAsia" w:ascii="ＭＳ Ｐゴシック" w:hAnsi="ＭＳ Ｐゴシック" w:eastAsia="ＭＳ Ｐゴシック"/>
                          <w:color w:val="000000" w:themeColor="text1"/>
                          <w:sz w:val="18"/>
                        </w:rPr>
                        <w:t>国勢調査</w:t>
                      </w:r>
                      <w:r>
                        <w:rPr>
                          <w:rFonts w:hint="default" w:ascii="ＭＳ Ｐゴシック" w:hAnsi="ＭＳ Ｐゴシック" w:eastAsia="ＭＳ Ｐゴシック"/>
                          <w:color w:val="000000" w:themeColor="text1"/>
                          <w:sz w:val="18"/>
                        </w:rPr>
                        <w:t>・</w:t>
                      </w:r>
                      <w:r>
                        <w:rPr>
                          <w:rFonts w:hint="eastAsia" w:ascii="ＭＳ Ｐゴシック" w:hAnsi="ＭＳ Ｐゴシック" w:eastAsia="ＭＳ Ｐゴシック"/>
                          <w:color w:val="000000" w:themeColor="text1"/>
                          <w:sz w:val="18"/>
                        </w:rPr>
                        <w:t>人口</w:t>
                      </w:r>
                      <w:r>
                        <w:rPr>
                          <w:rFonts w:hint="default" w:ascii="ＭＳ Ｐゴシック" w:hAnsi="ＭＳ Ｐゴシック" w:eastAsia="ＭＳ Ｐゴシック"/>
                          <w:color w:val="000000" w:themeColor="text1"/>
                          <w:sz w:val="18"/>
                        </w:rPr>
                        <w:t>推計</w:t>
                      </w:r>
                      <w:r>
                        <w:rPr>
                          <w:rFonts w:hint="eastAsia" w:ascii="ＭＳ Ｐゴシック" w:hAnsi="ＭＳ Ｐゴシック" w:eastAsia="ＭＳ Ｐゴシック"/>
                          <w:color w:val="000000" w:themeColor="text1"/>
                          <w:sz w:val="18"/>
                        </w:rPr>
                        <w:t>（総務省）</w:t>
                      </w:r>
                    </w:p>
                  </w:txbxContent>
                </v:textbox>
                <v:imagedata o:title=""/>
                <w10:wrap type="none" anchorx="text" anchory="text"/>
              </v:rect>
            </w:pict>
          </mc:Fallback>
        </mc:AlternateContent>
      </w:r>
      <w:r>
        <w:rPr>
          <w:rFonts w:hint="default"/>
          <w:color w:val="auto"/>
          <w:highlight w:val="none"/>
        </w:rPr>
        <mc:AlternateContent>
          <mc:Choice Requires="wps">
            <w:drawing>
              <wp:anchor distT="0" distB="0" distL="114300" distR="114300" simplePos="0" relativeHeight="40" behindDoc="0" locked="0" layoutInCell="1" hidden="0" allowOverlap="1">
                <wp:simplePos x="0" y="0"/>
                <wp:positionH relativeFrom="column">
                  <wp:posOffset>375920</wp:posOffset>
                </wp:positionH>
                <wp:positionV relativeFrom="paragraph">
                  <wp:posOffset>42545</wp:posOffset>
                </wp:positionV>
                <wp:extent cx="3096260" cy="0"/>
                <wp:effectExtent l="635" t="36195" r="29210" b="46355"/>
                <wp:wrapNone/>
                <wp:docPr id="1032" name="直線矢印コネクタ 19"/>
                <a:graphic xmlns:a="http://schemas.openxmlformats.org/drawingml/2006/main">
                  <a:graphicData uri="http://schemas.microsoft.com/office/word/2010/wordprocessingShape">
                    <wps:wsp>
                      <wps:cNvPr id="1032" name="直線矢印コネクタ 19"/>
                      <wps:cNvCnPr/>
                      <wps:spPr>
                        <a:xfrm>
                          <a:off x="0" y="0"/>
                          <a:ext cx="3096260" cy="0"/>
                        </a:xfrm>
                        <a:prstGeom prst="straightConnector1">
                          <a:avLst/>
                        </a:prstGeom>
                        <a:noFill/>
                        <a:ln w="6350">
                          <a:solidFill>
                            <a:schemeClr val="tx1"/>
                          </a:solidFill>
                          <a:miter lim="800000"/>
                          <a:headEnd type="triangle" w="med" len="med"/>
                          <a:tailEnd type="triangle" w="med" len="med"/>
                        </a:ln>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9" style="mso-wrap-distance-right:9pt;mso-wrap-distance-bottom:0pt;margin-top:3.35pt;mso-position-vertical-relative:text;mso-position-horizontal-relative:text;position:absolute;height:0pt;mso-wrap-distance-top:0pt;width:243.8pt;mso-wrap-distance-left:9pt;margin-left:29.6pt;z-index:40;" o:spid="_x0000_s1032" o:allowincell="t" o:allowoverlap="t" filled="f" stroked="t" strokecolor="#000000 [3213]" strokeweight="0.5pt" o:spt="32" type="#_x0000_t32">
                <v:fill/>
                <v:stroke miterlimit="8" filltype="solid" startarrow="block" startarrowwidth="medium" startarrowlength="medium" endarrow="block" endarrowwidth="medium" endarrowlength="medium"/>
                <v:imagedata o:title=""/>
                <w10:wrap type="none" anchorx="text" anchory="text"/>
              </v:shape>
            </w:pict>
          </mc:Fallback>
        </mc:AlternateContent>
      </w:r>
      <w:r>
        <w:rPr>
          <w:rFonts w:hint="default"/>
          <w:color w:val="auto"/>
          <w:highlight w:val="none"/>
        </w:rPr>
        <mc:AlternateContent>
          <mc:Choice Requires="wps">
            <w:drawing>
              <wp:anchor distT="0" distB="0" distL="114300" distR="114300" simplePos="0" relativeHeight="41" behindDoc="0" locked="0" layoutInCell="1" hidden="0" allowOverlap="1">
                <wp:simplePos x="0" y="0"/>
                <wp:positionH relativeFrom="column">
                  <wp:posOffset>3538220</wp:posOffset>
                </wp:positionH>
                <wp:positionV relativeFrom="paragraph">
                  <wp:posOffset>33020</wp:posOffset>
                </wp:positionV>
                <wp:extent cx="2124075" cy="0"/>
                <wp:effectExtent l="635" t="36195" r="29210" b="46355"/>
                <wp:wrapNone/>
                <wp:docPr id="1033" name="直線矢印コネクタ 18"/>
                <a:graphic xmlns:a="http://schemas.openxmlformats.org/drawingml/2006/main">
                  <a:graphicData uri="http://schemas.microsoft.com/office/word/2010/wordprocessingShape">
                    <wps:wsp>
                      <wps:cNvPr id="1033" name="直線矢印コネクタ 18"/>
                      <wps:cNvCnPr/>
                      <wps:spPr>
                        <a:xfrm>
                          <a:off x="0" y="0"/>
                          <a:ext cx="2124075" cy="0"/>
                        </a:xfrm>
                        <a:prstGeom prst="straightConnector1">
                          <a:avLst/>
                        </a:prstGeom>
                        <a:noFill/>
                        <a:ln w="6350">
                          <a:solidFill>
                            <a:schemeClr val="tx1"/>
                          </a:solidFill>
                          <a:miter lim="800000"/>
                          <a:headEnd type="triangle" w="med" len="med"/>
                          <a:tailEnd type="triangle" w="med" len="med"/>
                        </a:ln>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8" style="mso-wrap-distance-right:9pt;mso-wrap-distance-bottom:0pt;margin-top:2.6pt;mso-position-vertical-relative:text;mso-position-horizontal-relative:text;position:absolute;height:0pt;mso-wrap-distance-top:0pt;width:167.25pt;mso-wrap-distance-left:9pt;margin-left:278.60000000000002pt;z-index:41;" o:spid="_x0000_s1033" o:allowincell="t" o:allowoverlap="t" filled="f" stroked="t" strokecolor="#000000 [3213]" strokeweight="0.5pt" o:spt="32" type="#_x0000_t32">
                <v:fill/>
                <v:stroke miterlimit="8" filltype="solid" startarrow="block" startarrowwidth="medium" startarrowlength="medium" endarrow="block" endarrowwidth="medium" endarrowlength="medium"/>
                <v:imagedata o:title=""/>
                <w10:wrap type="none" anchorx="text" anchory="text"/>
              </v:shape>
            </w:pict>
          </mc:Fallback>
        </mc:AlternateContent>
      </w:r>
    </w:p>
    <w:p>
      <w:pPr>
        <w:pStyle w:val="0"/>
        <w:spacing w:before="185" w:beforeLines="50" w:beforeAutospacing="0" w:line="300" w:lineRule="exact"/>
        <w:jc w:val="right"/>
        <w:rPr>
          <w:rFonts w:hint="default"/>
          <w:color w:val="auto"/>
          <w:w w:val="90"/>
          <w:sz w:val="18"/>
          <w:highlight w:val="none"/>
        </w:rPr>
      </w:pPr>
      <w:r>
        <w:rPr>
          <w:rFonts w:hint="eastAsia"/>
          <w:color w:val="auto"/>
          <w:sz w:val="18"/>
          <w:highlight w:val="none"/>
        </w:rPr>
        <w:t>資料：</w:t>
      </w:r>
      <w:r>
        <w:rPr>
          <w:rFonts w:hint="eastAsia"/>
          <w:color w:val="auto"/>
          <w:w w:val="90"/>
          <w:sz w:val="18"/>
          <w:highlight w:val="none"/>
        </w:rPr>
        <w:t>令和２年国勢調査（年齢不詳を按分）・平成</w:t>
      </w:r>
      <w:r>
        <w:rPr>
          <w:rFonts w:hint="eastAsia"/>
          <w:color w:val="auto"/>
          <w:w w:val="90"/>
          <w:sz w:val="18"/>
          <w:highlight w:val="none"/>
        </w:rPr>
        <w:t>29</w:t>
      </w:r>
      <w:r>
        <w:rPr>
          <w:rFonts w:hint="eastAsia"/>
          <w:color w:val="auto"/>
          <w:w w:val="90"/>
          <w:sz w:val="18"/>
          <w:highlight w:val="none"/>
        </w:rPr>
        <w:t>～令和元年・令和３・４年人口推計（各年</w:t>
      </w:r>
      <w:r>
        <w:rPr>
          <w:rFonts w:hint="eastAsia"/>
          <w:color w:val="auto"/>
          <w:w w:val="90"/>
          <w:sz w:val="18"/>
          <w:highlight w:val="none"/>
        </w:rPr>
        <w:t>10</w:t>
      </w:r>
      <w:r>
        <w:rPr>
          <w:rFonts w:hint="eastAsia"/>
          <w:color w:val="auto"/>
          <w:w w:val="90"/>
          <w:sz w:val="18"/>
          <w:highlight w:val="none"/>
        </w:rPr>
        <w:t>月１日）</w:t>
      </w:r>
    </w:p>
    <w:p>
      <w:pPr>
        <w:pStyle w:val="0"/>
        <w:spacing w:line="300" w:lineRule="exact"/>
        <w:jc w:val="right"/>
        <w:rPr>
          <w:rFonts w:hint="default"/>
          <w:color w:val="auto"/>
          <w:sz w:val="18"/>
          <w:highlight w:val="none"/>
        </w:rPr>
      </w:pPr>
      <w:r>
        <w:rPr>
          <w:rFonts w:hint="eastAsia"/>
          <w:color w:val="auto"/>
          <w:sz w:val="18"/>
          <w:highlight w:val="none"/>
        </w:rPr>
        <w:t>令和７年～国立社会保障・人口問題研究所推計値</w:t>
      </w:r>
    </w:p>
    <w:p>
      <w:pPr>
        <w:pStyle w:val="0"/>
        <w:widowControl w:val="1"/>
        <w:jc w:val="left"/>
        <w:rPr>
          <w:rFonts w:hint="default" w:ascii="HG丸ｺﾞｼｯｸM-PRO" w:hAnsi="HG丸ｺﾞｼｯｸM-PRO" w:eastAsia="HG丸ｺﾞｼｯｸM-PRO"/>
          <w:color w:val="auto"/>
          <w:highlight w:val="none"/>
        </w:rPr>
      </w:pPr>
      <w:r>
        <w:rPr>
          <w:rFonts w:hint="default" w:ascii="HG丸ｺﾞｼｯｸM-PRO" w:hAnsi="HG丸ｺﾞｼｯｸM-PRO" w:eastAsia="HG丸ｺﾞｼｯｸM-PRO"/>
          <w:color w:val="auto"/>
          <w:highlight w:val="none"/>
        </w:rPr>
        <w:br w:type="page"/>
      </w:r>
    </w:p>
    <w:p>
      <w:pPr>
        <w:pStyle w:val="0"/>
        <w:keepNext w:val="1"/>
        <w:spacing w:after="74" w:afterLines="20" w:afterAutospacing="0" w:line="440" w:lineRule="exact"/>
        <w:ind w:left="220" w:leftChars="100"/>
        <w:outlineLvl w:val="0"/>
        <w:rPr>
          <w:rFonts w:hint="default" w:ascii="BIZ UDPゴシック" w:hAnsi="BIZ UDPゴシック" w:eastAsia="BIZ UDPゴシック"/>
          <w:b w:val="1"/>
          <w:color w:val="auto"/>
          <w:sz w:val="28"/>
          <w:highlight w:val="none"/>
        </w:rPr>
      </w:pPr>
      <w:bookmarkStart w:id="25" w:name="_Toc150813501"/>
      <w:bookmarkStart w:id="26" w:name="_Toc152155812"/>
      <w:bookmarkStart w:id="27" w:name="_Toc152160615"/>
      <w:r>
        <w:rPr>
          <w:rFonts w:hint="eastAsia" w:ascii="BIZ UDPゴシック" w:hAnsi="BIZ UDPゴシック" w:eastAsia="BIZ UDPゴシック"/>
          <w:b w:val="1"/>
          <w:color w:val="auto"/>
          <w:sz w:val="28"/>
          <w:highlight w:val="none"/>
        </w:rPr>
        <w:t>（２）廿日市市人口の推移と推計</w:t>
      </w:r>
      <w:bookmarkEnd w:id="25"/>
      <w:bookmarkEnd w:id="26"/>
      <w:bookmarkEnd w:id="27"/>
    </w:p>
    <w:p>
      <w:pPr>
        <w:pStyle w:val="46"/>
        <w:rPr>
          <w:rFonts w:hint="default"/>
          <w:color w:val="auto"/>
          <w:highlight w:val="none"/>
        </w:rPr>
      </w:pPr>
      <w:r>
        <w:rPr>
          <w:rFonts w:hint="eastAsia"/>
          <w:color w:val="auto"/>
          <w:highlight w:val="none"/>
        </w:rPr>
        <w:t>本市の総人口も全国と同様、減少傾向にありますが、高齢者の占める割合は上昇していくものと見込んでいます。</w:t>
      </w:r>
    </w:p>
    <w:p>
      <w:pPr>
        <w:pStyle w:val="46"/>
        <w:rPr>
          <w:rFonts w:hint="default"/>
          <w:color w:val="auto"/>
          <w:highlight w:val="none"/>
        </w:rPr>
      </w:pPr>
      <w:r>
        <w:rPr>
          <w:rFonts w:hint="eastAsia"/>
          <w:color w:val="auto"/>
          <w:highlight w:val="none"/>
        </w:rPr>
        <w:t>特に</w:t>
      </w:r>
      <w:r>
        <w:rPr>
          <w:rFonts w:hint="eastAsia"/>
          <w:color w:val="auto"/>
          <w:highlight w:val="none"/>
        </w:rPr>
        <w:t>75</w:t>
      </w:r>
      <w:r>
        <w:rPr>
          <w:rFonts w:hint="eastAsia"/>
          <w:color w:val="auto"/>
          <w:highlight w:val="none"/>
        </w:rPr>
        <w:t>歳以上の後期高齢者の伸びが大きく、令和４（</w:t>
      </w:r>
      <w:r>
        <w:rPr>
          <w:rFonts w:hint="eastAsia"/>
          <w:color w:val="auto"/>
          <w:highlight w:val="none"/>
        </w:rPr>
        <w:t>2022</w:t>
      </w:r>
      <w:r>
        <w:rPr>
          <w:rFonts w:hint="eastAsia"/>
          <w:color w:val="auto"/>
          <w:highlight w:val="none"/>
        </w:rPr>
        <w:t>）年に</w:t>
      </w:r>
      <w:r>
        <w:rPr>
          <w:rFonts w:hint="eastAsia"/>
          <w:color w:val="auto"/>
          <w:highlight w:val="none"/>
        </w:rPr>
        <w:t>75</w:t>
      </w:r>
      <w:r>
        <w:rPr>
          <w:rFonts w:hint="eastAsia"/>
          <w:color w:val="auto"/>
          <w:highlight w:val="none"/>
        </w:rPr>
        <w:t>歳以上人口の割合が</w:t>
      </w:r>
      <w:r>
        <w:rPr>
          <w:rFonts w:hint="eastAsia"/>
          <w:color w:val="auto"/>
          <w:highlight w:val="none"/>
        </w:rPr>
        <w:t>65</w:t>
      </w:r>
      <w:r>
        <w:rPr>
          <w:rFonts w:hint="eastAsia"/>
          <w:color w:val="auto"/>
          <w:highlight w:val="none"/>
        </w:rPr>
        <w:t>～</w:t>
      </w:r>
      <w:r>
        <w:rPr>
          <w:rFonts w:hint="eastAsia"/>
          <w:color w:val="auto"/>
          <w:highlight w:val="none"/>
        </w:rPr>
        <w:t>74</w:t>
      </w:r>
      <w:r>
        <w:rPr>
          <w:rFonts w:hint="eastAsia"/>
          <w:color w:val="auto"/>
          <w:highlight w:val="none"/>
        </w:rPr>
        <w:t>歳人口の割合を上回り、令和</w:t>
      </w:r>
      <w:r>
        <w:rPr>
          <w:rFonts w:hint="eastAsia"/>
          <w:color w:val="auto"/>
          <w:highlight w:val="none"/>
        </w:rPr>
        <w:t>12</w:t>
      </w:r>
      <w:r>
        <w:rPr>
          <w:rFonts w:hint="eastAsia"/>
          <w:color w:val="auto"/>
          <w:highlight w:val="none"/>
        </w:rPr>
        <w:t>（</w:t>
      </w:r>
      <w:r>
        <w:rPr>
          <w:rFonts w:hint="eastAsia"/>
          <w:color w:val="auto"/>
          <w:highlight w:val="none"/>
        </w:rPr>
        <w:t>2030</w:t>
      </w:r>
      <w:r>
        <w:rPr>
          <w:rFonts w:hint="eastAsia"/>
          <w:color w:val="auto"/>
          <w:highlight w:val="none"/>
        </w:rPr>
        <w:t>）年には後期高齢者割合が２割を超えると見込まれます。</w:t>
      </w:r>
    </w:p>
    <w:p>
      <w:pPr>
        <w:pStyle w:val="0"/>
        <w:spacing w:before="185" w:beforeLines="50" w:beforeAutospacing="0" w:line="400" w:lineRule="exact"/>
        <w:ind w:left="1701" w:leftChars="773"/>
        <w:jc w:val="left"/>
        <w:rPr>
          <w:rFonts w:hint="default" w:ascii="BIZ UDPゴシック" w:hAnsi="BIZ UDPゴシック" w:eastAsia="BIZ UDPゴシック"/>
          <w:color w:val="auto"/>
          <w:highlight w:val="none"/>
        </w:rPr>
      </w:pPr>
      <w:r>
        <w:rPr>
          <w:rFonts w:hint="eastAsia"/>
          <w:color w:val="auto"/>
          <w:highlight w:val="none"/>
        </w:rPr>
        <mc:AlternateContent>
          <mc:Choice Requires="wpg">
            <w:drawing>
              <wp:anchor distT="0" distB="0" distL="114300" distR="114300" simplePos="0" relativeHeight="132" behindDoc="0" locked="0" layoutInCell="1" hidden="0" allowOverlap="1">
                <wp:simplePos x="0" y="0"/>
                <wp:positionH relativeFrom="column">
                  <wp:posOffset>53975</wp:posOffset>
                </wp:positionH>
                <wp:positionV relativeFrom="paragraph">
                  <wp:posOffset>90805</wp:posOffset>
                </wp:positionV>
                <wp:extent cx="5760085" cy="3502025"/>
                <wp:effectExtent l="0" t="0" r="0" b="10160"/>
                <wp:wrapNone/>
                <wp:docPr id="1034" name="オブジェクト 0"/>
                <a:graphic xmlns:a="http://schemas.openxmlformats.org/drawingml/2006/main">
                  <a:graphicData uri="http://schemas.microsoft.com/office/word/2010/wordprocessingGroup">
                    <wpg:wgp>
                      <wpg:cNvGrpSpPr/>
                      <wpg:grpSpPr>
                        <a:xfrm>
                          <a:off x="0" y="0"/>
                          <a:ext cx="5760085" cy="3502025"/>
                          <a:chOff x="0" y="0"/>
                          <a:chExt cx="5760085" cy="3502467"/>
                        </a:xfrm>
                      </wpg:grpSpPr>
                      <pic:pic xmlns:pic="http://schemas.openxmlformats.org/drawingml/2006/picture">
                        <pic:nvPicPr>
                          <pic:cNvPr id="1035" name="図 1"/>
                          <pic:cNvPicPr>
                            <a:picLocks noChangeAspect="1"/>
                          </pic:cNvPicPr>
                        </pic:nvPicPr>
                        <pic:blipFill>
                          <a:blip r:embed="rId9"/>
                          <a:stretch>
                            <a:fillRect/>
                          </a:stretch>
                        </pic:blipFill>
                        <pic:spPr>
                          <a:xfrm>
                            <a:off x="0" y="0"/>
                            <a:ext cx="5760085" cy="3401695"/>
                          </a:xfrm>
                          <a:prstGeom prst="rect">
                            <a:avLst/>
                          </a:prstGeom>
                          <a:noFill/>
                          <a:ln>
                            <a:noFill/>
                          </a:ln>
                        </pic:spPr>
                      </pic:pic>
                      <wps:wsp>
                        <wps:cNvPr id="1036" name="直線コネクタ 14"/>
                        <wps:cNvSpPr/>
                        <wps:spPr>
                          <a:xfrm>
                            <a:off x="3379304" y="803082"/>
                            <a:ext cx="0" cy="2699385"/>
                          </a:xfrm>
                          <a:prstGeom prst="line">
                            <a:avLst/>
                          </a:prstGeom>
                          <a:noFill/>
                          <a:ln w="6350" cap="flat" cmpd="sng" algn="ctr">
                            <a:solidFill>
                              <a:sysClr val="windowText" lastClr="000000"/>
                            </a:solidFill>
                            <a:prstDash val="dash"/>
                          </a:ln>
                          <a:effectLst/>
                        </wps:spPr>
                        <wps:bodyPr/>
                      </wps:wsp>
                    </wpg:wgp>
                  </a:graphicData>
                </a:graphic>
              </wp:anchor>
            </w:drawing>
          </mc:Choice>
          <mc:Fallback>
            <w:pict>
              <v:group id="オブジェクト 0" style="mso-wrap-distance-right:9pt;mso-wrap-distance-bottom:0pt;margin-top:7.15pt;mso-position-vertical-relative:text;mso-position-horizontal-relative:text;position:absolute;height:275.75pt;mso-wrap-distance-top:0pt;width:453.55pt;mso-wrap-distance-left:9pt;margin-left:4.25pt;z-index:132;" coordsize="5760085,3502467" coordorigin="0,0" o:spid="_x0000_s1034"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style="height:3401695;width:5760085;top:0;left:0;position:absolute;" o:spid="_x0000_s1035" filled="f" stroked="f" o:spt="75" type="#_x0000_t75">
                  <v:fill/>
                  <v:imagedata o:title="" r:id="rId9"/>
                  <w10:wrap type="none" anchorx="text" anchory="text"/>
                </v:shape>
                <v:line id="直線コネクタ 14" style="height:2699385;width:0;top:803082;left:3379304;position:absolute;" o:spid="_x0000_s1036" filled="f" stroked="t" strokecolor="#000000" strokeweight="0.5pt" o:spt="20" from="3379304,803082" to="3379304,3502467">
                  <v:fill/>
                  <v:stroke linestyle="single" endcap="flat" dashstyle="dash" filltype="solid"/>
                  <v:textbox style="layout-flow:horizontal;"/>
                  <v:imagedata o:title=""/>
                  <w10:wrap type="none" anchorx="text" anchory="text"/>
                </v:line>
                <w10:wrap type="none" anchorx="text" anchory="text"/>
              </v:group>
            </w:pict>
          </mc:Fallback>
        </mc:AlternateContent>
      </w:r>
      <w:r>
        <w:rPr>
          <w:rFonts w:hint="eastAsia" w:ascii="BIZ UDPゴシック" w:hAnsi="BIZ UDPゴシック" w:eastAsia="BIZ UDPゴシック"/>
          <w:color w:val="auto"/>
          <w:sz w:val="21"/>
          <w:highlight w:val="none"/>
        </w:rPr>
        <w:t>図表　人口と高齢化率の推移・推計（廿日市市）</w:t>
      </w: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r>
        <w:rPr>
          <w:rFonts w:hint="eastAsia"/>
          <w:color w:val="auto"/>
          <w:highlight w:val="none"/>
        </w:rPr>
        <mc:AlternateContent>
          <mc:Choice Requires="wps">
            <w:drawing>
              <wp:anchor distT="0" distB="0" distL="114300" distR="114300" simplePos="0" relativeHeight="138" behindDoc="1" locked="0" layoutInCell="1" hidden="0" allowOverlap="1">
                <wp:simplePos x="0" y="0"/>
                <wp:positionH relativeFrom="column">
                  <wp:posOffset>418465</wp:posOffset>
                </wp:positionH>
                <wp:positionV relativeFrom="paragraph">
                  <wp:posOffset>84455</wp:posOffset>
                </wp:positionV>
                <wp:extent cx="2987675" cy="0"/>
                <wp:effectExtent l="635" t="36195" r="29210" b="46355"/>
                <wp:wrapNone/>
                <wp:docPr id="1037" name="直線矢印コネクタ 16"/>
                <a:graphic xmlns:a="http://schemas.openxmlformats.org/drawingml/2006/main">
                  <a:graphicData uri="http://schemas.microsoft.com/office/word/2010/wordprocessingShape">
                    <wps:wsp>
                      <wps:cNvPr id="1037" name="直線矢印コネクタ 16"/>
                      <wps:cNvCnPr/>
                      <wps:spPr>
                        <a:xfrm>
                          <a:off x="0" y="0"/>
                          <a:ext cx="2987675" cy="0"/>
                        </a:xfrm>
                        <a:prstGeom prst="straightConnector1">
                          <a:avLst/>
                        </a:prstGeom>
                        <a:noFill/>
                        <a:ln w="6350" cap="flat" cmpd="sng" algn="ctr">
                          <a:solidFill>
                            <a:sysClr val="windowText" lastClr="000000"/>
                          </a:solidFill>
                          <a:prstDash val="solid"/>
                          <a:headEnd type="triangle"/>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6" style="mso-wrap-distance-right:9pt;mso-wrap-distance-bottom:0pt;margin-top:6.65pt;mso-position-vertical-relative:text;mso-position-horizontal-relative:text;position:absolute;height:0pt;mso-wrap-distance-top:0pt;width:235.25pt;mso-wrap-distance-left:9pt;margin-left:32.950000000000003pt;z-index:-503316342;" o:spid="_x0000_s1037" o:allowincell="t" o:allowoverlap="t" filled="f" stroked="t" strokecolor="#000000" strokeweight="0.5pt" o:spt="32" type="#_x0000_t32">
                <v:fill/>
                <v:stroke linestyle="single" endcap="flat" dashstyle="solid" filltype="solid" startarrow="block" endarrow="block"/>
                <v:imagedata o:title=""/>
                <w10:wrap type="none" anchorx="text" anchory="text"/>
              </v:shape>
            </w:pict>
          </mc:Fallback>
        </mc:AlternateContent>
      </w:r>
      <w:r>
        <w:rPr>
          <w:rFonts w:hint="eastAsia"/>
          <w:color w:val="auto"/>
          <w:highlight w:val="none"/>
        </w:rPr>
        <mc:AlternateContent>
          <mc:Choice Requires="wps">
            <w:drawing>
              <wp:anchor distT="0" distB="0" distL="114300" distR="114300" simplePos="0" relativeHeight="136" behindDoc="1" locked="0" layoutInCell="1" hidden="0" allowOverlap="1">
                <wp:simplePos x="0" y="0"/>
                <wp:positionH relativeFrom="column">
                  <wp:posOffset>1156970</wp:posOffset>
                </wp:positionH>
                <wp:positionV relativeFrom="paragraph">
                  <wp:posOffset>132715</wp:posOffset>
                </wp:positionV>
                <wp:extent cx="1524000" cy="179705"/>
                <wp:effectExtent l="0" t="0" r="635" b="635"/>
                <wp:wrapNone/>
                <wp:docPr id="1038" name="正方形/長方形 18"/>
                <a:graphic xmlns:a="http://schemas.openxmlformats.org/drawingml/2006/main">
                  <a:graphicData uri="http://schemas.microsoft.com/office/word/2010/wordprocessingShape">
                    <wps:wsp>
                      <wps:cNvPr id="1038" name="正方形/長方形 18"/>
                      <wps:cNvSpPr/>
                      <wps:spPr>
                        <a:xfrm>
                          <a:off x="0" y="0"/>
                          <a:ext cx="1524000" cy="179705"/>
                        </a:xfrm>
                        <a:prstGeom prst="rect">
                          <a:avLst/>
                        </a:prstGeom>
                        <a:noFill/>
                        <a:ln w="25400" cap="flat" cmpd="sng" algn="ctr">
                          <a:noFill/>
                          <a:prstDash val="solid"/>
                        </a:ln>
                        <a:effectLst/>
                      </wps:spPr>
                      <wps:txbx>
                        <w:txbxContent>
                          <w:p>
                            <w:pPr>
                              <w:pStyle w:val="0"/>
                              <w:spacing w:line="240" w:lineRule="exact"/>
                              <w:jc w:val="center"/>
                              <w:rPr>
                                <w:rFonts w:hint="default" w:ascii="ＭＳ Ｐゴシック" w:hAnsi="ＭＳ Ｐゴシック" w:eastAsia="ＭＳ Ｐゴシック"/>
                                <w:color w:val="000000" w:themeColor="text1"/>
                                <w:sz w:val="18"/>
                              </w:rPr>
                            </w:pPr>
                            <w:r>
                              <w:rPr>
                                <w:rFonts w:hint="eastAsia" w:ascii="ＭＳ Ｐゴシック" w:hAnsi="ＭＳ Ｐゴシック" w:eastAsia="ＭＳ Ｐゴシック"/>
                                <w:color w:val="000000" w:themeColor="text1"/>
                                <w:sz w:val="18"/>
                              </w:rPr>
                              <w:t>実績</w:t>
                            </w:r>
                          </w:p>
                        </w:txbxContent>
                      </wps:txbx>
                      <wps:bodyPr rot="0" vertOverflow="overflow" horzOverflow="overflow" wrap="square" lIns="0" tIns="0" rIns="0" bIns="0" numCol="1" spcCol="0" rtlCol="0" fromWordArt="0" anchor="t" anchorCtr="0" forceAA="0" compatLnSpc="1"/>
                    </wps:wsp>
                  </a:graphicData>
                </a:graphic>
              </wp:anchor>
            </w:drawing>
          </mc:Choice>
          <mc:Fallback>
            <w:pict>
              <v:rect id="正方形/長方形 18" style="mso-wrap-distance-right:9pt;mso-wrap-distance-bottom:0pt;margin-top:10.45pt;mso-position-vertical-relative:text;mso-position-horizontal-relative:text;v-text-anchor:top;position:absolute;height:14.15pt;mso-wrap-distance-top:0pt;width:120pt;mso-wrap-distance-left:9pt;margin-left:91.1pt;z-index:-503316344;" o:spid="_x0000_s1038" o:allowincell="t" o:allowoverlap="t" filled="f" stroked="f" strokeweight="2pt" o:spt="1">
                <v:fill/>
                <v:stroke linestyle="single" endcap="flat" dashstyle="solid"/>
                <v:textbox style="layout-flow:horizontal;" inset="0mm,0mm,0mm,0mm">
                  <w:txbxContent>
                    <w:p>
                      <w:pPr>
                        <w:pStyle w:val="0"/>
                        <w:spacing w:line="240" w:lineRule="exact"/>
                        <w:jc w:val="center"/>
                        <w:rPr>
                          <w:rFonts w:hint="default" w:ascii="ＭＳ Ｐゴシック" w:hAnsi="ＭＳ Ｐゴシック" w:eastAsia="ＭＳ Ｐゴシック"/>
                          <w:color w:val="000000" w:themeColor="text1"/>
                          <w:sz w:val="18"/>
                        </w:rPr>
                      </w:pPr>
                      <w:r>
                        <w:rPr>
                          <w:rFonts w:hint="eastAsia" w:ascii="ＭＳ Ｐゴシック" w:hAnsi="ＭＳ Ｐゴシック" w:eastAsia="ＭＳ Ｐゴシック"/>
                          <w:color w:val="000000" w:themeColor="text1"/>
                          <w:sz w:val="18"/>
                        </w:rPr>
                        <w:t>実績</w:t>
                      </w:r>
                    </w:p>
                  </w:txbxContent>
                </v:textbox>
                <v:imagedata o:title=""/>
                <w10:wrap type="none" anchorx="text" anchory="text"/>
              </v:rect>
            </w:pict>
          </mc:Fallback>
        </mc:AlternateContent>
      </w:r>
      <w:r>
        <w:rPr>
          <w:rFonts w:hint="eastAsia"/>
          <w:color w:val="auto"/>
          <w:highlight w:val="none"/>
        </w:rPr>
        <mc:AlternateContent>
          <mc:Choice Requires="wps">
            <w:drawing>
              <wp:anchor distT="0" distB="0" distL="114300" distR="114300" simplePos="0" relativeHeight="137" behindDoc="1" locked="0" layoutInCell="1" hidden="0" allowOverlap="1">
                <wp:simplePos x="0" y="0"/>
                <wp:positionH relativeFrom="column">
                  <wp:posOffset>3433445</wp:posOffset>
                </wp:positionH>
                <wp:positionV relativeFrom="paragraph">
                  <wp:posOffset>85090</wp:posOffset>
                </wp:positionV>
                <wp:extent cx="1979930" cy="0"/>
                <wp:effectExtent l="635" t="36195" r="29210" b="46355"/>
                <wp:wrapNone/>
                <wp:docPr id="1039" name="直線矢印コネクタ 17"/>
                <a:graphic xmlns:a="http://schemas.openxmlformats.org/drawingml/2006/main">
                  <a:graphicData uri="http://schemas.microsoft.com/office/word/2010/wordprocessingShape">
                    <wps:wsp>
                      <wps:cNvPr id="1039" name="直線矢印コネクタ 17"/>
                      <wps:cNvCnPr/>
                      <wps:spPr>
                        <a:xfrm>
                          <a:off x="0" y="0"/>
                          <a:ext cx="1979930" cy="0"/>
                        </a:xfrm>
                        <a:prstGeom prst="straightConnector1">
                          <a:avLst/>
                        </a:prstGeom>
                        <a:noFill/>
                        <a:ln w="6350" cap="flat" cmpd="sng" algn="ctr">
                          <a:solidFill>
                            <a:sysClr val="windowText" lastClr="000000"/>
                          </a:solidFill>
                          <a:prstDash val="solid"/>
                          <a:headEnd type="triangle"/>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7" style="mso-wrap-distance-right:9pt;mso-wrap-distance-bottom:0pt;margin-top:6.7pt;mso-position-vertical-relative:text;mso-position-horizontal-relative:text;position:absolute;height:0pt;mso-wrap-distance-top:0pt;width:155.9pt;mso-wrap-distance-left:9pt;margin-left:270.35000000000002pt;z-index:-503316343;" o:spid="_x0000_s1039" o:allowincell="t" o:allowoverlap="t" filled="f" stroked="t" strokecolor="#000000" strokeweight="0.5pt" o:spt="32" type="#_x0000_t32">
                <v:fill/>
                <v:stroke linestyle="single" endcap="flat" dashstyle="solid" filltype="solid" startarrow="block" endarrow="block"/>
                <v:imagedata o:title=""/>
                <w10:wrap type="none" anchorx="text" anchory="text"/>
              </v:shape>
            </w:pict>
          </mc:Fallback>
        </mc:AlternateContent>
      </w:r>
      <w:r>
        <w:rPr>
          <w:rFonts w:hint="eastAsia"/>
          <w:color w:val="auto"/>
          <w:highlight w:val="none"/>
        </w:rPr>
        <mc:AlternateContent>
          <mc:Choice Requires="wps">
            <w:drawing>
              <wp:anchor distT="0" distB="0" distL="114300" distR="114300" simplePos="0" relativeHeight="135" behindDoc="1" locked="0" layoutInCell="1" hidden="0" allowOverlap="1">
                <wp:simplePos x="0" y="0"/>
                <wp:positionH relativeFrom="column">
                  <wp:posOffset>3486785</wp:posOffset>
                </wp:positionH>
                <wp:positionV relativeFrom="paragraph">
                  <wp:posOffset>132080</wp:posOffset>
                </wp:positionV>
                <wp:extent cx="1844040" cy="190500"/>
                <wp:effectExtent l="0" t="0" r="635" b="635"/>
                <wp:wrapNone/>
                <wp:docPr id="1040" name="正方形/長方形 19"/>
                <a:graphic xmlns:a="http://schemas.openxmlformats.org/drawingml/2006/main">
                  <a:graphicData uri="http://schemas.microsoft.com/office/word/2010/wordprocessingShape">
                    <wps:wsp>
                      <wps:cNvPr id="1040" name="正方形/長方形 19"/>
                      <wps:cNvSpPr/>
                      <wps:spPr>
                        <a:xfrm>
                          <a:off x="0" y="0"/>
                          <a:ext cx="1844040" cy="190500"/>
                        </a:xfrm>
                        <a:prstGeom prst="rect">
                          <a:avLst/>
                        </a:prstGeom>
                        <a:noFill/>
                        <a:ln w="25400" cap="flat" cmpd="sng" algn="ctr">
                          <a:noFill/>
                          <a:prstDash val="solid"/>
                        </a:ln>
                        <a:effectLst/>
                      </wps:spPr>
                      <wps:txbx>
                        <w:txbxContent>
                          <w:p>
                            <w:pPr>
                              <w:pStyle w:val="0"/>
                              <w:spacing w:line="240" w:lineRule="exact"/>
                              <w:jc w:val="center"/>
                              <w:rPr>
                                <w:rFonts w:hint="default" w:ascii="ＭＳ Ｐゴシック" w:hAnsi="ＭＳ Ｐゴシック" w:eastAsia="ＭＳ Ｐゴシック"/>
                                <w:color w:val="000000" w:themeColor="text1"/>
                                <w:sz w:val="18"/>
                              </w:rPr>
                            </w:pPr>
                            <w:r>
                              <w:rPr>
                                <w:rFonts w:hint="eastAsia" w:ascii="ＭＳ Ｐゴシック" w:hAnsi="ＭＳ Ｐゴシック" w:eastAsia="ＭＳ Ｐゴシック"/>
                                <w:color w:val="000000" w:themeColor="text1"/>
                                <w:sz w:val="18"/>
                              </w:rPr>
                              <w:t>推計値</w:t>
                            </w:r>
                          </w:p>
                        </w:txbxContent>
                      </wps:txbx>
                      <wps:bodyPr rot="0" vertOverflow="overflow" horzOverflow="overflow" wrap="square" lIns="0" tIns="0" rIns="0" bIns="0" numCol="1" spcCol="0" rtlCol="0" fromWordArt="0" anchor="t" anchorCtr="0" forceAA="0" compatLnSpc="1"/>
                    </wps:wsp>
                  </a:graphicData>
                </a:graphic>
              </wp:anchor>
            </w:drawing>
          </mc:Choice>
          <mc:Fallback>
            <w:pict>
              <v:rect id="正方形/長方形 19" style="mso-wrap-distance-right:9pt;mso-wrap-distance-bottom:0pt;margin-top:10.4pt;mso-position-vertical-relative:text;mso-position-horizontal-relative:text;v-text-anchor:top;position:absolute;height:15pt;mso-wrap-distance-top:0pt;width:145.19pt;mso-wrap-distance-left:9pt;margin-left:274.55pt;z-index:-503316345;" o:spid="_x0000_s1040" o:allowincell="t" o:allowoverlap="t" filled="f" stroked="f" strokeweight="2pt" o:spt="1">
                <v:fill/>
                <v:stroke linestyle="single" endcap="flat" dashstyle="solid"/>
                <v:textbox style="layout-flow:horizontal;" inset="0mm,0mm,0mm,0mm">
                  <w:txbxContent>
                    <w:p>
                      <w:pPr>
                        <w:pStyle w:val="0"/>
                        <w:spacing w:line="240" w:lineRule="exact"/>
                        <w:jc w:val="center"/>
                        <w:rPr>
                          <w:rFonts w:hint="default" w:ascii="ＭＳ Ｐゴシック" w:hAnsi="ＭＳ Ｐゴシック" w:eastAsia="ＭＳ Ｐゴシック"/>
                          <w:color w:val="000000" w:themeColor="text1"/>
                          <w:sz w:val="18"/>
                        </w:rPr>
                      </w:pPr>
                      <w:r>
                        <w:rPr>
                          <w:rFonts w:hint="eastAsia" w:ascii="ＭＳ Ｐゴシック" w:hAnsi="ＭＳ Ｐゴシック" w:eastAsia="ＭＳ Ｐゴシック"/>
                          <w:color w:val="000000" w:themeColor="text1"/>
                          <w:sz w:val="18"/>
                        </w:rPr>
                        <w:t>推計値</w:t>
                      </w:r>
                    </w:p>
                  </w:txbxContent>
                </v:textbox>
                <v:imagedata o:title=""/>
                <w10:wrap type="none" anchorx="text" anchory="text"/>
              </v:rect>
            </w:pict>
          </mc:Fallback>
        </mc:AlternateContent>
      </w:r>
    </w:p>
    <w:p>
      <w:pPr>
        <w:pStyle w:val="0"/>
        <w:spacing w:line="360" w:lineRule="exact"/>
        <w:rPr>
          <w:rFonts w:hint="default"/>
          <w:color w:val="auto"/>
          <w:highlight w:val="none"/>
        </w:rPr>
      </w:pPr>
    </w:p>
    <w:p>
      <w:pPr>
        <w:pStyle w:val="41"/>
        <w:spacing w:after="185" w:afterLines="50" w:afterAutospacing="0" w:line="280" w:lineRule="exact"/>
        <w:ind w:left="1550" w:leftChars="500" w:hanging="450" w:hangingChars="250"/>
        <w:jc w:val="left"/>
        <w:rPr>
          <w:rFonts w:hint="default" w:ascii="BIZ UDPゴシック" w:hAnsi="BIZ UDPゴシック" w:eastAsia="BIZ UDPゴシック"/>
          <w:color w:val="auto"/>
          <w:sz w:val="18"/>
          <w:highlight w:val="none"/>
        </w:rPr>
      </w:pPr>
      <w:r>
        <w:rPr>
          <w:rFonts w:hint="eastAsia" w:ascii="BIZ UDPゴシック" w:hAnsi="BIZ UDPゴシック" w:eastAsia="BIZ UDPゴシック"/>
          <w:color w:val="auto"/>
          <w:sz w:val="18"/>
          <w:highlight w:val="none"/>
        </w:rPr>
        <w:t>資料：令和</w:t>
      </w:r>
      <w:r>
        <w:rPr>
          <w:rFonts w:hint="eastAsia" w:ascii="BIZ UDPゴシック" w:hAnsi="BIZ UDPゴシック" w:eastAsia="BIZ UDPゴシック"/>
          <w:color w:val="auto"/>
          <w:sz w:val="18"/>
          <w:highlight w:val="none"/>
        </w:rPr>
        <w:t>5</w:t>
      </w:r>
      <w:r>
        <w:rPr>
          <w:rFonts w:hint="eastAsia" w:ascii="BIZ UDPゴシック" w:hAnsi="BIZ UDPゴシック" w:eastAsia="BIZ UDPゴシック"/>
          <w:color w:val="auto"/>
          <w:sz w:val="18"/>
          <w:highlight w:val="none"/>
        </w:rPr>
        <w:t>年まで住民基本台帳人口・令和</w:t>
      </w:r>
      <w:r>
        <w:rPr>
          <w:rFonts w:hint="eastAsia" w:ascii="BIZ UDPゴシック" w:hAnsi="BIZ UDPゴシック" w:eastAsia="BIZ UDPゴシック"/>
          <w:color w:val="auto"/>
          <w:sz w:val="18"/>
          <w:highlight w:val="none"/>
        </w:rPr>
        <w:t>7</w:t>
      </w:r>
      <w:r>
        <w:rPr>
          <w:rFonts w:hint="eastAsia" w:ascii="BIZ UDPゴシック" w:hAnsi="BIZ UDPゴシック" w:eastAsia="BIZ UDPゴシック"/>
          <w:color w:val="auto"/>
          <w:sz w:val="18"/>
          <w:highlight w:val="none"/>
        </w:rPr>
        <w:t>年から第</w:t>
      </w:r>
      <w:r>
        <w:rPr>
          <w:rFonts w:hint="eastAsia" w:ascii="BIZ UDPゴシック" w:hAnsi="BIZ UDPゴシック" w:eastAsia="BIZ UDPゴシック"/>
          <w:color w:val="auto"/>
          <w:sz w:val="18"/>
          <w:highlight w:val="none"/>
        </w:rPr>
        <w:t>2</w:t>
      </w:r>
      <w:r>
        <w:rPr>
          <w:rFonts w:hint="eastAsia" w:ascii="BIZ UDPゴシック" w:hAnsi="BIZ UDPゴシック" w:eastAsia="BIZ UDPゴシック"/>
          <w:color w:val="auto"/>
          <w:sz w:val="18"/>
          <w:highlight w:val="none"/>
        </w:rPr>
        <w:t>期廿日市市まち・ひと・しごと創生総合戦略（令和</w:t>
      </w:r>
      <w:r>
        <w:rPr>
          <w:rFonts w:hint="eastAsia" w:ascii="BIZ UDPゴシック" w:hAnsi="BIZ UDPゴシック" w:eastAsia="BIZ UDPゴシック"/>
          <w:color w:val="auto"/>
          <w:sz w:val="18"/>
          <w:highlight w:val="none"/>
        </w:rPr>
        <w:t>5</w:t>
      </w:r>
      <w:r>
        <w:rPr>
          <w:rFonts w:hint="eastAsia" w:ascii="BIZ UDPゴシック" w:hAnsi="BIZ UDPゴシック" w:eastAsia="BIZ UDPゴシック"/>
          <w:color w:val="auto"/>
          <w:sz w:val="18"/>
          <w:highlight w:val="none"/>
        </w:rPr>
        <w:t>年</w:t>
      </w:r>
      <w:r>
        <w:rPr>
          <w:rFonts w:hint="eastAsia" w:ascii="BIZ UDPゴシック" w:hAnsi="BIZ UDPゴシック" w:eastAsia="BIZ UDPゴシック"/>
          <w:color w:val="auto"/>
          <w:sz w:val="18"/>
          <w:highlight w:val="none"/>
        </w:rPr>
        <w:t>3</w:t>
      </w:r>
      <w:r>
        <w:rPr>
          <w:rFonts w:hint="eastAsia" w:ascii="BIZ UDPゴシック" w:hAnsi="BIZ UDPゴシック" w:eastAsia="BIZ UDPゴシック"/>
          <w:color w:val="auto"/>
          <w:sz w:val="18"/>
          <w:highlight w:val="none"/>
        </w:rPr>
        <w:t>月改訂）を基とした推計人口</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21"/>
          <w:highlight w:val="none"/>
        </w:rPr>
        <mc:AlternateContent>
          <mc:Choice Requires="wpg">
            <w:drawing>
              <wp:anchor distT="0" distB="0" distL="114300" distR="114300" simplePos="0" relativeHeight="139" behindDoc="1" locked="0" layoutInCell="1" hidden="0" allowOverlap="1">
                <wp:simplePos x="0" y="0"/>
                <wp:positionH relativeFrom="column">
                  <wp:posOffset>-24130</wp:posOffset>
                </wp:positionH>
                <wp:positionV relativeFrom="paragraph">
                  <wp:posOffset>102235</wp:posOffset>
                </wp:positionV>
                <wp:extent cx="5760085" cy="2527935"/>
                <wp:effectExtent l="0" t="0" r="0" b="10160"/>
                <wp:wrapNone/>
                <wp:docPr id="1041" name="オブジェクト 0"/>
                <a:graphic xmlns:a="http://schemas.openxmlformats.org/drawingml/2006/main">
                  <a:graphicData uri="http://schemas.microsoft.com/office/word/2010/wordprocessingGroup">
                    <wpg:wgp>
                      <wpg:cNvGrpSpPr/>
                      <wpg:grpSpPr>
                        <a:xfrm>
                          <a:off x="0" y="0"/>
                          <a:ext cx="5760085" cy="2527935"/>
                          <a:chOff x="0" y="0"/>
                          <a:chExt cx="5760085" cy="2528015"/>
                        </a:xfrm>
                      </wpg:grpSpPr>
                      <pic:pic xmlns:pic="http://schemas.openxmlformats.org/drawingml/2006/picture">
                        <pic:nvPicPr>
                          <pic:cNvPr id="1042" name="図 1"/>
                          <pic:cNvPicPr>
                            <a:picLocks noChangeAspect="1"/>
                          </pic:cNvPicPr>
                        </pic:nvPicPr>
                        <pic:blipFill>
                          <a:blip r:embed="rId10"/>
                          <a:stretch>
                            <a:fillRect/>
                          </a:stretch>
                        </pic:blipFill>
                        <pic:spPr>
                          <a:xfrm>
                            <a:off x="0" y="0"/>
                            <a:ext cx="5760085" cy="2326005"/>
                          </a:xfrm>
                          <a:prstGeom prst="rect">
                            <a:avLst/>
                          </a:prstGeom>
                          <a:noFill/>
                          <a:ln>
                            <a:noFill/>
                          </a:ln>
                        </pic:spPr>
                      </pic:pic>
                      <wpg:grpSp>
                        <wpg:cNvGrpSpPr/>
                        <wpg:grpSpPr>
                          <a:xfrm>
                            <a:off x="451568" y="548640"/>
                            <a:ext cx="5212080" cy="1979375"/>
                            <a:chOff x="19049" y="724104"/>
                            <a:chExt cx="5212201" cy="1981872"/>
                          </a:xfrm>
                        </wpg:grpSpPr>
                        <wps:wsp>
                          <wps:cNvPr id="1044" name="直線コネクタ 28"/>
                          <wps:cNvSpPr/>
                          <wps:spPr>
                            <a:xfrm>
                              <a:off x="3114675" y="724104"/>
                              <a:ext cx="0" cy="1981872"/>
                            </a:xfrm>
                            <a:prstGeom prst="line">
                              <a:avLst/>
                            </a:prstGeom>
                            <a:noFill/>
                            <a:ln w="6350" cap="flat" cmpd="sng" algn="ctr">
                              <a:solidFill>
                                <a:sysClr val="windowText" lastClr="000000"/>
                              </a:solidFill>
                              <a:prstDash val="dash"/>
                            </a:ln>
                            <a:effectLst/>
                          </wps:spPr>
                          <wps:bodyPr/>
                        </wps:wsp>
                        <wps:wsp>
                          <wps:cNvPr id="1045" name="直線矢印コネクタ 29"/>
                          <wps:cNvCnPr/>
                          <wps:spPr>
                            <a:xfrm>
                              <a:off x="19049" y="2466873"/>
                              <a:ext cx="3060000" cy="0"/>
                            </a:xfrm>
                            <a:prstGeom prst="straightConnector1">
                              <a:avLst/>
                            </a:prstGeom>
                            <a:noFill/>
                            <a:ln w="6350" cap="flat" cmpd="sng" algn="ctr">
                              <a:solidFill>
                                <a:sysClr val="windowText" lastClr="000000"/>
                              </a:solidFill>
                              <a:prstDash val="solid"/>
                              <a:headEnd type="triangle"/>
                              <a:tailEnd type="triangle"/>
                            </a:ln>
                            <a:effectLst/>
                          </wps:spPr>
                          <wps:bodyPr/>
                        </wps:wsp>
                        <wps:wsp>
                          <wps:cNvPr id="1046" name="直線矢印コネクタ 31"/>
                          <wps:cNvCnPr/>
                          <wps:spPr>
                            <a:xfrm>
                              <a:off x="3143250" y="2457325"/>
                              <a:ext cx="2088000" cy="0"/>
                            </a:xfrm>
                            <a:prstGeom prst="straightConnector1">
                              <a:avLst/>
                            </a:prstGeom>
                            <a:noFill/>
                            <a:ln w="6350" cap="flat" cmpd="sng" algn="ctr">
                              <a:solidFill>
                                <a:sysClr val="windowText" lastClr="000000"/>
                              </a:solidFill>
                              <a:prstDash val="solid"/>
                              <a:headEnd type="triangle"/>
                              <a:tailEnd type="triangle"/>
                            </a:ln>
                            <a:effectLst/>
                          </wps:spPr>
                          <wps:bodyPr/>
                        </wps:wsp>
                      </wpg:grpSp>
                    </wpg:wgp>
                  </a:graphicData>
                </a:graphic>
              </wp:anchor>
            </w:drawing>
          </mc:Choice>
          <mc:Fallback>
            <w:pict>
              <v:group id="オブジェクト 0" style="mso-wrap-distance-right:9pt;mso-wrap-distance-bottom:0pt;margin-top:8.0500000000000007pt;mso-position-vertical-relative:text;mso-position-horizontal-relative:text;position:absolute;height:199.05pt;mso-wrap-distance-top:0pt;width:453.55pt;mso-wrap-distance-left:9pt;margin-left:-1.9pt;z-index:-503316341;" coordsize="5760085,2528015" coordorigin="0,0" o:spid="_x0000_s1041"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style="height:2326005;width:5760085;top:0;left:0;position:absolute;" o:spid="_x0000_s1042" filled="f" stroked="f" o:spt="75" type="#_x0000_t75">
                  <v:fill/>
                  <v:imagedata o:title="" r:id="rId10"/>
                  <w10:wrap type="none" anchorx="text" anchory="text"/>
                </v:shape>
                <v:group id="_x0000_s1043" style="height:1979375;width:5212080;top:548640;left:451568;position:absolute;" coordsize="5212201,1981872" coordorigin="19049,724104">
                  <v:line id="直線コネクタ 28" style="height:1981872;width:0;top:724104;left:3114675;position:absolute;" o:spid="_x0000_s1044" filled="f" stroked="t" strokecolor="#000000" strokeweight="0.5pt" o:spt="20" from="3114675,724104" to="3114675,2705976">
                    <v:fill/>
                    <v:stroke linestyle="single" endcap="flat" dashstyle="dash" filltype="solid"/>
                    <v:textbox style="layout-flow:horizontal;"/>
                    <v:imagedata o:title=""/>
                    <w10:wrap type="none" anchorx="text" anchory="text"/>
                  </v:line>
                  <v:shapetype id="_x0000_t32" coordsize="21600,21600" o:spt="32" o:oned="t" path="m,l21600,21600e" filled="f">
                    <v:path arrowok="t" fillok="f" o:connecttype="none"/>
                    <o:lock v:ext="edit" shapetype="t"/>
                  </v:shapetype>
                  <v:shape id="直線矢印コネクタ 29" style="height:0;width:3060000;top:2466873;left:19049;position:absolute;" o:spid="_x0000_s1045" filled="f" stroked="t" strokecolor="#000000" strokeweight="0.5pt" o:spt="32" type="#_x0000_t32">
                    <v:fill/>
                    <v:stroke linestyle="single" endcap="flat" dashstyle="solid" filltype="solid" startarrow="block" endarrow="block"/>
                    <v:imagedata o:title=""/>
                    <w10:wrap type="none" anchorx="text" anchory="text"/>
                  </v:shape>
                  <v:shape id="直線矢印コネクタ 31" style="height:0;width:2088000;top:2457325;left:3143250;position:absolute;" o:spid="_x0000_s1046" filled="f" stroked="t" strokecolor="#000000" strokeweight="0.5pt" o:spt="32" type="#_x0000_t32">
                    <v:fill/>
                    <v:stroke linestyle="single" endcap="flat" dashstyle="solid" filltype="solid" startarrow="block" endarrow="block"/>
                    <v:imagedata o:title=""/>
                    <w10:wrap type="none" anchorx="text" anchory="text"/>
                  </v:shape>
                  <w10:wrap type="none" anchorx="text" anchory="text"/>
                </v:group>
                <w10:wrap type="none" anchorx="text" anchory="text"/>
              </v:group>
            </w:pict>
          </mc:Fallback>
        </mc:AlternateContent>
      </w:r>
      <w:r>
        <w:rPr>
          <w:rFonts w:hint="eastAsia" w:ascii="BIZ UDPゴシック" w:hAnsi="BIZ UDPゴシック" w:eastAsia="BIZ UDPゴシック"/>
          <w:color w:val="auto"/>
          <w:sz w:val="21"/>
          <w:highlight w:val="none"/>
        </w:rPr>
        <w:t>図表　年齢区分別</w:t>
      </w:r>
      <w:r>
        <w:rPr>
          <w:rFonts w:hint="eastAsia" w:ascii="BIZ UDPゴシック" w:hAnsi="BIZ UDPゴシック" w:eastAsia="BIZ UDPゴシック"/>
          <w:color w:val="auto"/>
          <w:sz w:val="21"/>
          <w:highlight w:val="none"/>
        </w:rPr>
        <w:t>65</w:t>
      </w:r>
      <w:r>
        <w:rPr>
          <w:rFonts w:hint="eastAsia" w:ascii="BIZ UDPゴシック" w:hAnsi="BIZ UDPゴシック" w:eastAsia="BIZ UDPゴシック"/>
          <w:color w:val="auto"/>
          <w:sz w:val="21"/>
          <w:highlight w:val="none"/>
        </w:rPr>
        <w:t>歳以上人口の推移・推計（廿日市市）</w:t>
      </w: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r>
        <w:rPr>
          <w:rFonts w:hint="eastAsia"/>
          <w:color w:val="auto"/>
          <w:highlight w:val="none"/>
        </w:rPr>
        <mc:AlternateContent>
          <mc:Choice Requires="wps">
            <w:drawing>
              <wp:anchor distT="0" distB="0" distL="114300" distR="114300" simplePos="0" relativeHeight="145" behindDoc="1" locked="0" layoutInCell="1" hidden="0" allowOverlap="1">
                <wp:simplePos x="0" y="0"/>
                <wp:positionH relativeFrom="column">
                  <wp:posOffset>434340</wp:posOffset>
                </wp:positionH>
                <wp:positionV relativeFrom="paragraph">
                  <wp:posOffset>233045</wp:posOffset>
                </wp:positionV>
                <wp:extent cx="2971800" cy="180340"/>
                <wp:effectExtent l="0" t="0" r="635" b="635"/>
                <wp:wrapNone/>
                <wp:docPr id="1047" name="正方形/長方形 963"/>
                <a:graphic xmlns:a="http://schemas.openxmlformats.org/drawingml/2006/main">
                  <a:graphicData uri="http://schemas.microsoft.com/office/word/2010/wordprocessingShape">
                    <wps:wsp>
                      <wps:cNvPr id="1047" name="正方形/長方形 963"/>
                      <wps:cNvSpPr/>
                      <wps:spPr>
                        <a:xfrm>
                          <a:off x="0" y="0"/>
                          <a:ext cx="2971800" cy="180340"/>
                        </a:xfrm>
                        <a:prstGeom prst="rect">
                          <a:avLst/>
                        </a:prstGeom>
                        <a:noFill/>
                        <a:ln w="25400" cap="flat" cmpd="sng" algn="ctr">
                          <a:noFill/>
                          <a:prstDash val="solid"/>
                        </a:ln>
                        <a:effectLst/>
                      </wps:spPr>
                      <wps:txbx>
                        <w:txbxContent>
                          <w:p>
                            <w:pPr>
                              <w:pStyle w:val="0"/>
                              <w:spacing w:line="240" w:lineRule="exact"/>
                              <w:jc w:val="center"/>
                              <w:rPr>
                                <w:rFonts w:hint="default" w:ascii="ＭＳ Ｐゴシック" w:hAnsi="ＭＳ Ｐゴシック" w:eastAsia="ＭＳ Ｐゴシック"/>
                                <w:color w:val="000000" w:themeColor="text1"/>
                                <w:sz w:val="18"/>
                              </w:rPr>
                            </w:pPr>
                            <w:r>
                              <w:rPr>
                                <w:rFonts w:hint="eastAsia" w:ascii="ＭＳ Ｐゴシック" w:hAnsi="ＭＳ Ｐゴシック" w:eastAsia="ＭＳ Ｐゴシック"/>
                                <w:color w:val="000000" w:themeColor="text1"/>
                                <w:sz w:val="18"/>
                              </w:rPr>
                              <w:t>実績</w:t>
                            </w:r>
                          </w:p>
                        </w:txbxContent>
                      </wps:txbx>
                      <wps:bodyPr rot="0" vertOverflow="overflow" horzOverflow="overflow" wrap="square" lIns="0" tIns="0" rIns="0" bIns="0" numCol="1" spcCol="0" rtlCol="0" fromWordArt="0" anchor="t" anchorCtr="0" forceAA="0" compatLnSpc="1"/>
                    </wps:wsp>
                  </a:graphicData>
                </a:graphic>
              </wp:anchor>
            </w:drawing>
          </mc:Choice>
          <mc:Fallback>
            <w:pict>
              <v:rect id="正方形/長方形 963" style="mso-wrap-distance-right:9pt;mso-wrap-distance-bottom:0pt;margin-top:18.350000000000001pt;mso-position-vertical-relative:text;mso-position-horizontal-relative:text;v-text-anchor:top;position:absolute;height:14.2pt;mso-wrap-distance-top:0pt;width:234pt;mso-wrap-distance-left:9pt;margin-left:34.200000000000003pt;z-index:-503316335;" o:spid="_x0000_s1047" o:allowincell="t" o:allowoverlap="t" filled="f" stroked="f" strokeweight="2pt" o:spt="1">
                <v:fill/>
                <v:stroke linestyle="single" endcap="flat" dashstyle="solid"/>
                <v:textbox style="layout-flow:horizontal;" inset="0mm,0mm,0mm,0mm">
                  <w:txbxContent>
                    <w:p>
                      <w:pPr>
                        <w:pStyle w:val="0"/>
                        <w:spacing w:line="240" w:lineRule="exact"/>
                        <w:jc w:val="center"/>
                        <w:rPr>
                          <w:rFonts w:hint="default" w:ascii="ＭＳ Ｐゴシック" w:hAnsi="ＭＳ Ｐゴシック" w:eastAsia="ＭＳ Ｐゴシック"/>
                          <w:color w:val="000000" w:themeColor="text1"/>
                          <w:sz w:val="18"/>
                        </w:rPr>
                      </w:pPr>
                      <w:r>
                        <w:rPr>
                          <w:rFonts w:hint="eastAsia" w:ascii="ＭＳ Ｐゴシック" w:hAnsi="ＭＳ Ｐゴシック" w:eastAsia="ＭＳ Ｐゴシック"/>
                          <w:color w:val="000000" w:themeColor="text1"/>
                          <w:sz w:val="18"/>
                        </w:rPr>
                        <w:t>実績</w:t>
                      </w:r>
                    </w:p>
                  </w:txbxContent>
                </v:textbox>
                <v:imagedata o:title=""/>
                <w10:wrap type="none" anchorx="text" anchory="text"/>
              </v:rect>
            </w:pict>
          </mc:Fallback>
        </mc:AlternateContent>
      </w:r>
      <w:r>
        <w:rPr>
          <w:rFonts w:hint="eastAsia"/>
          <w:color w:val="auto"/>
          <w:highlight w:val="none"/>
        </w:rPr>
        <mc:AlternateContent>
          <mc:Choice Requires="wps">
            <w:drawing>
              <wp:anchor distT="0" distB="0" distL="114300" distR="114300" simplePos="0" relativeHeight="146" behindDoc="1" locked="0" layoutInCell="1" hidden="0" allowOverlap="1">
                <wp:simplePos x="0" y="0"/>
                <wp:positionH relativeFrom="column">
                  <wp:posOffset>3596640</wp:posOffset>
                </wp:positionH>
                <wp:positionV relativeFrom="paragraph">
                  <wp:posOffset>231775</wp:posOffset>
                </wp:positionV>
                <wp:extent cx="1857375" cy="210820"/>
                <wp:effectExtent l="0" t="0" r="635" b="635"/>
                <wp:wrapNone/>
                <wp:docPr id="1048" name="正方形/長方形 966"/>
                <a:graphic xmlns:a="http://schemas.openxmlformats.org/drawingml/2006/main">
                  <a:graphicData uri="http://schemas.microsoft.com/office/word/2010/wordprocessingShape">
                    <wps:wsp>
                      <wps:cNvPr id="1048" name="正方形/長方形 966"/>
                      <wps:cNvSpPr/>
                      <wps:spPr>
                        <a:xfrm>
                          <a:off x="0" y="0"/>
                          <a:ext cx="1857375" cy="210820"/>
                        </a:xfrm>
                        <a:prstGeom prst="rect">
                          <a:avLst/>
                        </a:prstGeom>
                        <a:noFill/>
                        <a:ln w="25400" cap="flat" cmpd="sng" algn="ctr">
                          <a:noFill/>
                          <a:prstDash val="solid"/>
                        </a:ln>
                        <a:effectLst/>
                      </wps:spPr>
                      <wps:txbx>
                        <w:txbxContent>
                          <w:p>
                            <w:pPr>
                              <w:pStyle w:val="0"/>
                              <w:spacing w:line="240" w:lineRule="exact"/>
                              <w:jc w:val="center"/>
                              <w:rPr>
                                <w:rFonts w:hint="default" w:ascii="ＭＳ Ｐゴシック" w:hAnsi="ＭＳ Ｐゴシック" w:eastAsia="ＭＳ Ｐゴシック"/>
                                <w:color w:val="000000" w:themeColor="text1"/>
                                <w:sz w:val="18"/>
                              </w:rPr>
                            </w:pPr>
                            <w:r>
                              <w:rPr>
                                <w:rFonts w:hint="eastAsia" w:ascii="ＭＳ Ｐゴシック" w:hAnsi="ＭＳ Ｐゴシック" w:eastAsia="ＭＳ Ｐゴシック"/>
                                <w:color w:val="000000" w:themeColor="text1"/>
                                <w:sz w:val="18"/>
                              </w:rPr>
                              <w:t>推計値</w:t>
                            </w:r>
                          </w:p>
                        </w:txbxContent>
                      </wps:txbx>
                      <wps:bodyPr rot="0" vertOverflow="overflow" horzOverflow="overflow" wrap="square" lIns="0" tIns="0" rIns="0" bIns="0" numCol="1" spcCol="0" rtlCol="0" fromWordArt="0" anchor="t" anchorCtr="0" forceAA="0" compatLnSpc="1"/>
                    </wps:wsp>
                  </a:graphicData>
                </a:graphic>
              </wp:anchor>
            </w:drawing>
          </mc:Choice>
          <mc:Fallback>
            <w:pict>
              <v:rect id="正方形/長方形 966" style="mso-wrap-distance-right:9pt;mso-wrap-distance-bottom:0pt;margin-top:18.25pt;mso-position-vertical-relative:text;mso-position-horizontal-relative:text;v-text-anchor:top;position:absolute;height:16.600000000000001pt;mso-wrap-distance-top:0pt;width:146.25pt;mso-wrap-distance-left:9pt;margin-left:283.2pt;z-index:-503316334;" o:spid="_x0000_s1048" o:allowincell="t" o:allowoverlap="t" filled="f" stroked="f" strokeweight="2pt" o:spt="1">
                <v:fill/>
                <v:stroke linestyle="single" endcap="flat" dashstyle="solid"/>
                <v:textbox style="layout-flow:horizontal;" inset="0mm,0mm,0mm,0mm">
                  <w:txbxContent>
                    <w:p>
                      <w:pPr>
                        <w:pStyle w:val="0"/>
                        <w:spacing w:line="240" w:lineRule="exact"/>
                        <w:jc w:val="center"/>
                        <w:rPr>
                          <w:rFonts w:hint="default" w:ascii="ＭＳ Ｐゴシック" w:hAnsi="ＭＳ Ｐゴシック" w:eastAsia="ＭＳ Ｐゴシック"/>
                          <w:color w:val="000000" w:themeColor="text1"/>
                          <w:sz w:val="18"/>
                        </w:rPr>
                      </w:pPr>
                      <w:r>
                        <w:rPr>
                          <w:rFonts w:hint="eastAsia" w:ascii="ＭＳ Ｐゴシック" w:hAnsi="ＭＳ Ｐゴシック" w:eastAsia="ＭＳ Ｐゴシック"/>
                          <w:color w:val="000000" w:themeColor="text1"/>
                          <w:sz w:val="18"/>
                        </w:rPr>
                        <w:t>推計値</w:t>
                      </w:r>
                    </w:p>
                  </w:txbxContent>
                </v:textbox>
                <v:imagedata o:title=""/>
                <w10:wrap type="none" anchorx="text" anchory="text"/>
              </v:rect>
            </w:pict>
          </mc:Fallback>
        </mc:AlternateContent>
      </w:r>
    </w:p>
    <w:p>
      <w:pPr>
        <w:pStyle w:val="0"/>
        <w:rPr>
          <w:rFonts w:hint="default"/>
          <w:color w:val="auto"/>
          <w:highlight w:val="none"/>
        </w:rPr>
      </w:pPr>
    </w:p>
    <w:p>
      <w:pPr>
        <w:pStyle w:val="0"/>
        <w:widowControl w:val="1"/>
        <w:spacing w:line="0" w:lineRule="atLeast"/>
        <w:ind w:left="1330" w:leftChars="400" w:hanging="450" w:hangingChars="250"/>
        <w:jc w:val="left"/>
        <w:rPr>
          <w:rFonts w:hint="default" w:ascii="BIZ UDPゴシック" w:hAnsi="BIZ UDPゴシック" w:eastAsia="BIZ UDPゴシック"/>
          <w:color w:val="auto"/>
          <w:sz w:val="20"/>
          <w:highlight w:val="none"/>
        </w:rPr>
      </w:pPr>
      <w:r>
        <w:rPr>
          <w:rFonts w:hint="eastAsia" w:ascii="BIZ UDPゴシック" w:hAnsi="BIZ UDPゴシック" w:eastAsia="BIZ UDPゴシック"/>
          <w:color w:val="auto"/>
          <w:sz w:val="18"/>
          <w:highlight w:val="none"/>
        </w:rPr>
        <w:t>資料：令和</w:t>
      </w:r>
      <w:r>
        <w:rPr>
          <w:rFonts w:hint="default" w:ascii="BIZ UDPゴシック" w:hAnsi="BIZ UDPゴシック" w:eastAsia="BIZ UDPゴシック"/>
          <w:color w:val="auto"/>
          <w:sz w:val="18"/>
          <w:highlight w:val="none"/>
        </w:rPr>
        <w:t>5</w:t>
      </w:r>
      <w:r>
        <w:rPr>
          <w:rFonts w:hint="eastAsia" w:ascii="BIZ UDPゴシック" w:hAnsi="BIZ UDPゴシック" w:eastAsia="BIZ UDPゴシック"/>
          <w:color w:val="auto"/>
          <w:sz w:val="18"/>
          <w:highlight w:val="none"/>
        </w:rPr>
        <w:t>年まで住民基本台帳人口・令和</w:t>
      </w:r>
      <w:r>
        <w:rPr>
          <w:rFonts w:hint="eastAsia" w:ascii="BIZ UDPゴシック" w:hAnsi="BIZ UDPゴシック" w:eastAsia="BIZ UDPゴシック"/>
          <w:color w:val="auto"/>
          <w:sz w:val="18"/>
          <w:highlight w:val="none"/>
        </w:rPr>
        <w:t>7</w:t>
      </w:r>
      <w:r>
        <w:rPr>
          <w:rFonts w:hint="eastAsia" w:ascii="BIZ UDPゴシック" w:hAnsi="BIZ UDPゴシック" w:eastAsia="BIZ UDPゴシック"/>
          <w:color w:val="auto"/>
          <w:sz w:val="18"/>
          <w:highlight w:val="none"/>
        </w:rPr>
        <w:t>年から第</w:t>
      </w:r>
      <w:r>
        <w:rPr>
          <w:rFonts w:hint="eastAsia" w:ascii="BIZ UDPゴシック" w:hAnsi="BIZ UDPゴシック" w:eastAsia="BIZ UDPゴシック"/>
          <w:color w:val="auto"/>
          <w:sz w:val="18"/>
          <w:highlight w:val="none"/>
        </w:rPr>
        <w:t>2</w:t>
      </w:r>
      <w:r>
        <w:rPr>
          <w:rFonts w:hint="eastAsia" w:ascii="BIZ UDPゴシック" w:hAnsi="BIZ UDPゴシック" w:eastAsia="BIZ UDPゴシック"/>
          <w:color w:val="auto"/>
          <w:sz w:val="18"/>
          <w:highlight w:val="none"/>
        </w:rPr>
        <w:t>期廿日市市まち・ひと・しごと創生総合戦略（令和</w:t>
      </w:r>
      <w:r>
        <w:rPr>
          <w:rFonts w:hint="eastAsia" w:ascii="BIZ UDPゴシック" w:hAnsi="BIZ UDPゴシック" w:eastAsia="BIZ UDPゴシック"/>
          <w:color w:val="auto"/>
          <w:sz w:val="18"/>
          <w:highlight w:val="none"/>
        </w:rPr>
        <w:t>5</w:t>
      </w:r>
      <w:r>
        <w:rPr>
          <w:rFonts w:hint="eastAsia" w:ascii="BIZ UDPゴシック" w:hAnsi="BIZ UDPゴシック" w:eastAsia="BIZ UDPゴシック"/>
          <w:color w:val="auto"/>
          <w:sz w:val="18"/>
          <w:highlight w:val="none"/>
        </w:rPr>
        <w:t>年</w:t>
      </w:r>
      <w:r>
        <w:rPr>
          <w:rFonts w:hint="eastAsia" w:ascii="BIZ UDPゴシック" w:hAnsi="BIZ UDPゴシック" w:eastAsia="BIZ UDPゴシック"/>
          <w:color w:val="auto"/>
          <w:sz w:val="18"/>
          <w:highlight w:val="none"/>
        </w:rPr>
        <w:t>3</w:t>
      </w:r>
      <w:r>
        <w:rPr>
          <w:rFonts w:hint="eastAsia" w:ascii="BIZ UDPゴシック" w:hAnsi="BIZ UDPゴシック" w:eastAsia="BIZ UDPゴシック"/>
          <w:color w:val="auto"/>
          <w:sz w:val="18"/>
          <w:highlight w:val="none"/>
        </w:rPr>
        <w:t>月改訂）を基とした推計人口</w:t>
      </w:r>
    </w:p>
    <w:p>
      <w:pPr>
        <w:pStyle w:val="0"/>
        <w:keepNext w:val="1"/>
        <w:spacing w:after="74" w:afterLines="20" w:afterAutospacing="0" w:line="600" w:lineRule="exact"/>
        <w:outlineLvl w:val="0"/>
        <w:rPr>
          <w:rFonts w:hint="default" w:ascii="BIZ UDPゴシック" w:hAnsi="BIZ UDPゴシック" w:eastAsia="BIZ UDPゴシック"/>
          <w:b w:val="1"/>
          <w:color w:val="auto"/>
          <w:sz w:val="32"/>
          <w:highlight w:val="none"/>
        </w:rPr>
      </w:pPr>
      <w:bookmarkStart w:id="28" w:name="_Toc152160616"/>
      <w:r>
        <w:rPr>
          <w:rFonts w:hint="eastAsia" w:ascii="BIZ UDPゴシック" w:hAnsi="BIZ UDPゴシック" w:eastAsia="BIZ UDPゴシック"/>
          <w:b w:val="1"/>
          <w:color w:val="auto"/>
          <w:sz w:val="32"/>
          <w:highlight w:val="none"/>
        </w:rPr>
        <w:t>２　高齢者がいる世帯の推移</w:t>
      </w:r>
      <w:bookmarkEnd w:id="28"/>
    </w:p>
    <w:p>
      <w:pPr>
        <w:pStyle w:val="0"/>
        <w:numPr>
          <w:ilvl w:val="3"/>
          <w:numId w:val="1"/>
        </w:numPr>
        <w:autoSpaceDE w:val="0"/>
        <w:autoSpaceDN w:val="0"/>
        <w:spacing w:line="380" w:lineRule="exact"/>
        <w:ind w:left="660" w:leftChars="100"/>
        <w:rPr>
          <w:rFonts w:hint="default"/>
          <w:color w:val="auto"/>
          <w:highlight w:val="none"/>
        </w:rPr>
      </w:pPr>
      <w:r>
        <w:rPr>
          <w:rFonts w:hint="eastAsia"/>
          <w:color w:val="auto"/>
          <w:highlight w:val="none"/>
        </w:rPr>
        <w:t>本市の国勢調査による</w:t>
      </w:r>
      <w:r>
        <w:rPr>
          <w:rFonts w:hint="eastAsia"/>
          <w:color w:val="auto"/>
          <w:highlight w:val="none"/>
        </w:rPr>
        <w:t>65</w:t>
      </w:r>
      <w:r>
        <w:rPr>
          <w:rFonts w:hint="eastAsia"/>
          <w:color w:val="auto"/>
          <w:highlight w:val="none"/>
        </w:rPr>
        <w:t>歳以上の高齢者がいる世帯は増加しており、一般世帯に占める割合も上昇しています。</w:t>
      </w:r>
    </w:p>
    <w:p>
      <w:pPr>
        <w:pStyle w:val="0"/>
        <w:numPr>
          <w:ilvl w:val="3"/>
          <w:numId w:val="1"/>
        </w:numPr>
        <w:autoSpaceDE w:val="0"/>
        <w:autoSpaceDN w:val="0"/>
        <w:spacing w:line="380" w:lineRule="exact"/>
        <w:ind w:left="660" w:leftChars="100"/>
        <w:rPr>
          <w:rFonts w:hint="default"/>
          <w:color w:val="auto"/>
          <w:highlight w:val="none"/>
        </w:rPr>
      </w:pPr>
      <w:r>
        <w:rPr>
          <w:rFonts w:hint="eastAsia"/>
          <w:color w:val="auto"/>
          <w:highlight w:val="none"/>
        </w:rPr>
        <w:t>夫婦のみの世帯、単独世帯の伸びが大きくなっています。</w:t>
      </w:r>
    </w:p>
    <w:p>
      <w:pPr>
        <w:pStyle w:val="0"/>
        <w:spacing w:before="185" w:beforeLines="50" w:beforeAutospacing="0" w:line="380" w:lineRule="exact"/>
        <w:ind w:left="565" w:leftChars="257"/>
        <w:jc w:val="center"/>
        <w:rPr>
          <w:rFonts w:hint="default"/>
          <w:color w:val="auto"/>
          <w:sz w:val="21"/>
          <w:highlight w:val="none"/>
        </w:rPr>
      </w:pPr>
      <w:r>
        <w:rPr>
          <w:rFonts w:hint="default"/>
          <w:color w:val="auto"/>
          <w:sz w:val="21"/>
          <w:highlight w:val="none"/>
        </w:rPr>
        <w:drawing>
          <wp:anchor distT="0" distB="0" distL="114300" distR="114300" simplePos="0" relativeHeight="29" behindDoc="0" locked="0" layoutInCell="1" hidden="0" allowOverlap="1">
            <wp:simplePos x="0" y="0"/>
            <wp:positionH relativeFrom="column">
              <wp:posOffset>156845</wp:posOffset>
            </wp:positionH>
            <wp:positionV relativeFrom="paragraph">
              <wp:posOffset>334645</wp:posOffset>
            </wp:positionV>
            <wp:extent cx="5937885" cy="2755265"/>
            <wp:effectExtent l="0" t="0" r="0" b="0"/>
            <wp:wrapNone/>
            <wp:docPr id="1049" name="Picture 4"/>
            <a:graphic xmlns:a="http://schemas.openxmlformats.org/drawingml/2006/main">
              <a:graphicData uri="http://schemas.openxmlformats.org/drawingml/2006/picture">
                <pic:pic xmlns:pic="http://schemas.openxmlformats.org/drawingml/2006/picture">
                  <pic:nvPicPr>
                    <pic:cNvPr id="1049" name="Picture 4"/>
                    <pic:cNvPicPr>
                      <a:picLocks noChangeAspect="1" noChangeArrowheads="1"/>
                    </pic:cNvPicPr>
                  </pic:nvPicPr>
                  <pic:blipFill>
                    <a:blip r:embed="rId11"/>
                    <a:stretch>
                      <a:fillRect/>
                    </a:stretch>
                  </pic:blipFill>
                  <pic:spPr>
                    <a:xfrm>
                      <a:off x="0" y="0"/>
                      <a:ext cx="5937885" cy="2755265"/>
                    </a:xfrm>
                    <a:prstGeom prst="rect">
                      <a:avLst/>
                    </a:prstGeom>
                    <a:noFill/>
                    <a:ln>
                      <a:noFill/>
                    </a:ln>
                  </pic:spPr>
                </pic:pic>
              </a:graphicData>
            </a:graphic>
          </wp:anchor>
        </w:drawing>
      </w:r>
      <w:r>
        <w:rPr>
          <w:rFonts w:hint="eastAsia"/>
          <w:color w:val="auto"/>
          <w:sz w:val="21"/>
          <w:highlight w:val="none"/>
        </w:rPr>
        <w:t>図表　高齢者がいる世帯数と一般世帯に占める割合（廿日市市）</w:t>
      </w: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jc w:val="right"/>
        <w:rPr>
          <w:rFonts w:hint="default"/>
          <w:color w:val="auto"/>
          <w:sz w:val="18"/>
          <w:highlight w:val="none"/>
        </w:rPr>
      </w:pPr>
      <w:r>
        <w:rPr>
          <w:rFonts w:hint="eastAsia"/>
          <w:color w:val="auto"/>
          <w:sz w:val="18"/>
          <w:highlight w:val="none"/>
        </w:rPr>
        <w:t>資料：国勢調査</w:t>
      </w:r>
    </w:p>
    <w:p>
      <w:pPr>
        <w:pStyle w:val="0"/>
        <w:spacing w:line="380" w:lineRule="exact"/>
        <w:rPr>
          <w:rFonts w:hint="default"/>
          <w:color w:val="auto"/>
          <w:highlight w:val="none"/>
        </w:rPr>
      </w:pPr>
    </w:p>
    <w:p>
      <w:pPr>
        <w:pStyle w:val="0"/>
        <w:spacing w:line="380" w:lineRule="exact"/>
        <w:jc w:val="center"/>
        <w:rPr>
          <w:rFonts w:hint="default" w:ascii="HG丸ｺﾞｼｯｸM-PRO" w:hAnsi="HG丸ｺﾞｼｯｸM-PRO" w:eastAsia="HG丸ｺﾞｼｯｸM-PRO"/>
          <w:color w:val="auto"/>
          <w:sz w:val="21"/>
          <w:highlight w:val="none"/>
        </w:rPr>
      </w:pPr>
      <w:r>
        <w:rPr>
          <w:rFonts w:hint="default"/>
          <w:color w:val="auto"/>
          <w:sz w:val="21"/>
          <w:highlight w:val="none"/>
        </w:rPr>
        <w:drawing>
          <wp:anchor distT="0" distB="0" distL="114300" distR="114300" simplePos="0" relativeHeight="31" behindDoc="0" locked="0" layoutInCell="1" hidden="0" allowOverlap="1">
            <wp:simplePos x="0" y="0"/>
            <wp:positionH relativeFrom="column">
              <wp:posOffset>109220</wp:posOffset>
            </wp:positionH>
            <wp:positionV relativeFrom="paragraph">
              <wp:posOffset>125095</wp:posOffset>
            </wp:positionV>
            <wp:extent cx="5760085" cy="2511425"/>
            <wp:effectExtent l="0" t="0" r="0" b="0"/>
            <wp:wrapNone/>
            <wp:docPr id="1050" name="Picture 6"/>
            <a:graphic xmlns:a="http://schemas.openxmlformats.org/drawingml/2006/main">
              <a:graphicData uri="http://schemas.openxmlformats.org/drawingml/2006/picture">
                <pic:pic xmlns:pic="http://schemas.openxmlformats.org/drawingml/2006/picture">
                  <pic:nvPicPr>
                    <pic:cNvPr id="1050" name="Picture 6"/>
                    <pic:cNvPicPr>
                      <a:picLocks noChangeAspect="1" noChangeArrowheads="1"/>
                    </pic:cNvPicPr>
                  </pic:nvPicPr>
                  <pic:blipFill>
                    <a:blip r:embed="rId12"/>
                    <a:stretch>
                      <a:fillRect/>
                    </a:stretch>
                  </pic:blipFill>
                  <pic:spPr>
                    <a:xfrm>
                      <a:off x="0" y="0"/>
                      <a:ext cx="5760085" cy="2511425"/>
                    </a:xfrm>
                    <a:prstGeom prst="rect">
                      <a:avLst/>
                    </a:prstGeom>
                    <a:noFill/>
                    <a:ln>
                      <a:noFill/>
                    </a:ln>
                  </pic:spPr>
                </pic:pic>
              </a:graphicData>
            </a:graphic>
          </wp:anchor>
        </w:drawing>
      </w:r>
      <w:r>
        <w:rPr>
          <w:rFonts w:hint="eastAsia"/>
          <w:color w:val="auto"/>
          <w:sz w:val="21"/>
          <w:highlight w:val="none"/>
        </w:rPr>
        <w:t>図表　家族類型別高齢者がいる世帯割合（廿日市市）</w:t>
      </w: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jc w:val="right"/>
        <w:rPr>
          <w:rFonts w:hint="default"/>
          <w:color w:val="auto"/>
          <w:sz w:val="18"/>
          <w:highlight w:val="none"/>
        </w:rPr>
      </w:pPr>
      <w:r>
        <w:rPr>
          <w:rFonts w:hint="eastAsia"/>
          <w:color w:val="auto"/>
          <w:sz w:val="18"/>
          <w:highlight w:val="none"/>
        </w:rPr>
        <w:t>資料：国勢調査</w:t>
      </w:r>
    </w:p>
    <w:p>
      <w:pPr>
        <w:pStyle w:val="0"/>
        <w:rPr>
          <w:rFonts w:hint="default" w:ascii="HG丸ｺﾞｼｯｸM-PRO" w:hAnsi="HG丸ｺﾞｼｯｸM-PRO" w:eastAsia="HG丸ｺﾞｼｯｸM-PRO"/>
          <w:color w:val="auto"/>
          <w:highlight w:val="none"/>
        </w:rPr>
      </w:pPr>
    </w:p>
    <w:p>
      <w:pPr>
        <w:pStyle w:val="0"/>
        <w:widowControl w:val="1"/>
        <w:jc w:val="left"/>
        <w:rPr>
          <w:rFonts w:hint="default" w:ascii="HG丸ｺﾞｼｯｸM-PRO" w:hAnsi="HG丸ｺﾞｼｯｸM-PRO" w:eastAsia="HG丸ｺﾞｼｯｸM-PRO"/>
          <w:color w:val="auto"/>
          <w:highlight w:val="none"/>
        </w:rPr>
      </w:pPr>
      <w:r>
        <w:rPr>
          <w:rFonts w:hint="default" w:ascii="HG丸ｺﾞｼｯｸM-PRO" w:hAnsi="HG丸ｺﾞｼｯｸM-PRO" w:eastAsia="HG丸ｺﾞｼｯｸM-PRO"/>
          <w:color w:val="auto"/>
          <w:highlight w:val="none"/>
        </w:rPr>
        <w:br w:type="page"/>
      </w:r>
    </w:p>
    <w:p>
      <w:pPr>
        <w:pStyle w:val="0"/>
        <w:keepNext w:val="1"/>
        <w:spacing w:after="74" w:afterLines="20" w:afterAutospacing="0" w:line="600" w:lineRule="exact"/>
        <w:outlineLvl w:val="0"/>
        <w:rPr>
          <w:rFonts w:hint="default" w:ascii="BIZ UDPゴシック" w:hAnsi="BIZ UDPゴシック" w:eastAsia="BIZ UDPゴシック"/>
          <w:b w:val="1"/>
          <w:color w:val="auto"/>
          <w:sz w:val="32"/>
          <w:highlight w:val="none"/>
        </w:rPr>
      </w:pPr>
      <w:bookmarkStart w:id="29" w:name="_Toc152160617"/>
      <w:r>
        <w:rPr>
          <w:rFonts w:hint="eastAsia" w:ascii="BIZ UDPゴシック" w:hAnsi="BIZ UDPゴシック" w:eastAsia="BIZ UDPゴシック"/>
          <w:b w:val="1"/>
          <w:color w:val="auto"/>
          <w:sz w:val="32"/>
          <w:highlight w:val="none"/>
        </w:rPr>
        <w:t>３　要支援・要介護認定者の状況</w:t>
      </w:r>
      <w:bookmarkEnd w:id="29"/>
    </w:p>
    <w:p>
      <w:pPr>
        <w:pStyle w:val="48"/>
        <w:rPr>
          <w:rFonts w:hint="default"/>
          <w:color w:val="auto"/>
          <w:highlight w:val="none"/>
        </w:rPr>
      </w:pPr>
      <w:r>
        <w:rPr>
          <w:rFonts w:hint="eastAsia"/>
          <w:color w:val="auto"/>
          <w:highlight w:val="none"/>
        </w:rPr>
        <w:t>本市の要支援・要介護認定者数も増加傾向にあり、令和５（</w:t>
      </w:r>
      <w:r>
        <w:rPr>
          <w:rFonts w:hint="eastAsia"/>
          <w:color w:val="auto"/>
          <w:highlight w:val="none"/>
        </w:rPr>
        <w:t>2023</w:t>
      </w:r>
      <w:r>
        <w:rPr>
          <w:rFonts w:hint="eastAsia"/>
          <w:color w:val="auto"/>
          <w:highlight w:val="none"/>
        </w:rPr>
        <w:t>）年９月末時点で</w:t>
      </w:r>
      <w:r>
        <w:rPr>
          <w:rFonts w:hint="eastAsia"/>
          <w:color w:val="auto"/>
          <w:highlight w:val="none"/>
        </w:rPr>
        <w:t>6,669</w:t>
      </w:r>
      <w:r>
        <w:rPr>
          <w:rFonts w:hint="eastAsia"/>
          <w:color w:val="auto"/>
          <w:highlight w:val="none"/>
        </w:rPr>
        <w:t>人と、令和２（</w:t>
      </w:r>
      <w:r>
        <w:rPr>
          <w:rFonts w:hint="eastAsia"/>
          <w:color w:val="auto"/>
          <w:highlight w:val="none"/>
        </w:rPr>
        <w:t>2020</w:t>
      </w:r>
      <w:r>
        <w:rPr>
          <w:rFonts w:hint="eastAsia"/>
          <w:color w:val="auto"/>
          <w:highlight w:val="none"/>
        </w:rPr>
        <w:t>）年９月末と比較すると</w:t>
      </w:r>
      <w:r>
        <w:rPr>
          <w:rFonts w:hint="eastAsia"/>
          <w:color w:val="auto"/>
          <w:highlight w:val="none"/>
        </w:rPr>
        <w:t>6.4</w:t>
      </w:r>
      <w:r>
        <w:rPr>
          <w:rFonts w:hint="eastAsia"/>
          <w:color w:val="auto"/>
          <w:highlight w:val="none"/>
        </w:rPr>
        <w:t>％増加しています。</w:t>
      </w:r>
    </w:p>
    <w:p>
      <w:pPr>
        <w:pStyle w:val="41"/>
        <w:rPr>
          <w:rFonts w:hint="default"/>
          <w:color w:val="auto"/>
          <w:highlight w:val="none"/>
        </w:rPr>
      </w:pPr>
    </w:p>
    <w:p>
      <w:pPr>
        <w:pStyle w:val="0"/>
        <w:autoSpaceDE w:val="0"/>
        <w:autoSpaceDN w:val="0"/>
        <w:spacing w:before="185" w:beforeLines="50" w:beforeAutospacing="0" w:line="380" w:lineRule="exact"/>
        <w:jc w:val="center"/>
        <w:rPr>
          <w:rFonts w:hint="default"/>
          <w:color w:val="auto"/>
          <w:sz w:val="21"/>
          <w:highlight w:val="none"/>
        </w:rPr>
      </w:pPr>
      <w:r>
        <w:rPr>
          <w:rFonts w:hint="eastAsia" w:ascii="BIZ UDPゴシック" w:hAnsi="BIZ UDPゴシック" w:eastAsia="BIZ UDPゴシック"/>
          <w:color w:val="auto"/>
          <w:sz w:val="21"/>
          <w:highlight w:val="none"/>
        </w:rPr>
        <w:t>図表　</w:t>
      </w:r>
      <w:r>
        <w:rPr>
          <w:rFonts w:hint="eastAsia" w:ascii="BIZ UDPゴシック" w:hAnsi="BIZ UDPゴシック" w:eastAsia="BIZ UDPゴシック"/>
          <w:color w:val="auto"/>
          <w:w w:val="85"/>
          <w:sz w:val="21"/>
          <w:highlight w:val="none"/>
        </w:rPr>
        <w:t>要支援・要介護認定者数（第</w:t>
      </w:r>
      <w:r>
        <w:rPr>
          <w:rFonts w:hint="eastAsia" w:ascii="BIZ UDPゴシック" w:hAnsi="BIZ UDPゴシック" w:eastAsia="BIZ UDPゴシック"/>
          <w:color w:val="auto"/>
          <w:w w:val="85"/>
          <w:sz w:val="21"/>
          <w:highlight w:val="none"/>
        </w:rPr>
        <w:t>2</w:t>
      </w:r>
      <w:r>
        <w:rPr>
          <w:rFonts w:hint="eastAsia" w:ascii="BIZ UDPゴシック" w:hAnsi="BIZ UDPゴシック" w:eastAsia="BIZ UDPゴシック"/>
          <w:color w:val="auto"/>
          <w:w w:val="85"/>
          <w:sz w:val="21"/>
          <w:highlight w:val="none"/>
        </w:rPr>
        <w:t>号被保険者を含む）、第</w:t>
      </w:r>
      <w:r>
        <w:rPr>
          <w:rFonts w:hint="eastAsia" w:ascii="BIZ UDPゴシック" w:hAnsi="BIZ UDPゴシック" w:eastAsia="BIZ UDPゴシック"/>
          <w:color w:val="auto"/>
          <w:w w:val="85"/>
          <w:sz w:val="21"/>
          <w:highlight w:val="none"/>
        </w:rPr>
        <w:t>1</w:t>
      </w:r>
      <w:r>
        <w:rPr>
          <w:rFonts w:hint="eastAsia" w:ascii="BIZ UDPゴシック" w:hAnsi="BIZ UDPゴシック" w:eastAsia="BIZ UDPゴシック"/>
          <w:color w:val="auto"/>
          <w:w w:val="85"/>
          <w:sz w:val="21"/>
          <w:highlight w:val="none"/>
        </w:rPr>
        <w:t>号被保険者認定率の推移・推計（廿日市市）</w:t>
      </w:r>
    </w:p>
    <w:p>
      <w:pPr>
        <w:pStyle w:val="0"/>
        <w:autoSpaceDE w:val="0"/>
        <w:autoSpaceDN w:val="0"/>
        <w:spacing w:line="380" w:lineRule="exact"/>
        <w:rPr>
          <w:rFonts w:hint="default"/>
          <w:color w:val="auto"/>
          <w:highlight w:val="none"/>
        </w:rPr>
      </w:pPr>
      <w:r>
        <w:rPr>
          <w:rFonts w:hint="default"/>
          <w:color w:val="auto"/>
          <w:highlight w:val="none"/>
        </w:rPr>
        <w:drawing>
          <wp:anchor distT="0" distB="0" distL="114300" distR="114300" simplePos="0" relativeHeight="32" behindDoc="1" locked="0" layoutInCell="1" hidden="0" allowOverlap="1">
            <wp:simplePos x="0" y="0"/>
            <wp:positionH relativeFrom="column">
              <wp:posOffset>0</wp:posOffset>
            </wp:positionH>
            <wp:positionV relativeFrom="paragraph">
              <wp:posOffset>47625</wp:posOffset>
            </wp:positionV>
            <wp:extent cx="5759450" cy="2903220"/>
            <wp:effectExtent l="0" t="0" r="0" b="0"/>
            <wp:wrapNone/>
            <wp:docPr id="1051" name="Picture 1"/>
            <a:graphic xmlns:a="http://schemas.openxmlformats.org/drawingml/2006/main">
              <a:graphicData uri="http://schemas.openxmlformats.org/drawingml/2006/picture">
                <pic:pic xmlns:pic="http://schemas.openxmlformats.org/drawingml/2006/picture">
                  <pic:nvPicPr>
                    <pic:cNvPr id="1051" name="Picture 1"/>
                    <pic:cNvPicPr>
                      <a:picLocks noChangeAspect="1" noChangeArrowheads="1"/>
                    </pic:cNvPicPr>
                  </pic:nvPicPr>
                  <pic:blipFill>
                    <a:blip r:embed="rId13"/>
                    <a:stretch>
                      <a:fillRect/>
                    </a:stretch>
                  </pic:blipFill>
                  <pic:spPr>
                    <a:xfrm>
                      <a:off x="0" y="0"/>
                      <a:ext cx="5759450" cy="2903220"/>
                    </a:xfrm>
                    <a:prstGeom prst="rect">
                      <a:avLst/>
                    </a:prstGeom>
                    <a:noFill/>
                    <a:ln>
                      <a:noFill/>
                    </a:ln>
                  </pic:spPr>
                </pic:pic>
              </a:graphicData>
            </a:graphic>
          </wp:anchor>
        </w:drawing>
      </w:r>
    </w:p>
    <w:p>
      <w:pPr>
        <w:pStyle w:val="0"/>
        <w:autoSpaceDE w:val="0"/>
        <w:autoSpaceDN w:val="0"/>
        <w:spacing w:line="380" w:lineRule="exact"/>
        <w:rPr>
          <w:rFonts w:hint="default"/>
          <w:color w:val="auto"/>
          <w:highlight w:val="none"/>
        </w:rPr>
      </w:pPr>
      <w:r>
        <w:rPr>
          <w:rFonts w:hint="default"/>
          <w:color w:val="auto"/>
          <w:highlight w:val="none"/>
        </w:rPr>
        <mc:AlternateContent>
          <mc:Choice Requires="wps">
            <w:drawing>
              <wp:anchor distT="0" distB="0" distL="114299" distR="114299" simplePos="0" relativeHeight="50" behindDoc="1" locked="0" layoutInCell="1" hidden="0" allowOverlap="1">
                <wp:simplePos x="0" y="0"/>
                <wp:positionH relativeFrom="column">
                  <wp:posOffset>2449830</wp:posOffset>
                </wp:positionH>
                <wp:positionV relativeFrom="paragraph">
                  <wp:posOffset>179070</wp:posOffset>
                </wp:positionV>
                <wp:extent cx="0" cy="2663825"/>
                <wp:effectExtent l="635" t="0" r="29845" b="10160"/>
                <wp:wrapNone/>
                <wp:docPr id="1052" name="直線コネクタ 9"/>
                <a:graphic xmlns:a="http://schemas.openxmlformats.org/drawingml/2006/main">
                  <a:graphicData uri="http://schemas.microsoft.com/office/word/2010/wordprocessingShape">
                    <wps:wsp>
                      <wps:cNvPr id="1052" name="直線コネクタ 9"/>
                      <wps:cNvSpPr/>
                      <wps:spPr>
                        <a:xfrm>
                          <a:off x="0" y="0"/>
                          <a:ext cx="0" cy="2663825"/>
                        </a:xfrm>
                        <a:prstGeom prst="line">
                          <a:avLst/>
                        </a:prstGeom>
                        <a:noFill/>
                        <a:ln w="6350" cap="flat" cmpd="sng" algn="ctr">
                          <a:solidFill>
                            <a:sysClr val="windowText" lastClr="000000"/>
                          </a:solidFill>
                          <a:prstDash val="dash"/>
                        </a:ln>
                        <a:effectLst/>
                      </wps:spPr>
                      <wps:bodyPr/>
                    </wps:wsp>
                  </a:graphicData>
                </a:graphic>
              </wp:anchor>
            </w:drawing>
          </mc:Choice>
          <mc:Fallback>
            <w:pict>
              <v:line id="直線コネクタ 9" style="mso-wrap-distance-top:0pt;mso-wrap-distance-right:8.94pt;mso-wrap-distance-bottom:0pt;mso-position-vertical-relative:text;mso-position-horizontal-relative:text;position:absolute;mso-wrap-distance-left:8.94pt;z-index:-503316430;" o:spid="_x0000_s1052" o:allowincell="t" o:allowoverlap="t" filled="f" stroked="t" strokecolor="#000000" strokeweight="0.5pt" o:spt="20" from="192.9pt,14.100000000000001pt" to="192.9pt,223.85000000000002pt">
                <v:fill/>
                <v:stroke linestyle="single" endcap="flat" dashstyle="dash" filltype="solid"/>
                <v:textbox style="layout-flow:horizontal;"/>
                <v:imagedata o:title=""/>
                <w10:wrap type="none" anchorx="text" anchory="text"/>
              </v:line>
            </w:pict>
          </mc:Fallback>
        </mc:AlternateContent>
      </w:r>
    </w:p>
    <w:p>
      <w:pPr>
        <w:pStyle w:val="0"/>
        <w:autoSpaceDE w:val="0"/>
        <w:autoSpaceDN w:val="0"/>
        <w:spacing w:line="380" w:lineRule="exact"/>
        <w:rPr>
          <w:rFonts w:hint="default"/>
          <w:color w:val="auto"/>
          <w:highlight w:val="none"/>
        </w:rPr>
      </w:pPr>
    </w:p>
    <w:p>
      <w:pPr>
        <w:pStyle w:val="0"/>
        <w:autoSpaceDE w:val="0"/>
        <w:autoSpaceDN w:val="0"/>
        <w:spacing w:line="380" w:lineRule="exact"/>
        <w:rPr>
          <w:rFonts w:hint="default"/>
          <w:color w:val="auto"/>
          <w:highlight w:val="none"/>
        </w:rPr>
      </w:pPr>
    </w:p>
    <w:p>
      <w:pPr>
        <w:pStyle w:val="0"/>
        <w:autoSpaceDE w:val="0"/>
        <w:autoSpaceDN w:val="0"/>
        <w:spacing w:line="380" w:lineRule="exact"/>
        <w:rPr>
          <w:rFonts w:hint="default"/>
          <w:color w:val="auto"/>
          <w:highlight w:val="none"/>
        </w:rPr>
      </w:pPr>
    </w:p>
    <w:p>
      <w:pPr>
        <w:pStyle w:val="0"/>
        <w:autoSpaceDE w:val="0"/>
        <w:autoSpaceDN w:val="0"/>
        <w:spacing w:line="380" w:lineRule="exact"/>
        <w:rPr>
          <w:rFonts w:hint="default"/>
          <w:color w:val="auto"/>
          <w:highlight w:val="none"/>
        </w:rPr>
      </w:pPr>
    </w:p>
    <w:p>
      <w:pPr>
        <w:pStyle w:val="0"/>
        <w:autoSpaceDE w:val="0"/>
        <w:autoSpaceDN w:val="0"/>
        <w:spacing w:line="380" w:lineRule="exact"/>
        <w:rPr>
          <w:rFonts w:hint="default"/>
          <w:color w:val="auto"/>
          <w:highlight w:val="none"/>
        </w:rPr>
      </w:pPr>
    </w:p>
    <w:p>
      <w:pPr>
        <w:pStyle w:val="0"/>
        <w:autoSpaceDE w:val="0"/>
        <w:autoSpaceDN w:val="0"/>
        <w:spacing w:line="380" w:lineRule="exact"/>
        <w:rPr>
          <w:rFonts w:hint="default"/>
          <w:color w:val="auto"/>
          <w:highlight w:val="none"/>
        </w:rPr>
      </w:pPr>
    </w:p>
    <w:p>
      <w:pPr>
        <w:pStyle w:val="0"/>
        <w:autoSpaceDE w:val="0"/>
        <w:autoSpaceDN w:val="0"/>
        <w:spacing w:line="380" w:lineRule="exact"/>
        <w:rPr>
          <w:rFonts w:hint="default"/>
          <w:color w:val="auto"/>
          <w:highlight w:val="none"/>
        </w:rPr>
      </w:pPr>
    </w:p>
    <w:p>
      <w:pPr>
        <w:pStyle w:val="0"/>
        <w:autoSpaceDE w:val="0"/>
        <w:autoSpaceDN w:val="0"/>
        <w:spacing w:line="380" w:lineRule="exact"/>
        <w:rPr>
          <w:rFonts w:hint="default"/>
          <w:color w:val="auto"/>
          <w:highlight w:val="none"/>
        </w:rPr>
      </w:pPr>
    </w:p>
    <w:p>
      <w:pPr>
        <w:pStyle w:val="0"/>
        <w:autoSpaceDE w:val="0"/>
        <w:autoSpaceDN w:val="0"/>
        <w:spacing w:line="380" w:lineRule="exact"/>
        <w:rPr>
          <w:rFonts w:hint="default"/>
          <w:color w:val="auto"/>
          <w:highlight w:val="none"/>
        </w:rPr>
      </w:pPr>
    </w:p>
    <w:p>
      <w:pPr>
        <w:pStyle w:val="0"/>
        <w:tabs>
          <w:tab w:val="left" w:leader="none" w:pos="3520"/>
        </w:tabs>
        <w:autoSpaceDE w:val="0"/>
        <w:autoSpaceDN w:val="0"/>
        <w:spacing w:line="380" w:lineRule="exact"/>
        <w:rPr>
          <w:rFonts w:hint="default"/>
          <w:color w:val="auto"/>
          <w:highlight w:val="none"/>
        </w:rPr>
      </w:pPr>
      <w:r>
        <w:rPr>
          <w:rFonts w:hint="default"/>
          <w:color w:val="auto"/>
          <w:highlight w:val="none"/>
        </w:rPr>
        <w:tab/>
      </w:r>
    </w:p>
    <w:p>
      <w:pPr>
        <w:pStyle w:val="0"/>
        <w:autoSpaceDE w:val="0"/>
        <w:autoSpaceDN w:val="0"/>
        <w:spacing w:before="370" w:beforeLines="100" w:beforeAutospacing="0"/>
        <w:jc w:val="right"/>
        <w:rPr>
          <w:rFonts w:hint="default" w:ascii="ＭＳ Ｐゴシック" w:hAnsi="ＭＳ Ｐゴシック" w:eastAsia="ＭＳ Ｐゴシック"/>
          <w:color w:val="auto"/>
          <w:sz w:val="19"/>
          <w:highlight w:val="none"/>
        </w:rPr>
      </w:pPr>
      <w:r>
        <w:rPr>
          <w:rFonts w:hint="default"/>
          <w:color w:val="auto"/>
          <w:highlight w:val="none"/>
        </w:rPr>
        <mc:AlternateContent>
          <mc:Choice Requires="wpg">
            <w:drawing>
              <wp:anchor distT="0" distB="0" distL="114300" distR="114300" simplePos="0" relativeHeight="51" behindDoc="1" locked="0" layoutInCell="1" hidden="0" allowOverlap="1">
                <wp:simplePos x="0" y="0"/>
                <wp:positionH relativeFrom="column">
                  <wp:posOffset>433070</wp:posOffset>
                </wp:positionH>
                <wp:positionV relativeFrom="paragraph">
                  <wp:posOffset>36195</wp:posOffset>
                </wp:positionV>
                <wp:extent cx="4916170" cy="219710"/>
                <wp:effectExtent l="0" t="36195" r="29210" b="635"/>
                <wp:wrapNone/>
                <wp:docPr id="1053" name="グループ化 8"/>
                <a:graphic xmlns:a="http://schemas.openxmlformats.org/drawingml/2006/main">
                  <a:graphicData uri="http://schemas.microsoft.com/office/word/2010/wordprocessingGroup">
                    <wpg:wgp>
                      <wpg:cNvGrpSpPr/>
                      <wpg:grpSpPr>
                        <a:xfrm>
                          <a:off x="0" y="0"/>
                          <a:ext cx="4916170" cy="219710"/>
                          <a:chOff x="0" y="0"/>
                          <a:chExt cx="4916170" cy="219710"/>
                        </a:xfrm>
                      </wpg:grpSpPr>
                      <wpg:grpSp>
                        <wpg:cNvGrpSpPr/>
                        <wpg:grpSpPr>
                          <a:xfrm>
                            <a:off x="561975" y="0"/>
                            <a:ext cx="4354195" cy="219710"/>
                            <a:chOff x="0" y="0"/>
                            <a:chExt cx="4354195" cy="219710"/>
                          </a:xfrm>
                        </wpg:grpSpPr>
                        <wps:wsp>
                          <wps:cNvPr id="1055" name="直線矢印コネクタ 13"/>
                          <wps:cNvCnPr/>
                          <wps:spPr>
                            <a:xfrm>
                              <a:off x="0" y="0"/>
                              <a:ext cx="1439545" cy="0"/>
                            </a:xfrm>
                            <a:prstGeom prst="straightConnector1">
                              <a:avLst/>
                            </a:prstGeom>
                            <a:noFill/>
                            <a:ln w="6350" cap="flat" cmpd="sng" algn="ctr">
                              <a:solidFill>
                                <a:sysClr val="windowText" lastClr="000000"/>
                              </a:solidFill>
                              <a:prstDash val="solid"/>
                              <a:headEnd type="triangle"/>
                              <a:tailEnd type="triangle"/>
                            </a:ln>
                            <a:effectLst/>
                          </wps:spPr>
                          <wps:bodyPr/>
                        </wps:wsp>
                        <wps:wsp>
                          <wps:cNvPr id="1056" name="正方形/長方形 15"/>
                          <wps:cNvSpPr/>
                          <wps:spPr>
                            <a:xfrm>
                              <a:off x="161925" y="38100"/>
                              <a:ext cx="1143000" cy="179705"/>
                            </a:xfrm>
                            <a:prstGeom prst="rect">
                              <a:avLst/>
                            </a:prstGeom>
                            <a:noFill/>
                            <a:ln w="25400" cap="flat" cmpd="sng" algn="ctr">
                              <a:noFill/>
                              <a:prstDash val="solid"/>
                            </a:ln>
                            <a:effectLst/>
                          </wps:spPr>
                          <wps:txbx>
                            <w:txbxContent>
                              <w:p>
                                <w:pPr>
                                  <w:pStyle w:val="0"/>
                                  <w:spacing w:line="240" w:lineRule="exact"/>
                                  <w:jc w:val="center"/>
                                  <w:rPr>
                                    <w:rFonts w:hint="default" w:ascii="ＭＳ Ｐゴシック" w:hAnsi="ＭＳ Ｐゴシック" w:eastAsia="ＭＳ Ｐゴシック"/>
                                    <w:color w:val="000000" w:themeColor="text1"/>
                                    <w:sz w:val="18"/>
                                  </w:rPr>
                                </w:pPr>
                                <w:r>
                                  <w:rPr>
                                    <w:rFonts w:hint="default" w:ascii="ＭＳ Ｐゴシック" w:hAnsi="ＭＳ Ｐゴシック" w:eastAsia="ＭＳ Ｐゴシック"/>
                                    <w:color w:val="000000" w:themeColor="text1"/>
                                    <w:sz w:val="18"/>
                                  </w:rPr>
                                  <w:t>8</w:t>
                                </w:r>
                                <w:r>
                                  <w:rPr>
                                    <w:rFonts w:hint="eastAsia" w:ascii="ＭＳ Ｐゴシック" w:hAnsi="ＭＳ Ｐゴシック" w:eastAsia="ＭＳ Ｐゴシック"/>
                                    <w:color w:val="000000" w:themeColor="text1"/>
                                    <w:sz w:val="18"/>
                                  </w:rPr>
                                  <w:t>期計画（実績値）</w:t>
                                </w:r>
                              </w:p>
                            </w:txbxContent>
                          </wps:txbx>
                          <wps:bodyPr rot="0" vertOverflow="overflow" horzOverflow="overflow" wrap="square" lIns="0" tIns="0" rIns="0" bIns="0" numCol="1" spcCol="0" rtlCol="0" fromWordArt="0" anchor="t" anchorCtr="0" forceAA="0" compatLnSpc="1"/>
                        </wps:wsp>
                        <wps:wsp>
                          <wps:cNvPr id="1057" name="直線矢印コネクタ 14"/>
                          <wps:cNvCnPr/>
                          <wps:spPr>
                            <a:xfrm>
                              <a:off x="1466850" y="0"/>
                              <a:ext cx="1439545" cy="0"/>
                            </a:xfrm>
                            <a:prstGeom prst="straightConnector1">
                              <a:avLst/>
                            </a:prstGeom>
                            <a:noFill/>
                            <a:ln w="6350" cap="flat" cmpd="sng" algn="ctr">
                              <a:solidFill>
                                <a:sysClr val="windowText" lastClr="000000"/>
                              </a:solidFill>
                              <a:prstDash val="solid"/>
                              <a:headEnd type="triangle"/>
                              <a:tailEnd type="triangle"/>
                            </a:ln>
                            <a:effectLst/>
                          </wps:spPr>
                          <wps:bodyPr/>
                        </wps:wsp>
                        <wps:wsp>
                          <wps:cNvPr id="1058" name="正方形/長方形 30"/>
                          <wps:cNvSpPr/>
                          <wps:spPr>
                            <a:xfrm>
                              <a:off x="1638300" y="28575"/>
                              <a:ext cx="1143000" cy="179705"/>
                            </a:xfrm>
                            <a:prstGeom prst="rect">
                              <a:avLst/>
                            </a:prstGeom>
                            <a:noFill/>
                            <a:ln w="25400" cap="flat" cmpd="sng" algn="ctr">
                              <a:noFill/>
                              <a:prstDash val="solid"/>
                            </a:ln>
                            <a:effectLst/>
                          </wps:spPr>
                          <wps:txbx>
                            <w:txbxContent>
                              <w:p>
                                <w:pPr>
                                  <w:pStyle w:val="0"/>
                                  <w:spacing w:line="240" w:lineRule="exact"/>
                                  <w:jc w:val="center"/>
                                  <w:rPr>
                                    <w:rFonts w:hint="default" w:ascii="ＭＳ Ｐゴシック" w:hAnsi="ＭＳ Ｐゴシック" w:eastAsia="ＭＳ Ｐゴシック"/>
                                    <w:color w:val="000000" w:themeColor="text1"/>
                                    <w:sz w:val="18"/>
                                  </w:rPr>
                                </w:pPr>
                                <w:r>
                                  <w:rPr>
                                    <w:rFonts w:hint="default" w:ascii="ＭＳ Ｐゴシック" w:hAnsi="ＭＳ Ｐゴシック" w:eastAsia="ＭＳ Ｐゴシック"/>
                                    <w:color w:val="000000" w:themeColor="text1"/>
                                    <w:sz w:val="18"/>
                                  </w:rPr>
                                  <w:t>9</w:t>
                                </w:r>
                                <w:r>
                                  <w:rPr>
                                    <w:rFonts w:hint="eastAsia" w:ascii="ＭＳ Ｐゴシック" w:hAnsi="ＭＳ Ｐゴシック" w:eastAsia="ＭＳ Ｐゴシック"/>
                                    <w:color w:val="000000" w:themeColor="text1"/>
                                    <w:sz w:val="18"/>
                                  </w:rPr>
                                  <w:t>期計画（推計値）</w:t>
                                </w:r>
                              </w:p>
                            </w:txbxContent>
                          </wps:txbx>
                          <wps:bodyPr rot="0" vertOverflow="overflow" horzOverflow="overflow" wrap="square" lIns="0" tIns="0" rIns="0" bIns="0" numCol="1" spcCol="0" rtlCol="0" fromWordArt="0" anchor="t" anchorCtr="0" forceAA="0" compatLnSpc="1"/>
                        </wps:wsp>
                        <wps:wsp>
                          <wps:cNvPr id="1059" name="正方形/長方形 20"/>
                          <wps:cNvSpPr/>
                          <wps:spPr>
                            <a:xfrm>
                              <a:off x="3400425" y="47625"/>
                              <a:ext cx="561340" cy="172085"/>
                            </a:xfrm>
                            <a:prstGeom prst="rect">
                              <a:avLst/>
                            </a:prstGeom>
                            <a:noFill/>
                            <a:ln w="25400" cap="flat" cmpd="sng" algn="ctr">
                              <a:noFill/>
                              <a:prstDash val="solid"/>
                            </a:ln>
                            <a:effectLst/>
                          </wps:spPr>
                          <wps:txbx>
                            <w:txbxContent>
                              <w:p>
                                <w:pPr>
                                  <w:pStyle w:val="0"/>
                                  <w:spacing w:line="240" w:lineRule="exact"/>
                                  <w:jc w:val="center"/>
                                  <w:rPr>
                                    <w:rFonts w:hint="default" w:ascii="ＭＳ Ｐゴシック" w:hAnsi="ＭＳ Ｐゴシック" w:eastAsia="ＭＳ Ｐゴシック"/>
                                    <w:color w:val="000000" w:themeColor="text1"/>
                                    <w:sz w:val="18"/>
                                  </w:rPr>
                                </w:pPr>
                                <w:r>
                                  <w:rPr>
                                    <w:rFonts w:hint="eastAsia" w:ascii="ＭＳ Ｐゴシック" w:hAnsi="ＭＳ Ｐゴシック" w:eastAsia="ＭＳ Ｐゴシック"/>
                                    <w:color w:val="000000" w:themeColor="text1"/>
                                    <w:sz w:val="18"/>
                                  </w:rPr>
                                  <w:t>推計値</w:t>
                                </w:r>
                              </w:p>
                            </w:txbxContent>
                          </wps:txbx>
                          <wps:bodyPr rot="0" vertOverflow="overflow" horzOverflow="overflow" wrap="square" lIns="0" tIns="0" rIns="0" bIns="0" numCol="1" spcCol="0" rtlCol="0" fromWordArt="0" anchor="t" anchorCtr="0" forceAA="0" compatLnSpc="1"/>
                        </wps:wsp>
                        <wps:wsp>
                          <wps:cNvPr id="1060" name="直線矢印コネクタ 14"/>
                          <wps:cNvCnPr/>
                          <wps:spPr>
                            <a:xfrm>
                              <a:off x="2914650" y="0"/>
                              <a:ext cx="1439545" cy="0"/>
                            </a:xfrm>
                            <a:prstGeom prst="straightConnector1">
                              <a:avLst/>
                            </a:prstGeom>
                            <a:noFill/>
                            <a:ln w="6350" cap="flat" cmpd="sng" algn="ctr">
                              <a:solidFill>
                                <a:sysClr val="windowText" lastClr="000000"/>
                              </a:solidFill>
                              <a:prstDash val="solid"/>
                              <a:headEnd type="triangle"/>
                              <a:tailEnd type="triangle"/>
                            </a:ln>
                            <a:effectLst/>
                          </wps:spPr>
                          <wps:bodyPr/>
                        </wps:wsp>
                      </wpg:grpSp>
                      <wps:wsp>
                        <wps:cNvPr id="1061" name="正方形/長方形 20"/>
                        <wps:cNvSpPr/>
                        <wps:spPr>
                          <a:xfrm>
                            <a:off x="0" y="47625"/>
                            <a:ext cx="561340" cy="172085"/>
                          </a:xfrm>
                          <a:prstGeom prst="rect">
                            <a:avLst/>
                          </a:prstGeom>
                          <a:noFill/>
                          <a:ln w="25400" cap="flat" cmpd="sng" algn="ctr">
                            <a:noFill/>
                            <a:prstDash val="solid"/>
                          </a:ln>
                          <a:effectLst/>
                        </wps:spPr>
                        <wps:txbx>
                          <w:txbxContent>
                            <w:p>
                              <w:pPr>
                                <w:pStyle w:val="0"/>
                                <w:spacing w:line="240" w:lineRule="exact"/>
                                <w:jc w:val="center"/>
                                <w:rPr>
                                  <w:rFonts w:hint="default" w:ascii="ＭＳ Ｐゴシック" w:hAnsi="ＭＳ Ｐゴシック" w:eastAsia="ＭＳ Ｐゴシック"/>
                                  <w:color w:val="000000" w:themeColor="text1"/>
                                  <w:sz w:val="18"/>
                                </w:rPr>
                              </w:pPr>
                              <w:r>
                                <w:rPr>
                                  <w:rFonts w:hint="eastAsia" w:ascii="ＭＳ Ｐゴシック" w:hAnsi="ＭＳ Ｐゴシック" w:eastAsia="ＭＳ Ｐゴシック"/>
                                  <w:color w:val="000000" w:themeColor="text1"/>
                                  <w:sz w:val="18"/>
                                </w:rPr>
                                <w:t>実績値</w:t>
                              </w:r>
                            </w:p>
                          </w:txbxContent>
                        </wps:txbx>
                        <wps:bodyPr rot="0" vertOverflow="overflow" horzOverflow="overflow" wrap="square" lIns="0" tIns="0" rIns="0" bIns="0" numCol="1" spcCol="0" rtlCol="0" fromWordArt="0" anchor="t" anchorCtr="0" forceAA="0" compatLnSpc="1"/>
                      </wps:wsp>
                    </wpg:wgp>
                  </a:graphicData>
                </a:graphic>
              </wp:anchor>
            </w:drawing>
          </mc:Choice>
          <mc:Fallback>
            <w:pict>
              <v:group id="グループ化 8" style="mso-wrap-distance-right:9pt;mso-wrap-distance-bottom:0pt;margin-top:2.85pt;mso-position-vertical-relative:text;mso-position-horizontal-relative:text;position:absolute;height:17.3pt;mso-wrap-distance-top:0pt;width:387.1pt;mso-wrap-distance-left:9pt;margin-left:34.1pt;z-index:-503316429;" coordsize="4916170,219710" coordorigin="0,0" o:spid="_x0000_s1053" o:allowincell="t" o:allowoverlap="t">
                <v:group id="_x0000_s1054" style="height:219710;width:4354195;top:0;left:561975;position:absolute;" coordsize="4354195,219710" coordorigin="0,0">
                  <v:shapetype id="_x0000_t32" coordsize="21600,21600" o:spt="32" o:oned="t" path="m,l21600,21600e" filled="f">
                    <v:path arrowok="t" fillok="f" o:connecttype="none"/>
                    <o:lock v:ext="edit" shapetype="t"/>
                  </v:shapetype>
                  <v:shape id="直線矢印コネクタ 13" style="height:0;width:1439545;top:0;left:0;position:absolute;" o:spid="_x0000_s1055" filled="f" stroked="t" strokecolor="#000000" strokeweight="0.5pt" o:spt="32" type="#_x0000_t32">
                    <v:fill/>
                    <v:stroke linestyle="single" endcap="flat" dashstyle="solid" filltype="solid" startarrow="block" endarrow="block"/>
                    <v:imagedata o:title=""/>
                    <w10:wrap type="none" anchorx="text" anchory="text"/>
                  </v:shape>
                  <v:rect id="正方形/長方形 15" style="height:179705;width:1143000;top:38100;left:161925;position:absolute;" o:spid="_x0000_s1056" filled="f" stroked="f" strokeweight="2pt" o:spt="1">
                    <v:fill/>
                    <v:stroke linestyle="single" endcap="flat" dashstyle="solid"/>
                    <v:textbox style="layout-flow:horizontal;" inset="0mm,0mm,0mm,0mm">
                      <w:txbxContent>
                        <w:p>
                          <w:pPr>
                            <w:pStyle w:val="0"/>
                            <w:spacing w:line="240" w:lineRule="exact"/>
                            <w:jc w:val="center"/>
                            <w:rPr>
                              <w:rFonts w:hint="default" w:ascii="ＭＳ Ｐゴシック" w:hAnsi="ＭＳ Ｐゴシック" w:eastAsia="ＭＳ Ｐゴシック"/>
                              <w:color w:val="000000" w:themeColor="text1"/>
                              <w:sz w:val="18"/>
                            </w:rPr>
                          </w:pPr>
                          <w:r>
                            <w:rPr>
                              <w:rFonts w:hint="default" w:ascii="ＭＳ Ｐゴシック" w:hAnsi="ＭＳ Ｐゴシック" w:eastAsia="ＭＳ Ｐゴシック"/>
                              <w:color w:val="000000" w:themeColor="text1"/>
                              <w:sz w:val="18"/>
                            </w:rPr>
                            <w:t>8</w:t>
                          </w:r>
                          <w:r>
                            <w:rPr>
                              <w:rFonts w:hint="eastAsia" w:ascii="ＭＳ Ｐゴシック" w:hAnsi="ＭＳ Ｐゴシック" w:eastAsia="ＭＳ Ｐゴシック"/>
                              <w:color w:val="000000" w:themeColor="text1"/>
                              <w:sz w:val="18"/>
                            </w:rPr>
                            <w:t>期計画（実績値）</w:t>
                          </w:r>
                        </w:p>
                      </w:txbxContent>
                    </v:textbox>
                    <v:imagedata o:title=""/>
                    <w10:wrap type="none" anchorx="text" anchory="text"/>
                  </v:rect>
                  <v:shape id="直線矢印コネクタ 14" style="height:0;width:1439545;top:0;left:1466850;position:absolute;" o:spid="_x0000_s1057" filled="f" stroked="t" strokecolor="#000000" strokeweight="0.5pt" o:spt="32" type="#_x0000_t32">
                    <v:fill/>
                    <v:stroke linestyle="single" endcap="flat" dashstyle="solid" filltype="solid" startarrow="block" endarrow="block"/>
                    <v:imagedata o:title=""/>
                    <w10:wrap type="none" anchorx="text" anchory="text"/>
                  </v:shape>
                  <v:rect id="正方形/長方形 30" style="height:179705;width:1143000;top:28575;left:1638300;position:absolute;" o:spid="_x0000_s1058" filled="f" stroked="f" strokeweight="2pt" o:spt="1">
                    <v:fill/>
                    <v:stroke linestyle="single" endcap="flat" dashstyle="solid"/>
                    <v:textbox style="layout-flow:horizontal;" inset="0mm,0mm,0mm,0mm">
                      <w:txbxContent>
                        <w:p>
                          <w:pPr>
                            <w:pStyle w:val="0"/>
                            <w:spacing w:line="240" w:lineRule="exact"/>
                            <w:jc w:val="center"/>
                            <w:rPr>
                              <w:rFonts w:hint="default" w:ascii="ＭＳ Ｐゴシック" w:hAnsi="ＭＳ Ｐゴシック" w:eastAsia="ＭＳ Ｐゴシック"/>
                              <w:color w:val="000000" w:themeColor="text1"/>
                              <w:sz w:val="18"/>
                            </w:rPr>
                          </w:pPr>
                          <w:r>
                            <w:rPr>
                              <w:rFonts w:hint="default" w:ascii="ＭＳ Ｐゴシック" w:hAnsi="ＭＳ Ｐゴシック" w:eastAsia="ＭＳ Ｐゴシック"/>
                              <w:color w:val="000000" w:themeColor="text1"/>
                              <w:sz w:val="18"/>
                            </w:rPr>
                            <w:t>9</w:t>
                          </w:r>
                          <w:r>
                            <w:rPr>
                              <w:rFonts w:hint="eastAsia" w:ascii="ＭＳ Ｐゴシック" w:hAnsi="ＭＳ Ｐゴシック" w:eastAsia="ＭＳ Ｐゴシック"/>
                              <w:color w:val="000000" w:themeColor="text1"/>
                              <w:sz w:val="18"/>
                            </w:rPr>
                            <w:t>期計画（推計値）</w:t>
                          </w:r>
                        </w:p>
                      </w:txbxContent>
                    </v:textbox>
                    <v:imagedata o:title=""/>
                    <w10:wrap type="none" anchorx="text" anchory="text"/>
                  </v:rect>
                  <v:rect id="正方形/長方形 20" style="height:172085;width:561340;top:47625;left:3400425;position:absolute;" o:spid="_x0000_s1059" filled="f" stroked="f" strokeweight="2pt" o:spt="1">
                    <v:fill/>
                    <v:stroke linestyle="single" endcap="flat" dashstyle="solid"/>
                    <v:textbox style="layout-flow:horizontal;" inset="0mm,0mm,0mm,0mm">
                      <w:txbxContent>
                        <w:p>
                          <w:pPr>
                            <w:pStyle w:val="0"/>
                            <w:spacing w:line="240" w:lineRule="exact"/>
                            <w:jc w:val="center"/>
                            <w:rPr>
                              <w:rFonts w:hint="default" w:ascii="ＭＳ Ｐゴシック" w:hAnsi="ＭＳ Ｐゴシック" w:eastAsia="ＭＳ Ｐゴシック"/>
                              <w:color w:val="000000" w:themeColor="text1"/>
                              <w:sz w:val="18"/>
                            </w:rPr>
                          </w:pPr>
                          <w:r>
                            <w:rPr>
                              <w:rFonts w:hint="eastAsia" w:ascii="ＭＳ Ｐゴシック" w:hAnsi="ＭＳ Ｐゴシック" w:eastAsia="ＭＳ Ｐゴシック"/>
                              <w:color w:val="000000" w:themeColor="text1"/>
                              <w:sz w:val="18"/>
                            </w:rPr>
                            <w:t>推計値</w:t>
                          </w:r>
                        </w:p>
                      </w:txbxContent>
                    </v:textbox>
                    <v:imagedata o:title=""/>
                    <w10:wrap type="none" anchorx="text" anchory="text"/>
                  </v:rect>
                  <v:shape id="直線矢印コネクタ 14" style="height:0;width:1439545;top:0;left:2914650;position:absolute;" o:spid="_x0000_s1060" filled="f" stroked="t" strokecolor="#000000" strokeweight="0.5pt" o:spt="32" type="#_x0000_t32">
                    <v:fill/>
                    <v:stroke linestyle="single" endcap="flat" dashstyle="solid" filltype="solid" startarrow="block" endarrow="block"/>
                    <v:imagedata o:title=""/>
                    <w10:wrap type="none" anchorx="text" anchory="text"/>
                  </v:shape>
                  <w10:wrap type="none" anchorx="text" anchory="text"/>
                </v:group>
                <v:rect id="正方形/長方形 20" style="height:172085;width:561340;top:47625;left:0;position:absolute;" o:spid="_x0000_s1061" filled="f" stroked="f" strokeweight="2pt" o:spt="1">
                  <v:fill/>
                  <v:stroke linestyle="single" endcap="flat" dashstyle="solid"/>
                  <v:textbox style="layout-flow:horizontal;" inset="0mm,0mm,0mm,0mm">
                    <w:txbxContent>
                      <w:p>
                        <w:pPr>
                          <w:pStyle w:val="0"/>
                          <w:spacing w:line="240" w:lineRule="exact"/>
                          <w:jc w:val="center"/>
                          <w:rPr>
                            <w:rFonts w:hint="default" w:ascii="ＭＳ Ｐゴシック" w:hAnsi="ＭＳ Ｐゴシック" w:eastAsia="ＭＳ Ｐゴシック"/>
                            <w:color w:val="000000" w:themeColor="text1"/>
                            <w:sz w:val="18"/>
                          </w:rPr>
                        </w:pPr>
                        <w:r>
                          <w:rPr>
                            <w:rFonts w:hint="eastAsia" w:ascii="ＭＳ Ｐゴシック" w:hAnsi="ＭＳ Ｐゴシック" w:eastAsia="ＭＳ Ｐゴシック"/>
                            <w:color w:val="000000" w:themeColor="text1"/>
                            <w:sz w:val="18"/>
                          </w:rPr>
                          <w:t>実績値</w:t>
                        </w:r>
                      </w:p>
                    </w:txbxContent>
                  </v:textbox>
                  <v:imagedata o:title=""/>
                  <w10:wrap type="none" anchorx="text" anchory="text"/>
                </v:rect>
                <w10:wrap type="none" anchorx="text" anchory="text"/>
              </v:group>
            </w:pict>
          </mc:Fallback>
        </mc:AlternateContent>
      </w:r>
      <w:r>
        <w:rPr>
          <w:rFonts w:hint="eastAsia"/>
          <w:color w:val="auto"/>
          <w:sz w:val="19"/>
          <w:highlight w:val="none"/>
        </w:rPr>
        <w:t>資料：</w:t>
      </w:r>
      <w:r>
        <w:rPr>
          <w:rFonts w:hint="eastAsia"/>
          <w:color w:val="auto"/>
          <w:w w:val="90"/>
          <w:sz w:val="19"/>
          <w:highlight w:val="none"/>
        </w:rPr>
        <w:t>令</w:t>
      </w:r>
      <w:r>
        <w:rPr>
          <w:rFonts w:hint="eastAsia" w:ascii="ＭＳ Ｐゴシック" w:hAnsi="ＭＳ Ｐゴシック" w:eastAsia="ＭＳ Ｐゴシック"/>
          <w:color w:val="auto"/>
          <w:w w:val="90"/>
          <w:sz w:val="19"/>
          <w:highlight w:val="none"/>
        </w:rPr>
        <w:t>和２年から令和５年介護保険事業状況報告（各年９月末現在）・令和６年から推計人口と令和５年認定率により推計</w:t>
      </w:r>
    </w:p>
    <w:p>
      <w:pPr>
        <w:pStyle w:val="0"/>
        <w:widowControl w:val="1"/>
        <w:spacing w:before="185" w:beforeLines="50" w:beforeAutospacing="0" w:line="380" w:lineRule="exact"/>
        <w:jc w:val="center"/>
        <w:rPr>
          <w:rFonts w:hint="default"/>
          <w:color w:val="auto"/>
          <w:sz w:val="21"/>
          <w:highlight w:val="none"/>
        </w:rPr>
      </w:pPr>
      <w:r>
        <w:rPr>
          <w:rFonts w:hint="default"/>
          <w:color w:val="auto"/>
          <w:highlight w:val="none"/>
        </w:rPr>
        <w:drawing>
          <wp:anchor distT="0" distB="0" distL="114300" distR="114300" simplePos="0" relativeHeight="67" behindDoc="0" locked="0" layoutInCell="1" hidden="0" allowOverlap="1">
            <wp:simplePos x="0" y="0"/>
            <wp:positionH relativeFrom="column">
              <wp:posOffset>128905</wp:posOffset>
            </wp:positionH>
            <wp:positionV relativeFrom="paragraph">
              <wp:posOffset>281305</wp:posOffset>
            </wp:positionV>
            <wp:extent cx="5716905" cy="2166620"/>
            <wp:effectExtent l="0" t="0" r="0" b="0"/>
            <wp:wrapNone/>
            <wp:docPr id="1062" name="Picture 3"/>
            <a:graphic xmlns:a="http://schemas.openxmlformats.org/drawingml/2006/main">
              <a:graphicData uri="http://schemas.openxmlformats.org/drawingml/2006/picture">
                <pic:pic xmlns:pic="http://schemas.openxmlformats.org/drawingml/2006/picture">
                  <pic:nvPicPr>
                    <pic:cNvPr id="1062" name="Picture 3"/>
                    <pic:cNvPicPr>
                      <a:picLocks noChangeAspect="1" noChangeArrowheads="1"/>
                    </pic:cNvPicPr>
                  </pic:nvPicPr>
                  <pic:blipFill>
                    <a:blip r:embed="rId14"/>
                    <a:stretch>
                      <a:fillRect/>
                    </a:stretch>
                  </pic:blipFill>
                  <pic:spPr>
                    <a:xfrm>
                      <a:off x="0" y="0"/>
                      <a:ext cx="5716905" cy="2166620"/>
                    </a:xfrm>
                    <a:prstGeom prst="rect">
                      <a:avLst/>
                    </a:prstGeom>
                    <a:noFill/>
                    <a:ln>
                      <a:noFill/>
                    </a:ln>
                  </pic:spPr>
                </pic:pic>
              </a:graphicData>
            </a:graphic>
          </wp:anchor>
        </w:drawing>
      </w:r>
      <w:r>
        <w:rPr>
          <w:rFonts w:hint="eastAsia"/>
          <w:color w:val="auto"/>
          <w:sz w:val="21"/>
          <w:highlight w:val="none"/>
        </w:rPr>
        <w:t>図表　年齢区分別の認定者数と認定率の推移・推計（廿日市市）</w:t>
      </w:r>
    </w:p>
    <w:p>
      <w:pPr>
        <w:pStyle w:val="0"/>
        <w:widowControl w:val="1"/>
        <w:spacing w:line="380" w:lineRule="exact"/>
        <w:jc w:val="left"/>
        <w:rPr>
          <w:rFonts w:hint="default"/>
          <w:color w:val="auto"/>
          <w:highlight w:val="none"/>
        </w:rPr>
      </w:pPr>
      <w:r>
        <w:rPr>
          <w:rFonts w:hint="default"/>
          <w:color w:val="auto"/>
          <w:highlight w:val="none"/>
        </w:rPr>
        <mc:AlternateContent>
          <mc:Choice Requires="wps">
            <w:drawing>
              <wp:anchor distT="0" distB="0" distL="114299" distR="114299" simplePos="0" relativeHeight="73" behindDoc="0" locked="0" layoutInCell="1" hidden="0" allowOverlap="1">
                <wp:simplePos x="0" y="0"/>
                <wp:positionH relativeFrom="column">
                  <wp:posOffset>2166620</wp:posOffset>
                </wp:positionH>
                <wp:positionV relativeFrom="paragraph">
                  <wp:posOffset>143510</wp:posOffset>
                </wp:positionV>
                <wp:extent cx="0" cy="2087880"/>
                <wp:effectExtent l="635" t="0" r="29845" b="9525"/>
                <wp:wrapNone/>
                <wp:docPr id="1063" name="直線コネクタ 9"/>
                <a:graphic xmlns:a="http://schemas.openxmlformats.org/drawingml/2006/main">
                  <a:graphicData uri="http://schemas.microsoft.com/office/word/2010/wordprocessingShape">
                    <wps:wsp>
                      <wps:cNvPr id="1063" name="直線コネクタ 9"/>
                      <wps:cNvSpPr/>
                      <wps:spPr>
                        <a:xfrm>
                          <a:off x="0" y="0"/>
                          <a:ext cx="0" cy="2087880"/>
                        </a:xfrm>
                        <a:prstGeom prst="line">
                          <a:avLst/>
                        </a:prstGeom>
                        <a:noFill/>
                        <a:ln w="6350" cap="flat" cmpd="sng" algn="ctr">
                          <a:solidFill>
                            <a:sysClr val="windowText" lastClr="000000"/>
                          </a:solidFill>
                          <a:prstDash val="dash"/>
                        </a:ln>
                        <a:effectLst/>
                      </wps:spPr>
                      <wps:bodyPr/>
                    </wps:wsp>
                  </a:graphicData>
                </a:graphic>
              </wp:anchor>
            </w:drawing>
          </mc:Choice>
          <mc:Fallback>
            <w:pict>
              <v:line id="直線コネクタ 9" style="mso-wrap-distance-top:0pt;mso-wrap-distance-right:8.94pt;mso-wrap-distance-bottom:0pt;mso-position-vertical-relative:text;mso-position-horizontal-relative:text;position:absolute;mso-wrap-distance-left:8.94pt;z-index:73;" o:spid="_x0000_s1063" o:allowincell="t" o:allowoverlap="t" filled="f" stroked="t" strokecolor="#000000" strokeweight="0.5pt" o:spt="20" from="170.60000000000002pt,11.3pt" to="170.60000000000002pt,175.7pt">
                <v:fill/>
                <v:stroke linestyle="single" endcap="flat" dashstyle="dash" filltype="solid"/>
                <v:textbox style="layout-flow:horizontal;"/>
                <v:imagedata o:title=""/>
                <w10:wrap type="none" anchorx="text" anchory="text"/>
              </v:line>
            </w:pict>
          </mc:Fallback>
        </mc:AlternateContent>
      </w:r>
    </w:p>
    <w:p>
      <w:pPr>
        <w:pStyle w:val="0"/>
        <w:widowControl w:val="1"/>
        <w:spacing w:line="380" w:lineRule="exact"/>
        <w:jc w:val="left"/>
        <w:rPr>
          <w:rFonts w:hint="default"/>
          <w:color w:val="auto"/>
          <w:highlight w:val="none"/>
        </w:rPr>
      </w:pPr>
    </w:p>
    <w:p>
      <w:pPr>
        <w:pStyle w:val="0"/>
        <w:widowControl w:val="1"/>
        <w:spacing w:line="380" w:lineRule="exact"/>
        <w:jc w:val="left"/>
        <w:rPr>
          <w:rFonts w:hint="default"/>
          <w:color w:val="auto"/>
          <w:highlight w:val="none"/>
        </w:rPr>
      </w:pPr>
    </w:p>
    <w:p>
      <w:pPr>
        <w:pStyle w:val="0"/>
        <w:widowControl w:val="1"/>
        <w:spacing w:line="380" w:lineRule="exact"/>
        <w:jc w:val="left"/>
        <w:rPr>
          <w:rFonts w:hint="default"/>
          <w:color w:val="auto"/>
          <w:highlight w:val="none"/>
        </w:rPr>
      </w:pPr>
    </w:p>
    <w:p>
      <w:pPr>
        <w:pStyle w:val="0"/>
        <w:widowControl w:val="1"/>
        <w:spacing w:line="380" w:lineRule="exact"/>
        <w:jc w:val="left"/>
        <w:rPr>
          <w:rFonts w:hint="default"/>
          <w:color w:val="auto"/>
          <w:highlight w:val="none"/>
        </w:rPr>
      </w:pPr>
    </w:p>
    <w:p>
      <w:pPr>
        <w:pStyle w:val="0"/>
        <w:widowControl w:val="1"/>
        <w:spacing w:line="380" w:lineRule="exact"/>
        <w:jc w:val="left"/>
        <w:rPr>
          <w:rFonts w:hint="default"/>
          <w:color w:val="auto"/>
          <w:highlight w:val="none"/>
        </w:rPr>
      </w:pPr>
    </w:p>
    <w:p>
      <w:pPr>
        <w:pStyle w:val="0"/>
        <w:widowControl w:val="1"/>
        <w:spacing w:line="380" w:lineRule="exact"/>
        <w:jc w:val="left"/>
        <w:rPr>
          <w:rFonts w:hint="default"/>
          <w:color w:val="auto"/>
          <w:highlight w:val="none"/>
        </w:rPr>
      </w:pPr>
    </w:p>
    <w:p>
      <w:pPr>
        <w:pStyle w:val="0"/>
        <w:widowControl w:val="1"/>
        <w:spacing w:line="380" w:lineRule="exact"/>
        <w:jc w:val="left"/>
        <w:rPr>
          <w:rFonts w:hint="default"/>
          <w:color w:val="auto"/>
          <w:highlight w:val="none"/>
        </w:rPr>
      </w:pPr>
    </w:p>
    <w:p>
      <w:pPr>
        <w:pStyle w:val="0"/>
        <w:widowControl w:val="1"/>
        <w:spacing w:after="185" w:afterLines="50" w:afterAutospacing="0" w:line="380" w:lineRule="exact"/>
        <w:jc w:val="left"/>
        <w:rPr>
          <w:rFonts w:hint="default"/>
          <w:color w:val="auto"/>
          <w:highlight w:val="none"/>
        </w:rPr>
      </w:pPr>
      <w:r>
        <w:rPr>
          <w:rFonts w:hint="eastAsia"/>
          <w:color w:val="auto"/>
          <w:highlight w:val="none"/>
        </w:rPr>
        <mc:AlternateContent>
          <mc:Choice Requires="wpg">
            <w:drawing>
              <wp:anchor distT="0" distB="0" distL="114300" distR="114300" simplePos="0" relativeHeight="68" behindDoc="1" locked="0" layoutInCell="1" hidden="0" allowOverlap="1">
                <wp:simplePos x="0" y="0"/>
                <wp:positionH relativeFrom="column">
                  <wp:posOffset>724535</wp:posOffset>
                </wp:positionH>
                <wp:positionV relativeFrom="paragraph">
                  <wp:posOffset>141605</wp:posOffset>
                </wp:positionV>
                <wp:extent cx="3463290" cy="179705"/>
                <wp:effectExtent l="635" t="28575" r="29210" b="635"/>
                <wp:wrapNone/>
                <wp:docPr id="1064" name="グループ化 18"/>
                <a:graphic xmlns:a="http://schemas.openxmlformats.org/drawingml/2006/main">
                  <a:graphicData uri="http://schemas.microsoft.com/office/word/2010/wordprocessingGroup">
                    <wpg:wgp>
                      <wpg:cNvGrpSpPr/>
                      <wpg:grpSpPr>
                        <a:xfrm>
                          <a:off x="0" y="0"/>
                          <a:ext cx="3463290" cy="179705"/>
                          <a:chOff x="1466850" y="-7620"/>
                          <a:chExt cx="3463799" cy="179705"/>
                        </a:xfrm>
                      </wpg:grpSpPr>
                      <wps:wsp>
                        <wps:cNvPr id="1065" name="直線矢印コネクタ 14"/>
                        <wps:cNvCnPr/>
                        <wps:spPr>
                          <a:xfrm>
                            <a:off x="1466850" y="0"/>
                            <a:ext cx="1439545" cy="0"/>
                          </a:xfrm>
                          <a:prstGeom prst="straightConnector1">
                            <a:avLst/>
                          </a:prstGeom>
                          <a:noFill/>
                          <a:ln w="6350" cap="flat" cmpd="sng" algn="ctr">
                            <a:solidFill>
                              <a:sysClr val="windowText" lastClr="000000"/>
                            </a:solidFill>
                            <a:prstDash val="solid"/>
                            <a:headEnd type="triangle"/>
                            <a:tailEnd type="triangle"/>
                          </a:ln>
                          <a:effectLst/>
                        </wps:spPr>
                        <wps:bodyPr/>
                      </wps:wsp>
                      <wps:wsp>
                        <wps:cNvPr id="1066" name="正方形/長方形 30"/>
                        <wps:cNvSpPr/>
                        <wps:spPr>
                          <a:xfrm>
                            <a:off x="1638300" y="-7620"/>
                            <a:ext cx="1143168" cy="179705"/>
                          </a:xfrm>
                          <a:prstGeom prst="rect">
                            <a:avLst/>
                          </a:prstGeom>
                          <a:noFill/>
                          <a:ln w="25400" cap="flat" cmpd="sng" algn="ctr">
                            <a:noFill/>
                            <a:prstDash val="solid"/>
                          </a:ln>
                          <a:effectLst/>
                        </wps:spPr>
                        <wps:txbx>
                          <w:txbxContent>
                            <w:p>
                              <w:pPr>
                                <w:pStyle w:val="0"/>
                                <w:spacing w:line="240" w:lineRule="exact"/>
                                <w:jc w:val="center"/>
                                <w:rPr>
                                  <w:rFonts w:hint="default" w:ascii="ＭＳ Ｐゴシック" w:hAnsi="ＭＳ Ｐゴシック" w:eastAsia="ＭＳ Ｐゴシック"/>
                                  <w:color w:val="000000" w:themeColor="text1"/>
                                  <w:sz w:val="18"/>
                                </w:rPr>
                              </w:pPr>
                              <w:r>
                                <w:rPr>
                                  <w:rFonts w:hint="default" w:ascii="ＭＳ Ｐゴシック" w:hAnsi="ＭＳ Ｐゴシック" w:eastAsia="ＭＳ Ｐゴシック"/>
                                  <w:color w:val="000000" w:themeColor="text1"/>
                                  <w:sz w:val="18"/>
                                </w:rPr>
                                <w:t>8</w:t>
                              </w:r>
                              <w:r>
                                <w:rPr>
                                  <w:rFonts w:hint="eastAsia" w:ascii="ＭＳ Ｐゴシック" w:hAnsi="ＭＳ Ｐゴシック" w:eastAsia="ＭＳ Ｐゴシック"/>
                                  <w:color w:val="000000" w:themeColor="text1"/>
                                  <w:sz w:val="18"/>
                                </w:rPr>
                                <w:t>期計画（実績値）</w:t>
                              </w:r>
                            </w:p>
                          </w:txbxContent>
                        </wps:txbx>
                        <wps:bodyPr rot="0" vertOverflow="overflow" horzOverflow="overflow" wrap="square" lIns="0" tIns="0" rIns="0" bIns="0" numCol="1" spcCol="0" rtlCol="0" fromWordArt="0" anchor="t" anchorCtr="0" forceAA="0" compatLnSpc="1"/>
                      </wps:wsp>
                      <wps:wsp>
                        <wps:cNvPr id="1067" name="正方形/長方形 20"/>
                        <wps:cNvSpPr/>
                        <wps:spPr>
                          <a:xfrm>
                            <a:off x="3672274" y="0"/>
                            <a:ext cx="561423" cy="172085"/>
                          </a:xfrm>
                          <a:prstGeom prst="rect">
                            <a:avLst/>
                          </a:prstGeom>
                          <a:noFill/>
                          <a:ln w="25400" cap="flat" cmpd="sng" algn="ctr">
                            <a:noFill/>
                            <a:prstDash val="solid"/>
                          </a:ln>
                          <a:effectLst/>
                        </wps:spPr>
                        <wps:txbx>
                          <w:txbxContent>
                            <w:p>
                              <w:pPr>
                                <w:pStyle w:val="0"/>
                                <w:spacing w:line="240" w:lineRule="exact"/>
                                <w:jc w:val="center"/>
                                <w:rPr>
                                  <w:rFonts w:hint="default" w:ascii="ＭＳ Ｐゴシック" w:hAnsi="ＭＳ Ｐゴシック" w:eastAsia="ＭＳ Ｐゴシック"/>
                                  <w:color w:val="000000" w:themeColor="text1"/>
                                  <w:sz w:val="18"/>
                                </w:rPr>
                              </w:pPr>
                              <w:r>
                                <w:rPr>
                                  <w:rFonts w:hint="eastAsia" w:ascii="ＭＳ Ｐゴシック" w:hAnsi="ＭＳ Ｐゴシック" w:eastAsia="ＭＳ Ｐゴシック"/>
                                  <w:color w:val="000000" w:themeColor="text1"/>
                                  <w:sz w:val="18"/>
                                </w:rPr>
                                <w:t>推計値</w:t>
                              </w:r>
                            </w:p>
                          </w:txbxContent>
                        </wps:txbx>
                        <wps:bodyPr rot="0" vertOverflow="overflow" horzOverflow="overflow" wrap="square" lIns="0" tIns="0" rIns="0" bIns="0" numCol="1" spcCol="0" rtlCol="0" fromWordArt="0" anchor="t" anchorCtr="0" forceAA="0" compatLnSpc="1"/>
                      </wps:wsp>
                      <wps:wsp>
                        <wps:cNvPr id="1068" name="直線矢印コネクタ 14"/>
                        <wps:cNvCnPr/>
                        <wps:spPr>
                          <a:xfrm>
                            <a:off x="2914649" y="0"/>
                            <a:ext cx="2016000" cy="0"/>
                          </a:xfrm>
                          <a:prstGeom prst="straightConnector1">
                            <a:avLst/>
                          </a:prstGeom>
                          <a:noFill/>
                          <a:ln w="6350" cap="flat" cmpd="sng" algn="ctr">
                            <a:solidFill>
                              <a:sysClr val="windowText" lastClr="000000"/>
                            </a:solidFill>
                            <a:prstDash val="solid"/>
                            <a:headEnd type="triangle"/>
                            <a:tailEnd type="triangle"/>
                          </a:ln>
                          <a:effectLst/>
                        </wps:spPr>
                        <wps:bodyPr/>
                      </wps:wsp>
                    </wpg:wgp>
                  </a:graphicData>
                </a:graphic>
              </wp:anchor>
            </w:drawing>
          </mc:Choice>
          <mc:Fallback>
            <w:pict>
              <v:group id="グループ化 18" style="mso-wrap-distance-right:9pt;mso-wrap-distance-bottom:0pt;margin-top:11.15pt;mso-position-vertical-relative:text;mso-position-horizontal-relative:text;position:absolute;height:14.15pt;mso-wrap-distance-top:0pt;width:272.7pt;mso-wrap-distance-left:9pt;margin-left:57.05pt;z-index:-503316412;" coordsize="3463799,179705" coordorigin="1466850,-7620" o:spid="_x0000_s1064" o:allowincell="t" o:allowoverlap="t">
                <v:shapetype id="_x0000_t32" coordsize="21600,21600" o:spt="32" o:oned="t" path="m,l21600,21600e" filled="f">
                  <v:path arrowok="t" fillok="f" o:connecttype="none"/>
                  <o:lock v:ext="edit" shapetype="t"/>
                </v:shapetype>
                <v:shape id="直線矢印コネクタ 14" style="height:0;width:1439545;top:0;left:1466850;position:absolute;" o:spid="_x0000_s1065" filled="f" stroked="t" strokecolor="#000000" strokeweight="0.5pt" o:spt="32" type="#_x0000_t32">
                  <v:fill/>
                  <v:stroke linestyle="single" endcap="flat" dashstyle="solid" filltype="solid" startarrow="block" endarrow="block"/>
                  <v:imagedata o:title=""/>
                  <w10:wrap type="none" anchorx="text" anchory="text"/>
                </v:shape>
                <v:rect id="正方形/長方形 30" style="height:179705;width:1143168;top:-7620;left:1638300;position:absolute;" o:spid="_x0000_s1066" filled="f" stroked="f" strokeweight="2pt" o:spt="1">
                  <v:fill/>
                  <v:stroke linestyle="single" endcap="flat" dashstyle="solid"/>
                  <v:textbox style="layout-flow:horizontal;" inset="0mm,0mm,0mm,0mm">
                    <w:txbxContent>
                      <w:p>
                        <w:pPr>
                          <w:pStyle w:val="0"/>
                          <w:spacing w:line="240" w:lineRule="exact"/>
                          <w:jc w:val="center"/>
                          <w:rPr>
                            <w:rFonts w:hint="default" w:ascii="ＭＳ Ｐゴシック" w:hAnsi="ＭＳ Ｐゴシック" w:eastAsia="ＭＳ Ｐゴシック"/>
                            <w:color w:val="000000" w:themeColor="text1"/>
                            <w:sz w:val="18"/>
                          </w:rPr>
                        </w:pPr>
                        <w:r>
                          <w:rPr>
                            <w:rFonts w:hint="default" w:ascii="ＭＳ Ｐゴシック" w:hAnsi="ＭＳ Ｐゴシック" w:eastAsia="ＭＳ Ｐゴシック"/>
                            <w:color w:val="000000" w:themeColor="text1"/>
                            <w:sz w:val="18"/>
                          </w:rPr>
                          <w:t>8</w:t>
                        </w:r>
                        <w:r>
                          <w:rPr>
                            <w:rFonts w:hint="eastAsia" w:ascii="ＭＳ Ｐゴシック" w:hAnsi="ＭＳ Ｐゴシック" w:eastAsia="ＭＳ Ｐゴシック"/>
                            <w:color w:val="000000" w:themeColor="text1"/>
                            <w:sz w:val="18"/>
                          </w:rPr>
                          <w:t>期計画（実績値）</w:t>
                        </w:r>
                      </w:p>
                    </w:txbxContent>
                  </v:textbox>
                  <v:imagedata o:title=""/>
                  <w10:wrap type="none" anchorx="text" anchory="text"/>
                </v:rect>
                <v:rect id="正方形/長方形 20" style="height:172085;width:561423;top:0;left:3672274;position:absolute;" o:spid="_x0000_s1067" filled="f" stroked="f" strokeweight="2pt" o:spt="1">
                  <v:fill/>
                  <v:stroke linestyle="single" endcap="flat" dashstyle="solid"/>
                  <v:textbox style="layout-flow:horizontal;" inset="0mm,0mm,0mm,0mm">
                    <w:txbxContent>
                      <w:p>
                        <w:pPr>
                          <w:pStyle w:val="0"/>
                          <w:spacing w:line="240" w:lineRule="exact"/>
                          <w:jc w:val="center"/>
                          <w:rPr>
                            <w:rFonts w:hint="default" w:ascii="ＭＳ Ｐゴシック" w:hAnsi="ＭＳ Ｐゴシック" w:eastAsia="ＭＳ Ｐゴシック"/>
                            <w:color w:val="000000" w:themeColor="text1"/>
                            <w:sz w:val="18"/>
                          </w:rPr>
                        </w:pPr>
                        <w:r>
                          <w:rPr>
                            <w:rFonts w:hint="eastAsia" w:ascii="ＭＳ Ｐゴシック" w:hAnsi="ＭＳ Ｐゴシック" w:eastAsia="ＭＳ Ｐゴシック"/>
                            <w:color w:val="000000" w:themeColor="text1"/>
                            <w:sz w:val="18"/>
                          </w:rPr>
                          <w:t>推計値</w:t>
                        </w:r>
                      </w:p>
                    </w:txbxContent>
                  </v:textbox>
                  <v:imagedata o:title=""/>
                  <w10:wrap type="none" anchorx="text" anchory="text"/>
                </v:rect>
                <v:shape id="直線矢印コネクタ 14" style="height:0;width:2016000;top:0;left:2914649;position:absolute;" o:spid="_x0000_s1068" filled="f" stroked="t" strokecolor="#000000" strokeweight="0.5pt" o:spt="32" type="#_x0000_t32">
                  <v:fill/>
                  <v:stroke linestyle="single" endcap="flat" dashstyle="solid" filltype="solid" startarrow="block" endarrow="block"/>
                  <v:imagedata o:title=""/>
                  <w10:wrap type="none" anchorx="text" anchory="text"/>
                </v:shape>
                <w10:wrap type="none" anchorx="text" anchory="text"/>
              </v:group>
            </w:pict>
          </mc:Fallback>
        </mc:AlternateContent>
      </w:r>
    </w:p>
    <w:p>
      <w:pPr>
        <w:pStyle w:val="0"/>
        <w:widowControl w:val="1"/>
        <w:spacing w:line="380" w:lineRule="exact"/>
        <w:jc w:val="right"/>
        <w:rPr>
          <w:rFonts w:hint="default"/>
          <w:color w:val="auto"/>
          <w:w w:val="90"/>
          <w:highlight w:val="none"/>
        </w:rPr>
      </w:pPr>
      <w:r>
        <w:rPr>
          <w:rFonts w:hint="eastAsia" w:ascii="ＭＳ Ｐゴシック" w:hAnsi="ＭＳ Ｐゴシック" w:eastAsia="ＭＳ Ｐゴシック"/>
          <w:color w:val="auto"/>
          <w:w w:val="90"/>
          <w:sz w:val="20"/>
          <w:highlight w:val="none"/>
        </w:rPr>
        <w:t>資料：令和５</w:t>
      </w:r>
      <w:r>
        <w:rPr>
          <w:rFonts w:hint="default" w:ascii="ＭＳ Ｐゴシック" w:hAnsi="ＭＳ Ｐゴシック" w:eastAsia="ＭＳ Ｐゴシック"/>
          <w:color w:val="auto"/>
          <w:w w:val="90"/>
          <w:sz w:val="20"/>
          <w:highlight w:val="none"/>
        </w:rPr>
        <w:t>年介護保険事業状況報告（各年</w:t>
      </w:r>
      <w:r>
        <w:rPr>
          <w:rFonts w:hint="eastAsia" w:ascii="ＭＳ Ｐゴシック" w:hAnsi="ＭＳ Ｐゴシック" w:eastAsia="ＭＳ Ｐゴシック"/>
          <w:color w:val="auto"/>
          <w:w w:val="90"/>
          <w:sz w:val="20"/>
          <w:highlight w:val="none"/>
        </w:rPr>
        <w:t>９</w:t>
      </w:r>
      <w:r>
        <w:rPr>
          <w:rFonts w:hint="default" w:ascii="ＭＳ Ｐゴシック" w:hAnsi="ＭＳ Ｐゴシック" w:eastAsia="ＭＳ Ｐゴシック"/>
          <w:color w:val="auto"/>
          <w:w w:val="90"/>
          <w:sz w:val="20"/>
          <w:highlight w:val="none"/>
        </w:rPr>
        <w:t>月末現在）・令和</w:t>
      </w:r>
      <w:r>
        <w:rPr>
          <w:rFonts w:hint="eastAsia" w:ascii="ＭＳ Ｐゴシック" w:hAnsi="ＭＳ Ｐゴシック" w:eastAsia="ＭＳ Ｐゴシック"/>
          <w:color w:val="auto"/>
          <w:w w:val="90"/>
          <w:sz w:val="20"/>
          <w:highlight w:val="none"/>
        </w:rPr>
        <w:t>６</w:t>
      </w:r>
      <w:r>
        <w:rPr>
          <w:rFonts w:hint="default" w:ascii="ＭＳ Ｐゴシック" w:hAnsi="ＭＳ Ｐゴシック" w:eastAsia="ＭＳ Ｐゴシック"/>
          <w:color w:val="auto"/>
          <w:w w:val="90"/>
          <w:sz w:val="20"/>
          <w:highlight w:val="none"/>
        </w:rPr>
        <w:t>年から推計人口と令和</w:t>
      </w:r>
      <w:r>
        <w:rPr>
          <w:rFonts w:hint="eastAsia" w:ascii="ＭＳ Ｐゴシック" w:hAnsi="ＭＳ Ｐゴシック" w:eastAsia="ＭＳ Ｐゴシック"/>
          <w:color w:val="auto"/>
          <w:w w:val="90"/>
          <w:sz w:val="20"/>
          <w:highlight w:val="none"/>
        </w:rPr>
        <w:t>５</w:t>
      </w:r>
      <w:r>
        <w:rPr>
          <w:rFonts w:hint="default" w:ascii="ＭＳ Ｐゴシック" w:hAnsi="ＭＳ Ｐゴシック" w:eastAsia="ＭＳ Ｐゴシック"/>
          <w:color w:val="auto"/>
          <w:w w:val="90"/>
          <w:sz w:val="20"/>
          <w:highlight w:val="none"/>
        </w:rPr>
        <w:t>年認定率により推計</w:t>
      </w:r>
    </w:p>
    <w:p>
      <w:pPr>
        <w:pStyle w:val="0"/>
        <w:widowControl w:val="1"/>
        <w:jc w:val="left"/>
        <w:rPr>
          <w:rFonts w:hint="default"/>
          <w:color w:val="auto"/>
          <w:w w:val="90"/>
          <w:highlight w:val="none"/>
        </w:rPr>
      </w:pPr>
      <w:r>
        <w:rPr>
          <w:rFonts w:hint="default"/>
          <w:color w:val="auto"/>
          <w:w w:val="90"/>
          <w:highlight w:val="none"/>
        </w:rPr>
        <w:br w:type="page"/>
      </w:r>
    </w:p>
    <w:p>
      <w:pPr>
        <w:pStyle w:val="48"/>
        <w:rPr>
          <w:rFonts w:hint="default"/>
          <w:color w:val="auto"/>
          <w:highlight w:val="none"/>
        </w:rPr>
      </w:pPr>
      <w:r>
        <w:rPr>
          <w:rStyle w:val="49"/>
          <w:rFonts w:hint="eastAsia"/>
          <w:color w:val="auto"/>
          <w:highlight w:val="none"/>
        </w:rPr>
        <w:t>本市の第</w:t>
      </w:r>
      <w:r>
        <w:rPr>
          <w:rStyle w:val="49"/>
          <w:rFonts w:hint="eastAsia"/>
          <w:color w:val="auto"/>
          <w:highlight w:val="none"/>
        </w:rPr>
        <w:t>1</w:t>
      </w:r>
      <w:r>
        <w:rPr>
          <w:rStyle w:val="49"/>
          <w:rFonts w:hint="eastAsia"/>
          <w:color w:val="auto"/>
          <w:highlight w:val="none"/>
        </w:rPr>
        <w:t>号被保険者数に占める認定率は</w:t>
      </w:r>
      <w:r>
        <w:rPr>
          <w:rStyle w:val="49"/>
          <w:rFonts w:hint="eastAsia"/>
          <w:color w:val="auto"/>
          <w:highlight w:val="none"/>
        </w:rPr>
        <w:t>17</w:t>
      </w:r>
      <w:r>
        <w:rPr>
          <w:rStyle w:val="49"/>
          <w:rFonts w:hint="eastAsia"/>
          <w:color w:val="auto"/>
          <w:highlight w:val="none"/>
        </w:rPr>
        <w:t>～</w:t>
      </w:r>
      <w:r>
        <w:rPr>
          <w:rStyle w:val="49"/>
          <w:rFonts w:hint="eastAsia"/>
          <w:color w:val="auto"/>
          <w:highlight w:val="none"/>
        </w:rPr>
        <w:t>18</w:t>
      </w:r>
      <w:r>
        <w:rPr>
          <w:rStyle w:val="49"/>
          <w:rFonts w:hint="eastAsia"/>
          <w:color w:val="auto"/>
          <w:highlight w:val="none"/>
        </w:rPr>
        <w:t>％台で推移しており、全国、広</w:t>
      </w:r>
      <w:r>
        <w:rPr>
          <w:rFonts w:hint="eastAsia"/>
          <w:color w:val="auto"/>
          <w:highlight w:val="none"/>
        </w:rPr>
        <w:t>島県と比較すると低くなっています。</w:t>
      </w:r>
    </w:p>
    <w:p>
      <w:pPr>
        <w:pStyle w:val="0"/>
        <w:spacing w:line="200" w:lineRule="exact"/>
        <w:rPr>
          <w:rFonts w:hint="default" w:ascii="HG丸ｺﾞｼｯｸM-PRO" w:hAnsi="HG丸ｺﾞｼｯｸM-PRO" w:eastAsia="HG丸ｺﾞｼｯｸM-PRO"/>
          <w:color w:val="auto"/>
          <w:highlight w:val="none"/>
        </w:rPr>
      </w:pPr>
    </w:p>
    <w:p>
      <w:pPr>
        <w:pStyle w:val="0"/>
        <w:spacing w:line="200" w:lineRule="exact"/>
        <w:rPr>
          <w:rFonts w:hint="default" w:ascii="HG丸ｺﾞｼｯｸM-PRO" w:hAnsi="HG丸ｺﾞｼｯｸM-PRO" w:eastAsia="HG丸ｺﾞｼｯｸM-PRO"/>
          <w:color w:val="auto"/>
          <w:highlight w:val="none"/>
        </w:rPr>
      </w:pPr>
    </w:p>
    <w:p>
      <w:pPr>
        <w:pStyle w:val="0"/>
        <w:spacing w:line="400" w:lineRule="exact"/>
        <w:jc w:val="center"/>
        <w:rPr>
          <w:rFonts w:hint="default"/>
          <w:color w:val="auto"/>
          <w:sz w:val="21"/>
          <w:highlight w:val="none"/>
        </w:rPr>
      </w:pPr>
      <w:r>
        <w:rPr>
          <w:rFonts w:hint="default"/>
          <w:color w:val="auto"/>
          <w:sz w:val="21"/>
          <w:highlight w:val="none"/>
        </w:rPr>
        <w:drawing>
          <wp:anchor distT="0" distB="0" distL="114300" distR="114300" simplePos="0" relativeHeight="37" behindDoc="0" locked="0" layoutInCell="1" hidden="0" allowOverlap="1">
            <wp:simplePos x="0" y="0"/>
            <wp:positionH relativeFrom="column">
              <wp:posOffset>146050</wp:posOffset>
            </wp:positionH>
            <wp:positionV relativeFrom="paragraph">
              <wp:posOffset>132715</wp:posOffset>
            </wp:positionV>
            <wp:extent cx="5466715" cy="2533650"/>
            <wp:effectExtent l="0" t="0" r="0" b="0"/>
            <wp:wrapNone/>
            <wp:docPr id="1069" name="Picture 2"/>
            <a:graphic xmlns:a="http://schemas.openxmlformats.org/drawingml/2006/main">
              <a:graphicData uri="http://schemas.openxmlformats.org/drawingml/2006/picture">
                <pic:pic xmlns:pic="http://schemas.openxmlformats.org/drawingml/2006/picture">
                  <pic:nvPicPr>
                    <pic:cNvPr id="1069" name="Picture 2"/>
                    <pic:cNvPicPr>
                      <a:picLocks noChangeAspect="1" noChangeArrowheads="1"/>
                    </pic:cNvPicPr>
                  </pic:nvPicPr>
                  <pic:blipFill>
                    <a:blip r:embed="rId15"/>
                    <a:stretch>
                      <a:fillRect/>
                    </a:stretch>
                  </pic:blipFill>
                  <pic:spPr>
                    <a:xfrm>
                      <a:off x="0" y="0"/>
                      <a:ext cx="5466715" cy="2533650"/>
                    </a:xfrm>
                    <a:prstGeom prst="rect">
                      <a:avLst/>
                    </a:prstGeom>
                    <a:noFill/>
                    <a:ln>
                      <a:noFill/>
                    </a:ln>
                  </pic:spPr>
                </pic:pic>
              </a:graphicData>
            </a:graphic>
          </wp:anchor>
        </w:drawing>
      </w:r>
      <w:r>
        <w:rPr>
          <w:rFonts w:hint="eastAsia"/>
          <w:color w:val="auto"/>
          <w:sz w:val="21"/>
          <w:highlight w:val="none"/>
        </w:rPr>
        <w:t>図表　認定率の推移（全国・広島県・廿日市市）</w:t>
      </w: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spacing w:after="185" w:afterLines="50" w:afterAutospacing="0"/>
        <w:rPr>
          <w:rFonts w:hint="default" w:ascii="HG丸ｺﾞｼｯｸM-PRO" w:hAnsi="HG丸ｺﾞｼｯｸM-PRO" w:eastAsia="HG丸ｺﾞｼｯｸM-PRO"/>
          <w:color w:val="auto"/>
          <w:highlight w:val="none"/>
        </w:rPr>
      </w:pPr>
    </w:p>
    <w:p>
      <w:pPr>
        <w:pStyle w:val="0"/>
        <w:autoSpaceDE w:val="0"/>
        <w:autoSpaceDN w:val="0"/>
        <w:spacing w:line="240" w:lineRule="exact"/>
        <w:jc w:val="right"/>
        <w:rPr>
          <w:rFonts w:hint="default"/>
          <w:color w:val="auto"/>
          <w:sz w:val="18"/>
          <w:highlight w:val="none"/>
        </w:rPr>
      </w:pPr>
      <w:r>
        <w:rPr>
          <w:rFonts w:hint="eastAsia"/>
          <w:color w:val="auto"/>
          <w:sz w:val="18"/>
          <w:highlight w:val="none"/>
        </w:rPr>
        <w:t>資料：平成</w:t>
      </w:r>
      <w:r>
        <w:rPr>
          <w:rFonts w:hint="eastAsia"/>
          <w:color w:val="auto"/>
          <w:sz w:val="18"/>
          <w:highlight w:val="none"/>
        </w:rPr>
        <w:t>28</w:t>
      </w:r>
      <w:r>
        <w:rPr>
          <w:rFonts w:hint="eastAsia"/>
          <w:color w:val="auto"/>
          <w:sz w:val="18"/>
          <w:highlight w:val="none"/>
        </w:rPr>
        <w:t>年から令和４年介護保険事業状況報告月報（９月末時点）、令和５年介護保険事業状況報告月報（５月末時点）</w:t>
      </w:r>
    </w:p>
    <w:p>
      <w:pPr>
        <w:pStyle w:val="0"/>
        <w:widowControl w:val="1"/>
        <w:jc w:val="left"/>
        <w:rPr>
          <w:rFonts w:hint="default"/>
          <w:color w:val="auto"/>
          <w:highlight w:val="none"/>
        </w:rPr>
      </w:pPr>
    </w:p>
    <w:p>
      <w:pPr>
        <w:pStyle w:val="48"/>
        <w:rPr>
          <w:rFonts w:hint="default"/>
          <w:color w:val="auto"/>
          <w:highlight w:val="none"/>
        </w:rPr>
      </w:pPr>
      <w:r>
        <w:rPr>
          <w:rStyle w:val="49"/>
          <w:rFonts w:hint="eastAsia"/>
          <w:color w:val="auto"/>
          <w:highlight w:val="none"/>
        </w:rPr>
        <w:t>本市の</w:t>
      </w:r>
      <w:r>
        <w:rPr>
          <w:rFonts w:hint="eastAsia"/>
          <w:color w:val="auto"/>
          <w:highlight w:val="none"/>
        </w:rPr>
        <w:t>要支援・要介護</w:t>
      </w:r>
      <w:r>
        <w:rPr>
          <w:rStyle w:val="49"/>
          <w:rFonts w:hint="eastAsia"/>
          <w:color w:val="auto"/>
          <w:highlight w:val="none"/>
        </w:rPr>
        <w:t>認定者数の要介護度別の割合は、全国、広</w:t>
      </w:r>
      <w:r>
        <w:rPr>
          <w:rFonts w:hint="eastAsia"/>
          <w:color w:val="auto"/>
          <w:highlight w:val="none"/>
        </w:rPr>
        <w:t>島県と比較すると要介護３～５の認定者の割合が低くなっています。</w:t>
      </w:r>
    </w:p>
    <w:p>
      <w:pPr>
        <w:pStyle w:val="0"/>
        <w:ind w:right="-143" w:rightChars="-65"/>
        <w:jc w:val="center"/>
        <w:rPr>
          <w:rFonts w:hint="default"/>
          <w:color w:val="auto"/>
          <w:sz w:val="21"/>
          <w:highlight w:val="none"/>
        </w:rPr>
      </w:pPr>
    </w:p>
    <w:p>
      <w:pPr>
        <w:pStyle w:val="0"/>
        <w:ind w:right="-143" w:rightChars="-65"/>
        <w:jc w:val="center"/>
        <w:rPr>
          <w:rFonts w:hint="default"/>
          <w:color w:val="auto"/>
          <w:sz w:val="21"/>
          <w:highlight w:val="none"/>
        </w:rPr>
      </w:pPr>
      <w:r>
        <w:rPr>
          <w:rFonts w:hint="eastAsia"/>
          <w:color w:val="auto"/>
          <w:sz w:val="21"/>
          <w:highlight w:val="none"/>
        </w:rPr>
        <w:t>図表　第</w:t>
      </w:r>
      <w:r>
        <w:rPr>
          <w:rFonts w:hint="eastAsia"/>
          <w:color w:val="auto"/>
          <w:sz w:val="21"/>
          <w:highlight w:val="none"/>
        </w:rPr>
        <w:t>1</w:t>
      </w:r>
      <w:r>
        <w:rPr>
          <w:rFonts w:hint="eastAsia"/>
          <w:color w:val="auto"/>
          <w:sz w:val="21"/>
          <w:highlight w:val="none"/>
        </w:rPr>
        <w:t>号被保険者要介護度別認定者割合（全国・広島県・廿日市市、令和４年３月現在）</w:t>
      </w:r>
    </w:p>
    <w:p>
      <w:pPr>
        <w:pStyle w:val="0"/>
        <w:widowControl w:val="1"/>
        <w:jc w:val="left"/>
        <w:rPr>
          <w:rFonts w:hint="default" w:ascii="HG丸ｺﾞｼｯｸM-PRO" w:hAnsi="HG丸ｺﾞｼｯｸM-PRO" w:eastAsia="HG丸ｺﾞｼｯｸM-PRO"/>
          <w:color w:val="auto"/>
          <w:highlight w:val="none"/>
        </w:rPr>
      </w:pPr>
      <w:r>
        <w:rPr>
          <w:rFonts w:hint="default"/>
          <w:color w:val="auto"/>
          <w:highlight w:val="none"/>
        </w:rPr>
        <w:drawing>
          <wp:anchor distT="0" distB="0" distL="114300" distR="114300" simplePos="0" relativeHeight="154" behindDoc="0" locked="0" layoutInCell="1" hidden="0" allowOverlap="1">
            <wp:simplePos x="0" y="0"/>
            <wp:positionH relativeFrom="margin">
              <wp:align>left</wp:align>
            </wp:positionH>
            <wp:positionV relativeFrom="paragraph">
              <wp:posOffset>36195</wp:posOffset>
            </wp:positionV>
            <wp:extent cx="5572125" cy="1571625"/>
            <wp:effectExtent l="0" t="0" r="0" b="0"/>
            <wp:wrapNone/>
            <wp:docPr id="1070" name="Picture 1"/>
            <a:graphic xmlns:a="http://schemas.openxmlformats.org/drawingml/2006/main">
              <a:graphicData uri="http://schemas.openxmlformats.org/drawingml/2006/picture">
                <pic:pic xmlns:pic="http://schemas.openxmlformats.org/drawingml/2006/picture">
                  <pic:nvPicPr>
                    <pic:cNvPr id="1070" name="Picture 1"/>
                    <pic:cNvPicPr>
                      <a:picLocks noChangeAspect="1" noChangeArrowheads="1"/>
                    </pic:cNvPicPr>
                  </pic:nvPicPr>
                  <pic:blipFill>
                    <a:blip r:embed="rId16"/>
                    <a:stretch>
                      <a:fillRect/>
                    </a:stretch>
                  </pic:blipFill>
                  <pic:spPr>
                    <a:xfrm>
                      <a:off x="0" y="0"/>
                      <a:ext cx="5572125" cy="1571625"/>
                    </a:xfrm>
                    <a:prstGeom prst="rect">
                      <a:avLst/>
                    </a:prstGeom>
                    <a:noFill/>
                    <a:ln>
                      <a:noFill/>
                    </a:ln>
                  </pic:spPr>
                </pic:pic>
              </a:graphicData>
            </a:graphic>
          </wp:anchor>
        </w:drawing>
      </w:r>
    </w:p>
    <w:p>
      <w:pPr>
        <w:pStyle w:val="0"/>
        <w:widowControl w:val="1"/>
        <w:jc w:val="left"/>
        <w:rPr>
          <w:rFonts w:hint="default" w:ascii="HG丸ｺﾞｼｯｸM-PRO" w:hAnsi="HG丸ｺﾞｼｯｸM-PRO" w:eastAsia="HG丸ｺﾞｼｯｸM-PRO"/>
          <w:color w:val="auto"/>
          <w:highlight w:val="none"/>
        </w:rPr>
      </w:pPr>
    </w:p>
    <w:p>
      <w:pPr>
        <w:pStyle w:val="0"/>
        <w:widowControl w:val="1"/>
        <w:jc w:val="left"/>
        <w:rPr>
          <w:rFonts w:hint="default" w:ascii="HG丸ｺﾞｼｯｸM-PRO" w:hAnsi="HG丸ｺﾞｼｯｸM-PRO" w:eastAsia="HG丸ｺﾞｼｯｸM-PRO"/>
          <w:color w:val="auto"/>
          <w:highlight w:val="none"/>
        </w:rPr>
      </w:pPr>
    </w:p>
    <w:p>
      <w:pPr>
        <w:pStyle w:val="0"/>
        <w:widowControl w:val="1"/>
        <w:jc w:val="left"/>
        <w:rPr>
          <w:rFonts w:hint="default" w:ascii="HG丸ｺﾞｼｯｸM-PRO" w:hAnsi="HG丸ｺﾞｼｯｸM-PRO" w:eastAsia="HG丸ｺﾞｼｯｸM-PRO"/>
          <w:color w:val="auto"/>
          <w:highlight w:val="none"/>
        </w:rPr>
      </w:pPr>
    </w:p>
    <w:p>
      <w:pPr>
        <w:pStyle w:val="0"/>
        <w:widowControl w:val="1"/>
        <w:jc w:val="left"/>
        <w:rPr>
          <w:rFonts w:hint="default" w:ascii="HG丸ｺﾞｼｯｸM-PRO" w:hAnsi="HG丸ｺﾞｼｯｸM-PRO" w:eastAsia="HG丸ｺﾞｼｯｸM-PRO"/>
          <w:color w:val="auto"/>
          <w:highlight w:val="none"/>
        </w:rPr>
      </w:pPr>
    </w:p>
    <w:p>
      <w:pPr>
        <w:pStyle w:val="0"/>
        <w:widowControl w:val="1"/>
        <w:jc w:val="left"/>
        <w:rPr>
          <w:rFonts w:hint="default" w:ascii="HG丸ｺﾞｼｯｸM-PRO" w:hAnsi="HG丸ｺﾞｼｯｸM-PRO" w:eastAsia="HG丸ｺﾞｼｯｸM-PRO"/>
          <w:color w:val="auto"/>
          <w:highlight w:val="none"/>
        </w:rPr>
      </w:pPr>
    </w:p>
    <w:p>
      <w:pPr>
        <w:pStyle w:val="0"/>
        <w:spacing w:before="296" w:beforeLines="80" w:beforeAutospacing="0" w:line="300" w:lineRule="exact"/>
        <w:jc w:val="right"/>
        <w:rPr>
          <w:rFonts w:hint="default"/>
          <w:color w:val="auto"/>
          <w:sz w:val="18"/>
          <w:highlight w:val="none"/>
        </w:rPr>
      </w:pPr>
      <w:r>
        <w:rPr>
          <w:rFonts w:hint="eastAsia"/>
          <w:color w:val="auto"/>
          <w:sz w:val="18"/>
          <w:highlight w:val="none"/>
        </w:rPr>
        <w:t>資料：厚生労働省介護保険事業状況報告（月報３月末時点）</w:t>
      </w:r>
    </w:p>
    <w:p>
      <w:pPr>
        <w:pStyle w:val="0"/>
        <w:widowControl w:val="1"/>
        <w:spacing w:line="380" w:lineRule="exact"/>
        <w:jc w:val="left"/>
        <w:rPr>
          <w:rFonts w:hint="default"/>
          <w:color w:val="auto"/>
          <w:highlight w:val="none"/>
        </w:rPr>
      </w:pPr>
    </w:p>
    <w:p>
      <w:pPr>
        <w:pStyle w:val="41"/>
        <w:rPr>
          <w:rFonts w:hint="default"/>
          <w:color w:val="auto"/>
          <w:highlight w:val="none"/>
        </w:rPr>
      </w:pPr>
    </w:p>
    <w:p>
      <w:pPr>
        <w:pStyle w:val="41"/>
        <w:rPr>
          <w:rFonts w:hint="default"/>
          <w:color w:val="auto"/>
          <w:highlight w:val="none"/>
        </w:rPr>
      </w:pPr>
    </w:p>
    <w:p>
      <w:pPr>
        <w:pStyle w:val="0"/>
        <w:widowControl w:val="1"/>
        <w:jc w:val="left"/>
        <w:rPr>
          <w:rFonts w:hint="default" w:ascii="HG丸ｺﾞｼｯｸM-PRO" w:hAnsi="HG丸ｺﾞｼｯｸM-PRO" w:eastAsia="HG丸ｺﾞｼｯｸM-PRO"/>
          <w:color w:val="auto"/>
          <w:highlight w:val="none"/>
        </w:rPr>
      </w:pPr>
      <w:r>
        <w:rPr>
          <w:rFonts w:hint="default" w:ascii="HG丸ｺﾞｼｯｸM-PRO" w:hAnsi="HG丸ｺﾞｼｯｸM-PRO" w:eastAsia="HG丸ｺﾞｼｯｸM-PRO"/>
          <w:color w:val="auto"/>
          <w:highlight w:val="none"/>
        </w:rPr>
        <w:br w:type="page"/>
      </w:r>
    </w:p>
    <w:p>
      <w:pPr>
        <w:pStyle w:val="0"/>
        <w:keepNext w:val="1"/>
        <w:spacing w:after="74" w:afterLines="20" w:afterAutospacing="0" w:line="600" w:lineRule="exact"/>
        <w:outlineLvl w:val="0"/>
        <w:rPr>
          <w:rFonts w:hint="default" w:ascii="BIZ UDPゴシック" w:hAnsi="BIZ UDPゴシック" w:eastAsia="BIZ UDPゴシック"/>
          <w:b w:val="1"/>
          <w:color w:val="auto"/>
          <w:sz w:val="32"/>
          <w:highlight w:val="none"/>
        </w:rPr>
      </w:pPr>
      <w:bookmarkStart w:id="30" w:name="_Toc152160618"/>
      <w:r>
        <w:rPr>
          <w:rFonts w:hint="eastAsia" w:ascii="BIZ UDPゴシック" w:hAnsi="BIZ UDPゴシック" w:eastAsia="BIZ UDPゴシック"/>
          <w:b w:val="1"/>
          <w:color w:val="auto"/>
          <w:sz w:val="32"/>
          <w:highlight w:val="none"/>
        </w:rPr>
        <w:t>４　介護保険サービスの受給状況</w:t>
      </w:r>
      <w:bookmarkEnd w:id="30"/>
    </w:p>
    <w:p>
      <w:pPr>
        <w:pStyle w:val="0"/>
        <w:numPr>
          <w:ilvl w:val="3"/>
          <w:numId w:val="1"/>
        </w:numPr>
        <w:autoSpaceDE w:val="0"/>
        <w:autoSpaceDN w:val="0"/>
        <w:spacing w:line="380" w:lineRule="exact"/>
        <w:ind w:left="660" w:leftChars="100"/>
        <w:rPr>
          <w:rFonts w:hint="default"/>
          <w:color w:val="auto"/>
          <w:highlight w:val="none"/>
        </w:rPr>
      </w:pPr>
      <w:r>
        <w:rPr>
          <w:rFonts w:hint="eastAsia"/>
          <w:color w:val="auto"/>
          <w:highlight w:val="none"/>
        </w:rPr>
        <w:t>受給者数は平成</w:t>
      </w:r>
      <w:r>
        <w:rPr>
          <w:rFonts w:hint="eastAsia"/>
          <w:color w:val="auto"/>
          <w:highlight w:val="none"/>
        </w:rPr>
        <w:t>30</w:t>
      </w:r>
      <w:r>
        <w:rPr>
          <w:rFonts w:hint="eastAsia"/>
          <w:color w:val="auto"/>
          <w:highlight w:val="none"/>
        </w:rPr>
        <w:t>（</w:t>
      </w:r>
      <w:r>
        <w:rPr>
          <w:rFonts w:hint="eastAsia"/>
          <w:color w:val="auto"/>
          <w:highlight w:val="none"/>
        </w:rPr>
        <w:t>2018</w:t>
      </w:r>
      <w:r>
        <w:rPr>
          <w:rFonts w:hint="eastAsia"/>
          <w:color w:val="auto"/>
          <w:highlight w:val="none"/>
        </w:rPr>
        <w:t>）年度以降増加しており、令和３（</w:t>
      </w:r>
      <w:r>
        <w:rPr>
          <w:rFonts w:hint="eastAsia"/>
          <w:color w:val="auto"/>
          <w:highlight w:val="none"/>
        </w:rPr>
        <w:t>2021</w:t>
      </w:r>
      <w:r>
        <w:rPr>
          <w:rFonts w:hint="eastAsia"/>
          <w:color w:val="auto"/>
          <w:highlight w:val="none"/>
        </w:rPr>
        <w:t>）年度を令和２（</w:t>
      </w:r>
      <w:r>
        <w:rPr>
          <w:rFonts w:hint="eastAsia"/>
          <w:color w:val="auto"/>
          <w:highlight w:val="none"/>
        </w:rPr>
        <w:t>2020</w:t>
      </w:r>
      <w:r>
        <w:rPr>
          <w:rFonts w:hint="eastAsia"/>
          <w:color w:val="auto"/>
          <w:highlight w:val="none"/>
        </w:rPr>
        <w:t>）年度と比較すると、在宅受給者数、居住系受給者数、施設受給者数のいずれも増加しており、特に在宅受給者数の伸びが大きくなっています。</w:t>
      </w:r>
    </w:p>
    <w:p>
      <w:pPr>
        <w:pStyle w:val="0"/>
        <w:spacing w:before="185" w:beforeLines="50" w:beforeAutospacing="0" w:line="400" w:lineRule="exact"/>
        <w:jc w:val="center"/>
        <w:rPr>
          <w:rFonts w:hint="default"/>
          <w:color w:val="auto"/>
          <w:sz w:val="21"/>
          <w:highlight w:val="none"/>
        </w:rPr>
      </w:pPr>
      <w:r>
        <w:rPr>
          <w:rFonts w:hint="default"/>
          <w:color w:val="auto"/>
          <w:sz w:val="21"/>
          <w:highlight w:val="none"/>
        </w:rPr>
        <w:drawing>
          <wp:anchor distT="0" distB="0" distL="114300" distR="114300" simplePos="0" relativeHeight="26" behindDoc="0" locked="0" layoutInCell="1" hidden="0" allowOverlap="1">
            <wp:simplePos x="0" y="0"/>
            <wp:positionH relativeFrom="column">
              <wp:posOffset>261620</wp:posOffset>
            </wp:positionH>
            <wp:positionV relativeFrom="paragraph">
              <wp:posOffset>318770</wp:posOffset>
            </wp:positionV>
            <wp:extent cx="5760085" cy="2797175"/>
            <wp:effectExtent l="0" t="0" r="0" b="0"/>
            <wp:wrapNone/>
            <wp:docPr id="1071" name="Picture 6"/>
            <a:graphic xmlns:a="http://schemas.openxmlformats.org/drawingml/2006/main">
              <a:graphicData uri="http://schemas.openxmlformats.org/drawingml/2006/picture">
                <pic:pic xmlns:pic="http://schemas.openxmlformats.org/drawingml/2006/picture">
                  <pic:nvPicPr>
                    <pic:cNvPr id="1071" name="Picture 6"/>
                    <pic:cNvPicPr>
                      <a:picLocks noChangeAspect="1" noChangeArrowheads="1"/>
                    </pic:cNvPicPr>
                  </pic:nvPicPr>
                  <pic:blipFill>
                    <a:blip r:embed="rId17"/>
                    <a:stretch>
                      <a:fillRect/>
                    </a:stretch>
                  </pic:blipFill>
                  <pic:spPr>
                    <a:xfrm>
                      <a:off x="0" y="0"/>
                      <a:ext cx="5760085" cy="2797175"/>
                    </a:xfrm>
                    <a:prstGeom prst="rect">
                      <a:avLst/>
                    </a:prstGeom>
                    <a:noFill/>
                    <a:ln>
                      <a:noFill/>
                    </a:ln>
                  </pic:spPr>
                </pic:pic>
              </a:graphicData>
            </a:graphic>
          </wp:anchor>
        </w:drawing>
      </w:r>
      <w:r>
        <w:rPr>
          <w:rFonts w:hint="eastAsia"/>
          <w:color w:val="auto"/>
          <w:sz w:val="21"/>
          <w:highlight w:val="none"/>
        </w:rPr>
        <w:t>図表　介護保険サービス受給者数と受給率の推移（廿日市市）</w:t>
      </w: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spacing w:before="111" w:beforeLines="30" w:beforeAutospacing="0" w:line="320" w:lineRule="exact"/>
        <w:jc w:val="right"/>
        <w:rPr>
          <w:rFonts w:hint="default"/>
          <w:color w:val="auto"/>
          <w:sz w:val="20"/>
          <w:highlight w:val="none"/>
        </w:rPr>
      </w:pPr>
      <w:r>
        <w:rPr>
          <w:rFonts w:hint="eastAsia"/>
          <w:color w:val="auto"/>
          <w:sz w:val="20"/>
          <w:highlight w:val="none"/>
        </w:rPr>
        <w:t>資料：厚生労働省介護保険事業状況報告（月報</w:t>
      </w:r>
      <w:r>
        <w:rPr>
          <w:rFonts w:hint="eastAsia"/>
          <w:color w:val="auto"/>
          <w:sz w:val="20"/>
          <w:highlight w:val="none"/>
        </w:rPr>
        <w:t>12</w:t>
      </w:r>
      <w:r>
        <w:rPr>
          <w:rFonts w:hint="eastAsia"/>
          <w:color w:val="auto"/>
          <w:sz w:val="20"/>
          <w:highlight w:val="none"/>
        </w:rPr>
        <w:t>か月分の平均値）</w:t>
      </w:r>
    </w:p>
    <w:p>
      <w:pPr>
        <w:pStyle w:val="0"/>
        <w:spacing w:before="185" w:beforeLines="50" w:beforeAutospacing="0" w:line="400" w:lineRule="exact"/>
        <w:jc w:val="center"/>
        <w:rPr>
          <w:rFonts w:hint="default"/>
          <w:color w:val="auto"/>
          <w:sz w:val="21"/>
          <w:highlight w:val="none"/>
        </w:rPr>
      </w:pPr>
      <w:r>
        <w:rPr>
          <w:rFonts w:hint="default"/>
          <w:color w:val="auto"/>
          <w:sz w:val="21"/>
          <w:highlight w:val="none"/>
        </w:rPr>
        <w:drawing>
          <wp:anchor distT="0" distB="0" distL="114300" distR="114300" simplePos="0" relativeHeight="33" behindDoc="0" locked="0" layoutInCell="1" hidden="0" allowOverlap="1">
            <wp:simplePos x="0" y="0"/>
            <wp:positionH relativeFrom="column">
              <wp:posOffset>233045</wp:posOffset>
            </wp:positionH>
            <wp:positionV relativeFrom="paragraph">
              <wp:posOffset>373380</wp:posOffset>
            </wp:positionV>
            <wp:extent cx="5486400" cy="2505075"/>
            <wp:effectExtent l="0" t="0" r="0" b="0"/>
            <wp:wrapNone/>
            <wp:docPr id="1072" name="Picture 7"/>
            <a:graphic xmlns:a="http://schemas.openxmlformats.org/drawingml/2006/main">
              <a:graphicData uri="http://schemas.openxmlformats.org/drawingml/2006/picture">
                <pic:pic xmlns:pic="http://schemas.openxmlformats.org/drawingml/2006/picture">
                  <pic:nvPicPr>
                    <pic:cNvPr id="1072" name="Picture 7"/>
                    <pic:cNvPicPr>
                      <a:picLocks noChangeAspect="1" noChangeArrowheads="1"/>
                    </pic:cNvPicPr>
                  </pic:nvPicPr>
                  <pic:blipFill>
                    <a:blip r:embed="rId18"/>
                    <a:stretch>
                      <a:fillRect/>
                    </a:stretch>
                  </pic:blipFill>
                  <pic:spPr>
                    <a:xfrm>
                      <a:off x="0" y="0"/>
                      <a:ext cx="5486400" cy="2505075"/>
                    </a:xfrm>
                    <a:prstGeom prst="rect">
                      <a:avLst/>
                    </a:prstGeom>
                    <a:noFill/>
                    <a:ln>
                      <a:noFill/>
                    </a:ln>
                  </pic:spPr>
                </pic:pic>
              </a:graphicData>
            </a:graphic>
          </wp:anchor>
        </w:drawing>
      </w:r>
      <w:r>
        <w:rPr>
          <w:rFonts w:hint="eastAsia"/>
          <w:color w:val="auto"/>
          <w:sz w:val="21"/>
          <w:highlight w:val="none"/>
        </w:rPr>
        <w:t>図表　介護保険サービス受給率（第１号被保険者）の推移（廿日市市）</w:t>
      </w:r>
    </w:p>
    <w:p>
      <w:pPr>
        <w:pStyle w:val="0"/>
        <w:rPr>
          <w:rFonts w:hint="default" w:ascii="HG丸ｺﾞｼｯｸM-PRO" w:hAnsi="HG丸ｺﾞｼｯｸM-PRO" w:eastAsia="HG丸ｺﾞｼｯｸM-PRO"/>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spacing w:after="185" w:afterLines="50" w:afterAutospacing="0"/>
        <w:rPr>
          <w:rFonts w:hint="default" w:ascii="HG丸ｺﾞｼｯｸM-PRO" w:hAnsi="HG丸ｺﾞｼｯｸM-PRO" w:eastAsia="HG丸ｺﾞｼｯｸM-PRO"/>
          <w:color w:val="auto"/>
          <w:highlight w:val="none"/>
        </w:rPr>
      </w:pPr>
    </w:p>
    <w:p>
      <w:pPr>
        <w:pStyle w:val="0"/>
        <w:jc w:val="right"/>
        <w:rPr>
          <w:rFonts w:hint="default"/>
          <w:color w:val="auto"/>
          <w:highlight w:val="none"/>
        </w:rPr>
      </w:pPr>
      <w:r>
        <w:rPr>
          <w:rFonts w:hint="eastAsia"/>
          <w:color w:val="auto"/>
          <w:sz w:val="20"/>
          <w:highlight w:val="none"/>
        </w:rPr>
        <w:t>資料：厚生労働省介護保険事業状況報告（月報</w:t>
      </w:r>
      <w:r>
        <w:rPr>
          <w:rFonts w:hint="eastAsia"/>
          <w:color w:val="auto"/>
          <w:sz w:val="20"/>
          <w:highlight w:val="none"/>
        </w:rPr>
        <w:t>12</w:t>
      </w:r>
      <w:r>
        <w:rPr>
          <w:rFonts w:hint="eastAsia"/>
          <w:color w:val="auto"/>
          <w:sz w:val="20"/>
          <w:highlight w:val="none"/>
        </w:rPr>
        <w:t>か月分の平均値）</w:t>
      </w:r>
    </w:p>
    <w:p>
      <w:pPr>
        <w:pStyle w:val="0"/>
        <w:widowControl w:val="1"/>
        <w:jc w:val="left"/>
        <w:rPr>
          <w:rFonts w:hint="default" w:ascii="HG丸ｺﾞｼｯｸM-PRO" w:hAnsi="HG丸ｺﾞｼｯｸM-PRO" w:eastAsia="HG丸ｺﾞｼｯｸM-PRO"/>
          <w:color w:val="auto"/>
          <w:highlight w:val="none"/>
        </w:rPr>
      </w:pPr>
      <w:r>
        <w:rPr>
          <w:rFonts w:hint="default" w:ascii="HG丸ｺﾞｼｯｸM-PRO" w:hAnsi="HG丸ｺﾞｼｯｸM-PRO" w:eastAsia="HG丸ｺﾞｼｯｸM-PRO"/>
          <w:color w:val="auto"/>
          <w:highlight w:val="none"/>
        </w:rPr>
        <w:br w:type="page"/>
      </w:r>
    </w:p>
    <w:p>
      <w:pPr>
        <w:pStyle w:val="0"/>
        <w:keepNext w:val="1"/>
        <w:spacing w:after="74" w:afterLines="20" w:afterAutospacing="0" w:line="600" w:lineRule="exact"/>
        <w:outlineLvl w:val="0"/>
        <w:rPr>
          <w:rFonts w:hint="default" w:ascii="BIZ UDPゴシック" w:hAnsi="BIZ UDPゴシック" w:eastAsia="BIZ UDPゴシック"/>
          <w:b w:val="1"/>
          <w:color w:val="auto"/>
          <w:sz w:val="32"/>
          <w:highlight w:val="none"/>
        </w:rPr>
      </w:pPr>
      <w:bookmarkStart w:id="31" w:name="_Toc152160619"/>
      <w:r>
        <w:rPr>
          <w:rFonts w:hint="eastAsia" w:ascii="BIZ UDPゴシック" w:hAnsi="BIZ UDPゴシック" w:eastAsia="BIZ UDPゴシック"/>
          <w:b w:val="1"/>
          <w:color w:val="auto"/>
          <w:sz w:val="32"/>
          <w:highlight w:val="none"/>
        </w:rPr>
        <w:t>５　介護保険サービスの費用額</w:t>
      </w:r>
      <w:bookmarkEnd w:id="31"/>
    </w:p>
    <w:p>
      <w:pPr>
        <w:pStyle w:val="48"/>
        <w:rPr>
          <w:rFonts w:hint="default"/>
          <w:color w:val="auto"/>
          <w:highlight w:val="none"/>
        </w:rPr>
      </w:pPr>
      <w:r>
        <w:rPr>
          <w:rFonts w:hint="eastAsia"/>
          <w:color w:val="auto"/>
          <w:highlight w:val="none"/>
        </w:rPr>
        <w:t>本市の介護保険サービスの費用額は増加傾向にあり、令和３（</w:t>
      </w:r>
      <w:r>
        <w:rPr>
          <w:rFonts w:hint="eastAsia"/>
          <w:color w:val="auto"/>
          <w:highlight w:val="none"/>
        </w:rPr>
        <w:t>2021</w:t>
      </w:r>
      <w:r>
        <w:rPr>
          <w:rFonts w:hint="eastAsia"/>
          <w:color w:val="auto"/>
          <w:highlight w:val="none"/>
        </w:rPr>
        <w:t>）年度は在宅サービス費用額が</w:t>
      </w:r>
      <w:r>
        <w:rPr>
          <w:rFonts w:hint="eastAsia"/>
          <w:color w:val="auto"/>
          <w:highlight w:val="none"/>
        </w:rPr>
        <w:t>51.1</w:t>
      </w:r>
      <w:r>
        <w:rPr>
          <w:rFonts w:hint="eastAsia"/>
          <w:color w:val="auto"/>
          <w:highlight w:val="none"/>
        </w:rPr>
        <w:t>％、施設サービス費用額が</w:t>
      </w:r>
      <w:r>
        <w:rPr>
          <w:rFonts w:hint="eastAsia"/>
          <w:color w:val="auto"/>
          <w:highlight w:val="none"/>
        </w:rPr>
        <w:t>37.1</w:t>
      </w:r>
      <w:r>
        <w:rPr>
          <w:rFonts w:hint="eastAsia"/>
          <w:color w:val="auto"/>
          <w:highlight w:val="none"/>
        </w:rPr>
        <w:t>％、居住系サービス費用額が</w:t>
      </w:r>
      <w:r>
        <w:rPr>
          <w:rFonts w:hint="eastAsia"/>
          <w:color w:val="auto"/>
          <w:highlight w:val="none"/>
        </w:rPr>
        <w:t>11.8</w:t>
      </w:r>
      <w:r>
        <w:rPr>
          <w:rFonts w:hint="eastAsia"/>
          <w:color w:val="auto"/>
          <w:highlight w:val="none"/>
        </w:rPr>
        <w:t>％となっています。</w:t>
      </w:r>
    </w:p>
    <w:p>
      <w:pPr>
        <w:pStyle w:val="48"/>
        <w:rPr>
          <w:rFonts w:hint="default"/>
          <w:color w:val="auto"/>
          <w:highlight w:val="none"/>
        </w:rPr>
      </w:pPr>
      <w:r>
        <w:rPr>
          <w:rFonts w:hint="eastAsia"/>
          <w:color w:val="auto"/>
          <w:highlight w:val="none"/>
        </w:rPr>
        <w:t>令和３（</w:t>
      </w:r>
      <w:r>
        <w:rPr>
          <w:rFonts w:hint="eastAsia"/>
          <w:color w:val="auto"/>
          <w:highlight w:val="none"/>
        </w:rPr>
        <w:t>2021</w:t>
      </w:r>
      <w:r>
        <w:rPr>
          <w:rFonts w:hint="eastAsia"/>
          <w:color w:val="auto"/>
          <w:highlight w:val="none"/>
        </w:rPr>
        <w:t>）年度の本市の第１号被保険者１人１月あたり費用額は</w:t>
      </w:r>
      <w:r>
        <w:rPr>
          <w:rFonts w:hint="eastAsia"/>
          <w:color w:val="auto"/>
          <w:highlight w:val="none"/>
        </w:rPr>
        <w:t>22,938</w:t>
      </w:r>
      <w:r>
        <w:rPr>
          <w:rFonts w:hint="eastAsia"/>
          <w:color w:val="auto"/>
          <w:highlight w:val="none"/>
        </w:rPr>
        <w:t>円であり、全国、広島県よりも低くなっています。</w:t>
      </w:r>
    </w:p>
    <w:p>
      <w:pPr>
        <w:pStyle w:val="0"/>
        <w:spacing w:before="185" w:beforeLines="50" w:beforeAutospacing="0" w:line="400" w:lineRule="exact"/>
        <w:jc w:val="center"/>
        <w:rPr>
          <w:rFonts w:hint="default"/>
          <w:color w:val="auto"/>
          <w:sz w:val="21"/>
          <w:highlight w:val="none"/>
        </w:rPr>
      </w:pPr>
      <w:r>
        <w:rPr>
          <w:rFonts w:hint="default"/>
          <w:color w:val="auto"/>
          <w:sz w:val="21"/>
          <w:highlight w:val="none"/>
        </w:rPr>
        <w:drawing>
          <wp:anchor distT="0" distB="0" distL="114300" distR="114300" simplePos="0" relativeHeight="35" behindDoc="0" locked="0" layoutInCell="1" hidden="0" allowOverlap="1">
            <wp:simplePos x="0" y="0"/>
            <wp:positionH relativeFrom="margin">
              <wp:align>left</wp:align>
            </wp:positionH>
            <wp:positionV relativeFrom="paragraph">
              <wp:posOffset>261620</wp:posOffset>
            </wp:positionV>
            <wp:extent cx="6471920" cy="2840355"/>
            <wp:effectExtent l="0" t="0" r="0" b="0"/>
            <wp:wrapNone/>
            <wp:docPr id="1073" name="Picture 9"/>
            <a:graphic xmlns:a="http://schemas.openxmlformats.org/drawingml/2006/main">
              <a:graphicData uri="http://schemas.openxmlformats.org/drawingml/2006/picture">
                <pic:pic xmlns:pic="http://schemas.openxmlformats.org/drawingml/2006/picture">
                  <pic:nvPicPr>
                    <pic:cNvPr id="1073" name="Picture 9"/>
                    <pic:cNvPicPr>
                      <a:picLocks noChangeAspect="1" noChangeArrowheads="1"/>
                    </pic:cNvPicPr>
                  </pic:nvPicPr>
                  <pic:blipFill>
                    <a:blip r:embed="rId19"/>
                    <a:stretch>
                      <a:fillRect/>
                    </a:stretch>
                  </pic:blipFill>
                  <pic:spPr>
                    <a:xfrm>
                      <a:off x="0" y="0"/>
                      <a:ext cx="6471920" cy="2840355"/>
                    </a:xfrm>
                    <a:prstGeom prst="rect">
                      <a:avLst/>
                    </a:prstGeom>
                    <a:noFill/>
                    <a:ln>
                      <a:noFill/>
                    </a:ln>
                  </pic:spPr>
                </pic:pic>
              </a:graphicData>
            </a:graphic>
          </wp:anchor>
        </w:drawing>
      </w:r>
      <w:r>
        <w:rPr>
          <w:rFonts w:hint="eastAsia"/>
          <w:color w:val="auto"/>
          <w:sz w:val="21"/>
          <w:highlight w:val="none"/>
        </w:rPr>
        <w:t>図表　介護保険サービス費用額の推移（廿日市市）</w:t>
      </w: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spacing w:before="185" w:beforeLines="50" w:beforeAutospacing="0" w:line="260" w:lineRule="exact"/>
        <w:ind w:left="1701" w:leftChars="773"/>
        <w:jc w:val="left"/>
        <w:rPr>
          <w:rFonts w:hint="default"/>
          <w:color w:val="auto"/>
          <w:sz w:val="18"/>
          <w:highlight w:val="none"/>
        </w:rPr>
      </w:pPr>
      <w:r>
        <w:rPr>
          <w:rFonts w:hint="eastAsia"/>
          <w:color w:val="auto"/>
          <w:sz w:val="18"/>
          <w:highlight w:val="none"/>
        </w:rPr>
        <w:t>資料：令和２年度まで厚生労働省介護保険事業状況報告（年報）</w:t>
      </w:r>
    </w:p>
    <w:p>
      <w:pPr>
        <w:pStyle w:val="0"/>
        <w:spacing w:line="260" w:lineRule="exact"/>
        <w:jc w:val="right"/>
        <w:rPr>
          <w:rFonts w:hint="default"/>
          <w:color w:val="auto"/>
          <w:sz w:val="21"/>
          <w:highlight w:val="none"/>
        </w:rPr>
      </w:pPr>
      <w:r>
        <w:rPr>
          <w:rFonts w:hint="eastAsia"/>
          <w:color w:val="auto"/>
          <w:sz w:val="18"/>
          <w:highlight w:val="none"/>
        </w:rPr>
        <w:t>令和３年度は厚生労働省介護保険事業状況報告（月報２月分までの合計）</w:t>
      </w:r>
    </w:p>
    <w:p>
      <w:pPr>
        <w:pStyle w:val="0"/>
        <w:rPr>
          <w:rFonts w:hint="default" w:ascii="HG丸ｺﾞｼｯｸM-PRO" w:hAnsi="HG丸ｺﾞｼｯｸM-PRO" w:eastAsia="HG丸ｺﾞｼｯｸM-PRO"/>
          <w:color w:val="auto"/>
          <w:highlight w:val="none"/>
        </w:rPr>
      </w:pPr>
    </w:p>
    <w:p>
      <w:pPr>
        <w:pStyle w:val="0"/>
        <w:spacing w:line="400" w:lineRule="exact"/>
        <w:jc w:val="center"/>
        <w:rPr>
          <w:rFonts w:hint="default"/>
          <w:color w:val="auto"/>
          <w:sz w:val="21"/>
          <w:highlight w:val="none"/>
        </w:rPr>
      </w:pPr>
      <w:r>
        <w:rPr>
          <w:rFonts w:hint="default"/>
          <w:color w:val="auto"/>
          <w:sz w:val="21"/>
          <w:highlight w:val="none"/>
        </w:rPr>
        <w:drawing>
          <wp:anchor distT="0" distB="0" distL="114300" distR="114300" simplePos="0" relativeHeight="36" behindDoc="0" locked="0" layoutInCell="1" hidden="0" allowOverlap="1">
            <wp:simplePos x="0" y="0"/>
            <wp:positionH relativeFrom="margin">
              <wp:posOffset>0</wp:posOffset>
            </wp:positionH>
            <wp:positionV relativeFrom="paragraph">
              <wp:posOffset>226695</wp:posOffset>
            </wp:positionV>
            <wp:extent cx="5191125" cy="2686050"/>
            <wp:effectExtent l="0" t="0" r="0" b="0"/>
            <wp:wrapNone/>
            <wp:docPr id="1074" name="Picture 10"/>
            <a:graphic xmlns:a="http://schemas.openxmlformats.org/drawingml/2006/main">
              <a:graphicData uri="http://schemas.openxmlformats.org/drawingml/2006/picture">
                <pic:pic xmlns:pic="http://schemas.openxmlformats.org/drawingml/2006/picture">
                  <pic:nvPicPr>
                    <pic:cNvPr id="1074" name="Picture 10"/>
                    <pic:cNvPicPr>
                      <a:picLocks noChangeAspect="1" noChangeArrowheads="1"/>
                    </pic:cNvPicPr>
                  </pic:nvPicPr>
                  <pic:blipFill>
                    <a:blip r:embed="rId20"/>
                    <a:stretch>
                      <a:fillRect/>
                    </a:stretch>
                  </pic:blipFill>
                  <pic:spPr>
                    <a:xfrm>
                      <a:off x="0" y="0"/>
                      <a:ext cx="5191125" cy="2686050"/>
                    </a:xfrm>
                    <a:prstGeom prst="rect">
                      <a:avLst/>
                    </a:prstGeom>
                    <a:noFill/>
                    <a:ln>
                      <a:noFill/>
                    </a:ln>
                  </pic:spPr>
                </pic:pic>
              </a:graphicData>
            </a:graphic>
          </wp:anchor>
        </w:drawing>
      </w:r>
      <w:r>
        <w:rPr>
          <w:rFonts w:hint="eastAsia"/>
          <w:color w:val="auto"/>
          <w:sz w:val="21"/>
          <w:highlight w:val="none"/>
        </w:rPr>
        <w:t>図表　第</w:t>
      </w:r>
      <w:r>
        <w:rPr>
          <w:rFonts w:hint="eastAsia"/>
          <w:color w:val="auto"/>
          <w:sz w:val="21"/>
          <w:highlight w:val="none"/>
        </w:rPr>
        <w:t>1</w:t>
      </w:r>
      <w:r>
        <w:rPr>
          <w:rFonts w:hint="eastAsia"/>
          <w:color w:val="auto"/>
          <w:sz w:val="21"/>
          <w:highlight w:val="none"/>
        </w:rPr>
        <w:t>号被保険者１人１月あたり費用額の推移（全国・広島県・廿日市市）</w:t>
      </w: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0"/>
        <w:rPr>
          <w:rFonts w:hint="default" w:ascii="HG丸ｺﾞｼｯｸM-PRO" w:hAnsi="HG丸ｺﾞｼｯｸM-PRO" w:eastAsia="HG丸ｺﾞｼｯｸM-PRO"/>
          <w:color w:val="auto"/>
          <w:highlight w:val="none"/>
        </w:rPr>
      </w:pPr>
    </w:p>
    <w:p>
      <w:pPr>
        <w:pStyle w:val="41"/>
        <w:spacing w:line="300" w:lineRule="exact"/>
        <w:ind w:left="1841" w:leftChars="837"/>
        <w:jc w:val="left"/>
        <w:rPr>
          <w:rFonts w:hint="default"/>
          <w:color w:val="auto"/>
          <w:sz w:val="18"/>
          <w:highlight w:val="none"/>
        </w:rPr>
      </w:pPr>
      <w:r>
        <w:rPr>
          <w:rFonts w:hint="eastAsia"/>
          <w:color w:val="auto"/>
          <w:sz w:val="18"/>
          <w:highlight w:val="none"/>
        </w:rPr>
        <w:t>資料：令和２年度まで厚生労働省介護保険事業状況報告（年報）　　　　　　　</w:t>
      </w:r>
    </w:p>
    <w:p>
      <w:pPr>
        <w:pStyle w:val="41"/>
        <w:spacing w:line="300" w:lineRule="exact"/>
        <w:jc w:val="right"/>
        <w:rPr>
          <w:rFonts w:hint="default"/>
          <w:color w:val="auto"/>
          <w:sz w:val="18"/>
          <w:highlight w:val="none"/>
        </w:rPr>
      </w:pPr>
      <w:r>
        <w:rPr>
          <w:rFonts w:hint="eastAsia"/>
          <w:color w:val="auto"/>
          <w:sz w:val="18"/>
          <w:highlight w:val="none"/>
        </w:rPr>
        <w:t>令和３年度は厚生労働省介護保険事業状況報告（月報２月分までの合計）</w:t>
      </w:r>
    </w:p>
    <w:p>
      <w:pPr>
        <w:pStyle w:val="0"/>
        <w:widowControl w:val="1"/>
        <w:jc w:val="left"/>
        <w:rPr>
          <w:rFonts w:hint="default"/>
          <w:color w:val="auto"/>
          <w:sz w:val="20"/>
          <w:highlight w:val="none"/>
        </w:rPr>
      </w:pPr>
      <w:r>
        <w:rPr>
          <w:rFonts w:hint="default"/>
          <w:color w:val="auto"/>
          <w:sz w:val="20"/>
          <w:highlight w:val="none"/>
        </w:rPr>
        <w:br w:type="page"/>
      </w:r>
    </w:p>
    <w:p>
      <w:pPr>
        <w:pStyle w:val="48"/>
        <w:rPr>
          <w:rFonts w:hint="default"/>
          <w:color w:val="auto"/>
          <w:highlight w:val="none"/>
        </w:rPr>
      </w:pPr>
      <w:r>
        <w:rPr>
          <w:rFonts w:hint="eastAsia"/>
          <w:color w:val="auto"/>
          <w:highlight w:val="none"/>
        </w:rPr>
        <w:t>本市の第１号被保険者１人あたり給付月額は、在宅サービス、施設および居住系サービスともに、全国、広島県よりも低くなっています。</w:t>
      </w:r>
    </w:p>
    <w:p>
      <w:pPr>
        <w:pStyle w:val="0"/>
        <w:rPr>
          <w:rFonts w:hint="default" w:ascii="ＭＳ Ｐゴシック" w:hAnsi="ＭＳ Ｐゴシック" w:eastAsia="ＭＳ Ｐゴシック"/>
          <w:color w:val="auto"/>
          <w:highlight w:val="none"/>
        </w:rPr>
      </w:pPr>
    </w:p>
    <w:p>
      <w:pPr>
        <w:pStyle w:val="0"/>
        <w:spacing w:line="360" w:lineRule="exact"/>
        <w:jc w:val="center"/>
        <w:rPr>
          <w:rFonts w:hint="default"/>
          <w:color w:val="auto"/>
          <w:sz w:val="21"/>
          <w:highlight w:val="none"/>
        </w:rPr>
      </w:pPr>
      <w:r>
        <w:rPr>
          <w:rFonts w:hint="eastAsia"/>
          <w:color w:val="auto"/>
          <w:sz w:val="21"/>
          <w:highlight w:val="none"/>
        </w:rPr>
        <w:drawing>
          <wp:anchor distT="0" distB="0" distL="114300" distR="114300" simplePos="0" relativeHeight="28" behindDoc="0" locked="0" layoutInCell="1" hidden="0" allowOverlap="1">
            <wp:simplePos x="0" y="0"/>
            <wp:positionH relativeFrom="margin">
              <wp:posOffset>-152400</wp:posOffset>
            </wp:positionH>
            <wp:positionV relativeFrom="paragraph">
              <wp:posOffset>502920</wp:posOffset>
            </wp:positionV>
            <wp:extent cx="5817870" cy="3694430"/>
            <wp:effectExtent l="0" t="0" r="0" b="0"/>
            <wp:wrapNone/>
            <wp:docPr id="1075" name="Picture 1"/>
            <a:graphic xmlns:a="http://schemas.openxmlformats.org/drawingml/2006/main">
              <a:graphicData uri="http://schemas.openxmlformats.org/drawingml/2006/picture">
                <pic:pic xmlns:pic="http://schemas.openxmlformats.org/drawingml/2006/picture">
                  <pic:nvPicPr>
                    <pic:cNvPr id="1075" name="Picture 1"/>
                    <pic:cNvPicPr>
                      <a:picLocks noChangeAspect="1" noChangeArrowheads="1"/>
                    </pic:cNvPicPr>
                  </pic:nvPicPr>
                  <pic:blipFill>
                    <a:blip r:embed="rId21"/>
                    <a:stretch>
                      <a:fillRect/>
                    </a:stretch>
                  </pic:blipFill>
                  <pic:spPr>
                    <a:xfrm>
                      <a:off x="0" y="0"/>
                      <a:ext cx="5817870" cy="3694430"/>
                    </a:xfrm>
                    <a:prstGeom prst="rect">
                      <a:avLst/>
                    </a:prstGeom>
                    <a:noFill/>
                    <a:ln>
                      <a:noFill/>
                    </a:ln>
                  </pic:spPr>
                </pic:pic>
              </a:graphicData>
            </a:graphic>
          </wp:anchor>
        </w:drawing>
      </w:r>
      <w:r>
        <w:rPr>
          <w:rFonts w:hint="eastAsia"/>
          <w:color w:val="auto"/>
          <w:sz w:val="21"/>
          <w:highlight w:val="none"/>
        </w:rPr>
        <w:t>図表　第１号被保険者１人あたり給付月額（在宅サービス・施設および居住系サービス）</w:t>
      </w:r>
    </w:p>
    <w:p>
      <w:pPr>
        <w:pStyle w:val="0"/>
        <w:spacing w:line="360" w:lineRule="exact"/>
        <w:ind w:left="992" w:leftChars="451"/>
        <w:jc w:val="left"/>
        <w:rPr>
          <w:rFonts w:hint="default" w:ascii="ＭＳ Ｐゴシック" w:hAnsi="ＭＳ Ｐゴシック" w:eastAsia="ＭＳ Ｐゴシック"/>
          <w:color w:val="auto"/>
          <w:sz w:val="21"/>
          <w:highlight w:val="none"/>
        </w:rPr>
      </w:pPr>
      <w:r>
        <w:rPr>
          <w:rFonts w:hint="eastAsia"/>
          <w:color w:val="auto"/>
          <w:sz w:val="21"/>
          <w:highlight w:val="none"/>
        </w:rPr>
        <w:t>（令和３年度）</w:t>
      </w:r>
    </w:p>
    <w:p>
      <w:pPr>
        <w:pStyle w:val="0"/>
        <w:tabs>
          <w:tab w:val="left" w:leader="none" w:pos="6160"/>
        </w:tabs>
        <w:rPr>
          <w:rFonts w:hint="default" w:ascii="ＭＳ Ｐゴシック" w:hAnsi="ＭＳ Ｐゴシック" w:eastAsia="ＭＳ Ｐゴシック"/>
          <w:color w:val="auto"/>
          <w:highlight w:val="none"/>
        </w:rPr>
      </w:pPr>
      <w:r>
        <w:rPr>
          <w:rFonts w:hint="default"/>
          <w:color w:val="auto"/>
          <w:highlight w:val="none"/>
        </w:rPr>
        <mc:AlternateContent>
          <mc:Choice Requires="wps">
            <w:drawing>
              <wp:anchor distT="0" distB="0" distL="114299" distR="114299" simplePos="0" relativeHeight="45" behindDoc="0" locked="0" layoutInCell="1" hidden="0" allowOverlap="1">
                <wp:simplePos x="0" y="0"/>
                <wp:positionH relativeFrom="column">
                  <wp:posOffset>1904365</wp:posOffset>
                </wp:positionH>
                <wp:positionV relativeFrom="paragraph">
                  <wp:posOffset>227965</wp:posOffset>
                </wp:positionV>
                <wp:extent cx="0" cy="2915920"/>
                <wp:effectExtent l="635" t="0" r="29845" b="8255"/>
                <wp:wrapNone/>
                <wp:docPr id="1076" name="直線コネクタ 7"/>
                <a:graphic xmlns:a="http://schemas.openxmlformats.org/drawingml/2006/main">
                  <a:graphicData uri="http://schemas.microsoft.com/office/word/2010/wordprocessingShape">
                    <wps:wsp>
                      <wps:cNvPr id="1076" name="直線コネクタ 7"/>
                      <wps:cNvSpPr/>
                      <wps:spPr>
                        <a:xfrm>
                          <a:off x="0" y="0"/>
                          <a:ext cx="0" cy="2915920"/>
                        </a:xfrm>
                        <a:prstGeom prst="line">
                          <a:avLst/>
                        </a:prstGeom>
                        <a:noFill/>
                        <a:ln w="6350" cap="flat" cmpd="sng" algn="ctr">
                          <a:solidFill>
                            <a:sysClr val="windowText" lastClr="000000"/>
                          </a:solidFill>
                          <a:prstDash val="dash"/>
                        </a:ln>
                        <a:effectLst/>
                      </wps:spPr>
                      <wps:bodyPr/>
                    </wps:wsp>
                  </a:graphicData>
                </a:graphic>
              </wp:anchor>
            </w:drawing>
          </mc:Choice>
          <mc:Fallback>
            <w:pict>
              <v:line id="直線コネクタ 7" style="mso-wrap-distance-top:0pt;mso-wrap-distance-right:8.94pt;mso-wrap-distance-bottom:0pt;mso-position-vertical-relative:text;mso-position-horizontal-relative:text;position:absolute;mso-wrap-distance-left:8.94pt;z-index:45;" o:spid="_x0000_s1076" o:allowincell="t" o:allowoverlap="t" filled="f" stroked="t" strokecolor="#000000" strokeweight="0.5pt" o:spt="20" from="149.95000000000002pt,17.95pt" to="149.95000000000002pt,247.55pt">
                <v:fill/>
                <v:stroke linestyle="single" endcap="flat" dashstyle="dash" filltype="solid"/>
                <v:textbox style="layout-flow:horizontal;"/>
                <v:imagedata o:title=""/>
                <w10:wrap type="none" anchorx="text" anchory="text"/>
              </v:line>
            </w:pict>
          </mc:Fallback>
        </mc:AlternateContent>
      </w:r>
      <w:r>
        <w:rPr>
          <w:rFonts w:hint="default" w:ascii="ＭＳ Ｐゴシック" w:hAnsi="ＭＳ Ｐゴシック" w:eastAsia="ＭＳ Ｐゴシック"/>
          <w:color w:val="auto"/>
          <w:highlight w:val="none"/>
        </w:rPr>
        <w:tab/>
      </w:r>
    </w:p>
    <w:p>
      <w:pPr>
        <w:pStyle w:val="0"/>
        <w:rPr>
          <w:rFonts w:hint="default" w:ascii="ＭＳ Ｐゴシック" w:hAnsi="ＭＳ Ｐゴシック" w:eastAsia="ＭＳ Ｐゴシック"/>
          <w:color w:val="auto"/>
          <w:highlight w:val="none"/>
        </w:rPr>
      </w:pPr>
    </w:p>
    <w:p>
      <w:pPr>
        <w:pStyle w:val="0"/>
        <w:rPr>
          <w:rFonts w:hint="default" w:ascii="ＭＳ Ｐゴシック" w:hAnsi="ＭＳ Ｐゴシック" w:eastAsia="ＭＳ Ｐゴシック"/>
          <w:color w:val="auto"/>
          <w:highlight w:val="none"/>
        </w:rPr>
      </w:pPr>
    </w:p>
    <w:p>
      <w:pPr>
        <w:pStyle w:val="0"/>
        <w:rPr>
          <w:rFonts w:hint="default" w:ascii="ＭＳ Ｐゴシック" w:hAnsi="ＭＳ Ｐゴシック" w:eastAsia="ＭＳ Ｐゴシック"/>
          <w:color w:val="auto"/>
          <w:highlight w:val="none"/>
        </w:rPr>
      </w:pPr>
    </w:p>
    <w:p>
      <w:pPr>
        <w:pStyle w:val="0"/>
        <w:rPr>
          <w:rFonts w:hint="default" w:ascii="ＭＳ Ｐゴシック" w:hAnsi="ＭＳ Ｐゴシック" w:eastAsia="ＭＳ Ｐゴシック"/>
          <w:color w:val="auto"/>
          <w:highlight w:val="none"/>
        </w:rPr>
      </w:pPr>
    </w:p>
    <w:p>
      <w:pPr>
        <w:pStyle w:val="0"/>
        <w:rPr>
          <w:rFonts w:hint="default" w:ascii="ＭＳ Ｐゴシック" w:hAnsi="ＭＳ Ｐゴシック" w:eastAsia="ＭＳ Ｐゴシック"/>
          <w:color w:val="auto"/>
          <w:highlight w:val="none"/>
        </w:rPr>
      </w:pPr>
    </w:p>
    <w:p>
      <w:pPr>
        <w:pStyle w:val="0"/>
        <w:rPr>
          <w:rFonts w:hint="default" w:ascii="ＭＳ Ｐゴシック" w:hAnsi="ＭＳ Ｐゴシック" w:eastAsia="ＭＳ Ｐゴシック"/>
          <w:color w:val="auto"/>
          <w:highlight w:val="none"/>
        </w:rPr>
      </w:pPr>
    </w:p>
    <w:p>
      <w:pPr>
        <w:pStyle w:val="0"/>
        <w:rPr>
          <w:rFonts w:hint="default" w:ascii="ＭＳ Ｐゴシック" w:hAnsi="ＭＳ Ｐゴシック" w:eastAsia="ＭＳ Ｐゴシック"/>
          <w:color w:val="auto"/>
          <w:highlight w:val="none"/>
        </w:rPr>
      </w:pPr>
    </w:p>
    <w:p>
      <w:pPr>
        <w:pStyle w:val="0"/>
        <w:rPr>
          <w:rFonts w:hint="default" w:ascii="ＭＳ Ｐゴシック" w:hAnsi="ＭＳ Ｐゴシック" w:eastAsia="ＭＳ Ｐゴシック"/>
          <w:color w:val="auto"/>
          <w:highlight w:val="none"/>
        </w:rPr>
      </w:pPr>
    </w:p>
    <w:p>
      <w:pPr>
        <w:pStyle w:val="0"/>
        <w:rPr>
          <w:rFonts w:hint="default" w:ascii="ＭＳ Ｐゴシック" w:hAnsi="ＭＳ Ｐゴシック" w:eastAsia="ＭＳ Ｐゴシック"/>
          <w:color w:val="auto"/>
          <w:highlight w:val="none"/>
        </w:rPr>
      </w:pPr>
    </w:p>
    <w:p>
      <w:pPr>
        <w:pStyle w:val="0"/>
        <w:rPr>
          <w:rFonts w:hint="default" w:ascii="ＭＳ Ｐゴシック" w:hAnsi="ＭＳ Ｐゴシック" w:eastAsia="ＭＳ Ｐゴシック"/>
          <w:color w:val="auto"/>
          <w:highlight w:val="none"/>
        </w:rPr>
      </w:pPr>
    </w:p>
    <w:p>
      <w:pPr>
        <w:pStyle w:val="0"/>
        <w:rPr>
          <w:rFonts w:hint="default" w:ascii="ＭＳ Ｐゴシック" w:hAnsi="ＭＳ Ｐゴシック" w:eastAsia="ＭＳ Ｐゴシック"/>
          <w:color w:val="auto"/>
          <w:highlight w:val="none"/>
        </w:rPr>
      </w:pPr>
    </w:p>
    <w:p>
      <w:pPr>
        <w:pStyle w:val="0"/>
        <w:rPr>
          <w:rFonts w:hint="default" w:ascii="ＭＳ Ｐゴシック" w:hAnsi="ＭＳ Ｐゴシック" w:eastAsia="ＭＳ Ｐゴシック"/>
          <w:color w:val="auto"/>
          <w:highlight w:val="none"/>
        </w:rPr>
      </w:pPr>
    </w:p>
    <w:p>
      <w:pPr>
        <w:pStyle w:val="0"/>
        <w:rPr>
          <w:rFonts w:hint="default" w:ascii="ＭＳ Ｐゴシック" w:hAnsi="ＭＳ Ｐゴシック" w:eastAsia="ＭＳ Ｐゴシック"/>
          <w:color w:val="auto"/>
          <w:highlight w:val="none"/>
        </w:rPr>
      </w:pPr>
    </w:p>
    <w:p>
      <w:pPr>
        <w:pStyle w:val="0"/>
        <w:rPr>
          <w:rFonts w:hint="default" w:ascii="ＭＳ Ｐゴシック" w:hAnsi="ＭＳ Ｐゴシック" w:eastAsia="ＭＳ Ｐゴシック"/>
          <w:color w:val="auto"/>
          <w:highlight w:val="none"/>
        </w:rPr>
      </w:pPr>
    </w:p>
    <w:p>
      <w:pPr>
        <w:pStyle w:val="0"/>
        <w:wordWrap w:val="0"/>
        <w:spacing w:before="185" w:beforeLines="50" w:beforeAutospacing="0" w:line="320" w:lineRule="exact"/>
        <w:jc w:val="right"/>
        <w:rPr>
          <w:rFonts w:hint="default"/>
          <w:color w:val="auto"/>
          <w:sz w:val="20"/>
          <w:highlight w:val="none"/>
        </w:rPr>
      </w:pPr>
      <w:r>
        <w:rPr>
          <w:rFonts w:hint="eastAsia"/>
          <w:color w:val="auto"/>
          <w:sz w:val="20"/>
          <w:highlight w:val="none"/>
        </w:rPr>
        <w:t>資料：厚生労働省介護保険事業状況報告（月報２月分までの合計）</w:t>
      </w:r>
    </w:p>
    <w:p>
      <w:pPr>
        <w:pStyle w:val="0"/>
        <w:widowControl w:val="1"/>
        <w:jc w:val="left"/>
        <w:rPr>
          <w:rFonts w:hint="default" w:ascii="ＭＳ Ｐゴシック" w:hAnsi="ＭＳ Ｐゴシック" w:eastAsia="ＭＳ Ｐゴシック"/>
          <w:color w:val="auto"/>
          <w:highlight w:val="none"/>
        </w:rPr>
      </w:pPr>
      <w:r>
        <w:rPr>
          <w:rFonts w:hint="default" w:ascii="ＭＳ Ｐゴシック" w:hAnsi="ＭＳ Ｐゴシック" w:eastAsia="ＭＳ Ｐゴシック"/>
          <w:color w:val="auto"/>
          <w:highlight w:val="none"/>
        </w:rPr>
        <w:br w:type="page"/>
      </w:r>
    </w:p>
    <w:p>
      <w:pPr>
        <w:pStyle w:val="0"/>
        <w:keepNext w:val="1"/>
        <w:spacing w:after="74" w:afterLines="20" w:afterAutospacing="0" w:line="600" w:lineRule="exact"/>
        <w:outlineLvl w:val="0"/>
        <w:rPr>
          <w:rFonts w:hint="default" w:ascii="BIZ UDPゴシック" w:hAnsi="BIZ UDPゴシック" w:eastAsia="BIZ UDPゴシック"/>
          <w:b w:val="1"/>
          <w:color w:val="auto"/>
          <w:sz w:val="32"/>
          <w:highlight w:val="none"/>
        </w:rPr>
      </w:pPr>
      <w:bookmarkStart w:id="32" w:name="_Toc152160620"/>
      <w:r>
        <w:rPr>
          <w:rFonts w:hint="eastAsia" w:ascii="BIZ UDPゴシック" w:hAnsi="BIZ UDPゴシック" w:eastAsia="BIZ UDPゴシック"/>
          <w:b w:val="1"/>
          <w:color w:val="auto"/>
          <w:sz w:val="32"/>
          <w:highlight w:val="none"/>
        </w:rPr>
        <w:t>６　高齢者の就業状況の推移</w:t>
      </w:r>
      <w:bookmarkEnd w:id="32"/>
    </w:p>
    <w:p>
      <w:pPr>
        <w:pStyle w:val="0"/>
        <w:numPr>
          <w:ilvl w:val="3"/>
          <w:numId w:val="1"/>
        </w:numPr>
        <w:autoSpaceDE w:val="0"/>
        <w:autoSpaceDN w:val="0"/>
        <w:spacing w:line="380" w:lineRule="exact"/>
        <w:ind w:left="660" w:leftChars="100"/>
        <w:rPr>
          <w:rFonts w:hint="default"/>
          <w:color w:val="auto"/>
          <w:highlight w:val="none"/>
        </w:rPr>
      </w:pPr>
      <w:r>
        <w:rPr>
          <w:rFonts w:hint="eastAsia"/>
          <w:color w:val="auto"/>
          <w:highlight w:val="none"/>
        </w:rPr>
        <w:t>国勢調査による本市の</w:t>
      </w:r>
      <w:r>
        <w:rPr>
          <w:rFonts w:hint="eastAsia"/>
          <w:color w:val="auto"/>
          <w:highlight w:val="none"/>
        </w:rPr>
        <w:t>65</w:t>
      </w:r>
      <w:r>
        <w:rPr>
          <w:rFonts w:hint="eastAsia"/>
          <w:color w:val="auto"/>
          <w:highlight w:val="none"/>
        </w:rPr>
        <w:t>歳以上の高齢者の就業者数は増加傾向にあります。</w:t>
      </w:r>
    </w:p>
    <w:p>
      <w:pPr>
        <w:pStyle w:val="0"/>
        <w:numPr>
          <w:ilvl w:val="3"/>
          <w:numId w:val="1"/>
        </w:numPr>
        <w:autoSpaceDE w:val="0"/>
        <w:autoSpaceDN w:val="0"/>
        <w:spacing w:line="380" w:lineRule="exact"/>
        <w:ind w:left="660" w:leftChars="100"/>
        <w:rPr>
          <w:rFonts w:hint="default"/>
          <w:color w:val="auto"/>
          <w:spacing w:val="-2"/>
          <w:highlight w:val="none"/>
        </w:rPr>
      </w:pPr>
      <w:r>
        <w:rPr>
          <w:rFonts w:hint="eastAsia"/>
          <w:color w:val="auto"/>
          <w:spacing w:val="-2"/>
          <w:highlight w:val="none"/>
        </w:rPr>
        <w:t>高齢者人口に占める割合も上昇しており、令和２</w:t>
      </w:r>
      <w:r>
        <w:rPr>
          <w:rFonts w:hint="eastAsia"/>
          <w:color w:val="auto"/>
          <w:highlight w:val="none"/>
        </w:rPr>
        <w:t>（</w:t>
      </w:r>
      <w:r>
        <w:rPr>
          <w:rFonts w:hint="eastAsia"/>
          <w:color w:val="auto"/>
          <w:highlight w:val="none"/>
        </w:rPr>
        <w:t>2020</w:t>
      </w:r>
      <w:r>
        <w:rPr>
          <w:rFonts w:hint="eastAsia"/>
          <w:color w:val="auto"/>
          <w:highlight w:val="none"/>
        </w:rPr>
        <w:t>）</w:t>
      </w:r>
      <w:r>
        <w:rPr>
          <w:rFonts w:hint="eastAsia"/>
          <w:color w:val="auto"/>
          <w:spacing w:val="-2"/>
          <w:highlight w:val="none"/>
        </w:rPr>
        <w:t>年の就業率は</w:t>
      </w:r>
      <w:r>
        <w:rPr>
          <w:rFonts w:hint="eastAsia"/>
          <w:color w:val="auto"/>
          <w:spacing w:val="-2"/>
          <w:highlight w:val="none"/>
        </w:rPr>
        <w:t>25.6</w:t>
      </w:r>
      <w:r>
        <w:rPr>
          <w:rFonts w:hint="eastAsia"/>
          <w:color w:val="auto"/>
          <w:spacing w:val="-2"/>
          <w:highlight w:val="none"/>
        </w:rPr>
        <w:t>％となっています。</w:t>
      </w:r>
    </w:p>
    <w:p>
      <w:pPr>
        <w:pStyle w:val="0"/>
        <w:numPr>
          <w:ilvl w:val="3"/>
          <w:numId w:val="1"/>
        </w:numPr>
        <w:autoSpaceDE w:val="0"/>
        <w:autoSpaceDN w:val="0"/>
        <w:spacing w:line="380" w:lineRule="exact"/>
        <w:ind w:left="660" w:leftChars="100"/>
        <w:rPr>
          <w:rFonts w:hint="default"/>
          <w:color w:val="auto"/>
          <w:highlight w:val="none"/>
        </w:rPr>
      </w:pPr>
      <w:r>
        <w:rPr>
          <w:rFonts w:hint="eastAsia"/>
          <w:color w:val="auto"/>
          <w:highlight w:val="none"/>
        </w:rPr>
        <w:t>本市の高齢者の就業率は、全国、広島県と比較すると平成</w:t>
      </w:r>
      <w:r>
        <w:rPr>
          <w:rFonts w:hint="eastAsia"/>
          <w:color w:val="auto"/>
          <w:highlight w:val="none"/>
        </w:rPr>
        <w:t>27</w:t>
      </w:r>
      <w:r>
        <w:rPr>
          <w:rFonts w:hint="eastAsia"/>
          <w:color w:val="auto"/>
          <w:highlight w:val="none"/>
        </w:rPr>
        <w:t>（</w:t>
      </w:r>
      <w:r>
        <w:rPr>
          <w:rFonts w:hint="eastAsia"/>
          <w:color w:val="auto"/>
          <w:highlight w:val="none"/>
        </w:rPr>
        <w:t>2015</w:t>
      </w:r>
      <w:r>
        <w:rPr>
          <w:rFonts w:hint="eastAsia"/>
          <w:color w:val="auto"/>
          <w:highlight w:val="none"/>
        </w:rPr>
        <w:t>）年まで低い値で推移していましたが、令和２（</w:t>
      </w:r>
      <w:r>
        <w:rPr>
          <w:rFonts w:hint="eastAsia"/>
          <w:color w:val="auto"/>
          <w:highlight w:val="none"/>
        </w:rPr>
        <w:t>2020</w:t>
      </w:r>
      <w:r>
        <w:rPr>
          <w:rFonts w:hint="eastAsia"/>
          <w:color w:val="auto"/>
          <w:highlight w:val="none"/>
        </w:rPr>
        <w:t>）年に上回りました。</w:t>
      </w:r>
    </w:p>
    <w:p>
      <w:pPr>
        <w:pStyle w:val="0"/>
        <w:spacing w:before="185" w:beforeLines="50" w:beforeAutospacing="0" w:line="400" w:lineRule="exact"/>
        <w:ind w:left="565" w:leftChars="257"/>
        <w:jc w:val="center"/>
        <w:rPr>
          <w:rFonts w:hint="default"/>
          <w:color w:val="auto"/>
          <w:sz w:val="21"/>
          <w:highlight w:val="none"/>
        </w:rPr>
      </w:pPr>
      <w:r>
        <w:rPr>
          <w:rFonts w:hint="eastAsia"/>
          <w:color w:val="auto"/>
          <w:sz w:val="21"/>
          <w:highlight w:val="none"/>
        </w:rPr>
        <w:t>図表　高齢者の就業者数・就業率（廿日市市）</w:t>
      </w:r>
    </w:p>
    <w:p>
      <w:pPr>
        <w:pStyle w:val="0"/>
        <w:spacing w:line="380" w:lineRule="exact"/>
        <w:rPr>
          <w:rFonts w:hint="default" w:ascii="HG丸ｺﾞｼｯｸM-PRO" w:hAnsi="HG丸ｺﾞｼｯｸM-PRO" w:eastAsia="HG丸ｺﾞｼｯｸM-PRO"/>
          <w:color w:val="auto"/>
          <w:highlight w:val="none"/>
        </w:rPr>
      </w:pPr>
      <w:r>
        <w:rPr>
          <w:rFonts w:hint="default"/>
          <w:color w:val="auto"/>
          <w:highlight w:val="none"/>
        </w:rPr>
        <w:drawing>
          <wp:anchor distT="0" distB="0" distL="114300" distR="114300" simplePos="0" relativeHeight="25" behindDoc="0" locked="0" layoutInCell="1" hidden="0" allowOverlap="1">
            <wp:simplePos x="0" y="0"/>
            <wp:positionH relativeFrom="column">
              <wp:posOffset>375920</wp:posOffset>
            </wp:positionH>
            <wp:positionV relativeFrom="paragraph">
              <wp:posOffset>106045</wp:posOffset>
            </wp:positionV>
            <wp:extent cx="5760085" cy="2672715"/>
            <wp:effectExtent l="0" t="0" r="0" b="0"/>
            <wp:wrapNone/>
            <wp:docPr id="1077" name="Picture 2"/>
            <a:graphic xmlns:a="http://schemas.openxmlformats.org/drawingml/2006/main">
              <a:graphicData uri="http://schemas.openxmlformats.org/drawingml/2006/picture">
                <pic:pic xmlns:pic="http://schemas.openxmlformats.org/drawingml/2006/picture">
                  <pic:nvPicPr>
                    <pic:cNvPr id="1077" name="Picture 2"/>
                    <pic:cNvPicPr>
                      <a:picLocks noChangeAspect="1" noChangeArrowheads="1"/>
                    </pic:cNvPicPr>
                  </pic:nvPicPr>
                  <pic:blipFill>
                    <a:blip r:embed="rId22"/>
                    <a:stretch>
                      <a:fillRect/>
                    </a:stretch>
                  </pic:blipFill>
                  <pic:spPr>
                    <a:xfrm>
                      <a:off x="0" y="0"/>
                      <a:ext cx="5760085" cy="2672715"/>
                    </a:xfrm>
                    <a:prstGeom prst="rect">
                      <a:avLst/>
                    </a:prstGeom>
                    <a:noFill/>
                    <a:ln>
                      <a:noFill/>
                    </a:ln>
                  </pic:spPr>
                </pic:pic>
              </a:graphicData>
            </a:graphic>
          </wp:anchor>
        </w:drawing>
      </w:r>
    </w:p>
    <w:p>
      <w:pPr>
        <w:pStyle w:val="0"/>
        <w:spacing w:line="380" w:lineRule="exact"/>
        <w:rPr>
          <w:rFonts w:hint="default" w:ascii="HG丸ｺﾞｼｯｸM-PRO" w:hAnsi="HG丸ｺﾞｼｯｸM-PRO" w:eastAsia="HG丸ｺﾞｼｯｸM-PRO"/>
          <w:color w:val="auto"/>
          <w:highlight w:val="none"/>
        </w:rPr>
      </w:pPr>
    </w:p>
    <w:p>
      <w:pPr>
        <w:pStyle w:val="0"/>
        <w:spacing w:line="380" w:lineRule="exact"/>
        <w:rPr>
          <w:rFonts w:hint="default" w:ascii="HG丸ｺﾞｼｯｸM-PRO" w:hAnsi="HG丸ｺﾞｼｯｸM-PRO" w:eastAsia="HG丸ｺﾞｼｯｸM-PRO"/>
          <w:color w:val="auto"/>
          <w:highlight w:val="none"/>
        </w:rPr>
      </w:pPr>
    </w:p>
    <w:p>
      <w:pPr>
        <w:pStyle w:val="0"/>
        <w:spacing w:line="380" w:lineRule="exact"/>
        <w:rPr>
          <w:rFonts w:hint="default" w:ascii="HG丸ｺﾞｼｯｸM-PRO" w:hAnsi="HG丸ｺﾞｼｯｸM-PRO" w:eastAsia="HG丸ｺﾞｼｯｸM-PRO"/>
          <w:color w:val="auto"/>
          <w:highlight w:val="none"/>
        </w:rPr>
      </w:pPr>
    </w:p>
    <w:p>
      <w:pPr>
        <w:pStyle w:val="0"/>
        <w:spacing w:line="380" w:lineRule="exact"/>
        <w:rPr>
          <w:rFonts w:hint="default" w:ascii="HG丸ｺﾞｼｯｸM-PRO" w:hAnsi="HG丸ｺﾞｼｯｸM-PRO" w:eastAsia="HG丸ｺﾞｼｯｸM-PRO"/>
          <w:color w:val="auto"/>
          <w:highlight w:val="none"/>
        </w:rPr>
      </w:pPr>
    </w:p>
    <w:p>
      <w:pPr>
        <w:pStyle w:val="0"/>
        <w:spacing w:line="380" w:lineRule="exact"/>
        <w:rPr>
          <w:rFonts w:hint="default" w:ascii="HG丸ｺﾞｼｯｸM-PRO" w:hAnsi="HG丸ｺﾞｼｯｸM-PRO" w:eastAsia="HG丸ｺﾞｼｯｸM-PRO"/>
          <w:color w:val="auto"/>
          <w:highlight w:val="none"/>
        </w:rPr>
      </w:pPr>
    </w:p>
    <w:p>
      <w:pPr>
        <w:pStyle w:val="0"/>
        <w:spacing w:line="380" w:lineRule="exact"/>
        <w:rPr>
          <w:rFonts w:hint="default" w:ascii="HG丸ｺﾞｼｯｸM-PRO" w:hAnsi="HG丸ｺﾞｼｯｸM-PRO" w:eastAsia="HG丸ｺﾞｼｯｸM-PRO"/>
          <w:color w:val="auto"/>
          <w:highlight w:val="none"/>
        </w:rPr>
      </w:pPr>
    </w:p>
    <w:p>
      <w:pPr>
        <w:pStyle w:val="0"/>
        <w:spacing w:line="380" w:lineRule="exact"/>
        <w:rPr>
          <w:rFonts w:hint="default" w:ascii="HG丸ｺﾞｼｯｸM-PRO" w:hAnsi="HG丸ｺﾞｼｯｸM-PRO" w:eastAsia="HG丸ｺﾞｼｯｸM-PRO"/>
          <w:color w:val="auto"/>
          <w:highlight w:val="none"/>
        </w:rPr>
      </w:pPr>
    </w:p>
    <w:p>
      <w:pPr>
        <w:pStyle w:val="0"/>
        <w:spacing w:line="380" w:lineRule="exact"/>
        <w:rPr>
          <w:rFonts w:hint="default" w:ascii="HG丸ｺﾞｼｯｸM-PRO" w:hAnsi="HG丸ｺﾞｼｯｸM-PRO" w:eastAsia="HG丸ｺﾞｼｯｸM-PRO"/>
          <w:color w:val="auto"/>
          <w:highlight w:val="none"/>
        </w:rPr>
      </w:pPr>
    </w:p>
    <w:p>
      <w:pPr>
        <w:pStyle w:val="0"/>
        <w:spacing w:line="380" w:lineRule="exact"/>
        <w:rPr>
          <w:rFonts w:hint="default" w:ascii="HG丸ｺﾞｼｯｸM-PRO" w:hAnsi="HG丸ｺﾞｼｯｸM-PRO" w:eastAsia="HG丸ｺﾞｼｯｸM-PRO"/>
          <w:color w:val="auto"/>
          <w:highlight w:val="none"/>
        </w:rPr>
      </w:pPr>
    </w:p>
    <w:p>
      <w:pPr>
        <w:pStyle w:val="0"/>
        <w:spacing w:line="380" w:lineRule="exact"/>
        <w:rPr>
          <w:rFonts w:hint="default" w:ascii="HG丸ｺﾞｼｯｸM-PRO" w:hAnsi="HG丸ｺﾞｼｯｸM-PRO" w:eastAsia="HG丸ｺﾞｼｯｸM-PRO"/>
          <w:color w:val="auto"/>
          <w:highlight w:val="none"/>
        </w:rPr>
      </w:pPr>
    </w:p>
    <w:p>
      <w:pPr>
        <w:pStyle w:val="0"/>
        <w:jc w:val="right"/>
        <w:rPr>
          <w:rFonts w:hint="default"/>
          <w:color w:val="auto"/>
          <w:sz w:val="20"/>
          <w:highlight w:val="none"/>
        </w:rPr>
      </w:pPr>
      <w:r>
        <w:rPr>
          <w:rFonts w:hint="eastAsia"/>
          <w:color w:val="auto"/>
          <w:sz w:val="20"/>
          <w:highlight w:val="none"/>
        </w:rPr>
        <w:t>資料：国勢調査</w:t>
      </w:r>
    </w:p>
    <w:p>
      <w:pPr>
        <w:pStyle w:val="0"/>
        <w:spacing w:line="380" w:lineRule="exact"/>
        <w:rPr>
          <w:rFonts w:hint="default"/>
          <w:color w:val="auto"/>
          <w:highlight w:val="none"/>
        </w:rPr>
      </w:pPr>
    </w:p>
    <w:p>
      <w:pPr>
        <w:pStyle w:val="0"/>
        <w:spacing w:line="400" w:lineRule="exact"/>
        <w:ind w:left="565" w:leftChars="257"/>
        <w:jc w:val="center"/>
        <w:rPr>
          <w:rFonts w:hint="default"/>
          <w:color w:val="auto"/>
          <w:sz w:val="21"/>
          <w:highlight w:val="none"/>
        </w:rPr>
      </w:pPr>
      <w:r>
        <w:rPr>
          <w:rFonts w:hint="eastAsia"/>
          <w:color w:val="auto"/>
          <w:sz w:val="21"/>
          <w:highlight w:val="none"/>
        </w:rPr>
        <w:t>図表　高齢者の就業率（全国・広島県・廿日市市）</w:t>
      </w:r>
    </w:p>
    <w:p>
      <w:pPr>
        <w:pStyle w:val="0"/>
        <w:spacing w:line="380" w:lineRule="exact"/>
        <w:rPr>
          <w:rFonts w:hint="default" w:ascii="HG丸ｺﾞｼｯｸM-PRO" w:hAnsi="HG丸ｺﾞｼｯｸM-PRO" w:eastAsia="HG丸ｺﾞｼｯｸM-PRO"/>
          <w:color w:val="auto"/>
          <w:highlight w:val="none"/>
        </w:rPr>
      </w:pPr>
      <w:r>
        <w:rPr>
          <w:rFonts w:hint="default"/>
          <w:color w:val="auto"/>
          <w:highlight w:val="none"/>
        </w:rPr>
        <w:drawing>
          <wp:anchor distT="0" distB="0" distL="114300" distR="114300" simplePos="0" relativeHeight="24" behindDoc="0" locked="0" layoutInCell="1" hidden="0" allowOverlap="1">
            <wp:simplePos x="0" y="0"/>
            <wp:positionH relativeFrom="column">
              <wp:posOffset>518795</wp:posOffset>
            </wp:positionH>
            <wp:positionV relativeFrom="paragraph">
              <wp:posOffset>42545</wp:posOffset>
            </wp:positionV>
            <wp:extent cx="4267200" cy="2752725"/>
            <wp:effectExtent l="0" t="0" r="0" b="0"/>
            <wp:wrapNone/>
            <wp:docPr id="1078" name="Picture 3"/>
            <a:graphic xmlns:a="http://schemas.openxmlformats.org/drawingml/2006/main">
              <a:graphicData uri="http://schemas.openxmlformats.org/drawingml/2006/picture">
                <pic:pic xmlns:pic="http://schemas.openxmlformats.org/drawingml/2006/picture">
                  <pic:nvPicPr>
                    <pic:cNvPr id="1078" name="Picture 3"/>
                    <pic:cNvPicPr>
                      <a:picLocks noChangeAspect="1" noChangeArrowheads="1"/>
                    </pic:cNvPicPr>
                  </pic:nvPicPr>
                  <pic:blipFill>
                    <a:blip r:embed="rId23"/>
                    <a:stretch>
                      <a:fillRect/>
                    </a:stretch>
                  </pic:blipFill>
                  <pic:spPr>
                    <a:xfrm>
                      <a:off x="0" y="0"/>
                      <a:ext cx="4267200" cy="2752725"/>
                    </a:xfrm>
                    <a:prstGeom prst="rect">
                      <a:avLst/>
                    </a:prstGeom>
                    <a:noFill/>
                    <a:ln>
                      <a:noFill/>
                    </a:ln>
                  </pic:spPr>
                </pic:pic>
              </a:graphicData>
            </a:graphic>
          </wp:anchor>
        </w:drawing>
      </w:r>
    </w:p>
    <w:p>
      <w:pPr>
        <w:pStyle w:val="0"/>
        <w:spacing w:line="380" w:lineRule="exact"/>
        <w:rPr>
          <w:rFonts w:hint="default" w:ascii="HG丸ｺﾞｼｯｸM-PRO" w:hAnsi="HG丸ｺﾞｼｯｸM-PRO" w:eastAsia="HG丸ｺﾞｼｯｸM-PRO"/>
          <w:color w:val="auto"/>
          <w:highlight w:val="none"/>
        </w:rPr>
      </w:pPr>
    </w:p>
    <w:p>
      <w:pPr>
        <w:pStyle w:val="0"/>
        <w:spacing w:line="380" w:lineRule="exact"/>
        <w:rPr>
          <w:rFonts w:hint="default" w:ascii="HG丸ｺﾞｼｯｸM-PRO" w:hAnsi="HG丸ｺﾞｼｯｸM-PRO" w:eastAsia="HG丸ｺﾞｼｯｸM-PRO"/>
          <w:color w:val="auto"/>
          <w:highlight w:val="none"/>
        </w:rPr>
      </w:pPr>
    </w:p>
    <w:p>
      <w:pPr>
        <w:pStyle w:val="0"/>
        <w:spacing w:line="380" w:lineRule="exact"/>
        <w:rPr>
          <w:rFonts w:hint="default" w:ascii="HG丸ｺﾞｼｯｸM-PRO" w:hAnsi="HG丸ｺﾞｼｯｸM-PRO" w:eastAsia="HG丸ｺﾞｼｯｸM-PRO"/>
          <w:color w:val="auto"/>
          <w:highlight w:val="none"/>
        </w:rPr>
      </w:pPr>
    </w:p>
    <w:p>
      <w:pPr>
        <w:pStyle w:val="0"/>
        <w:spacing w:line="380" w:lineRule="exact"/>
        <w:rPr>
          <w:rFonts w:hint="default" w:ascii="HG丸ｺﾞｼｯｸM-PRO" w:hAnsi="HG丸ｺﾞｼｯｸM-PRO" w:eastAsia="HG丸ｺﾞｼｯｸM-PRO"/>
          <w:color w:val="auto"/>
          <w:highlight w:val="none"/>
        </w:rPr>
      </w:pPr>
    </w:p>
    <w:p>
      <w:pPr>
        <w:pStyle w:val="0"/>
        <w:spacing w:line="380" w:lineRule="exact"/>
        <w:rPr>
          <w:rFonts w:hint="default" w:ascii="HG丸ｺﾞｼｯｸM-PRO" w:hAnsi="HG丸ｺﾞｼｯｸM-PRO" w:eastAsia="HG丸ｺﾞｼｯｸM-PRO"/>
          <w:color w:val="auto"/>
          <w:highlight w:val="none"/>
        </w:rPr>
      </w:pPr>
    </w:p>
    <w:p>
      <w:pPr>
        <w:pStyle w:val="0"/>
        <w:spacing w:line="380" w:lineRule="exact"/>
        <w:rPr>
          <w:rFonts w:hint="default" w:ascii="HG丸ｺﾞｼｯｸM-PRO" w:hAnsi="HG丸ｺﾞｼｯｸM-PRO" w:eastAsia="HG丸ｺﾞｼｯｸM-PRO"/>
          <w:color w:val="auto"/>
          <w:highlight w:val="none"/>
        </w:rPr>
      </w:pPr>
    </w:p>
    <w:p>
      <w:pPr>
        <w:pStyle w:val="0"/>
        <w:spacing w:line="380" w:lineRule="exact"/>
        <w:rPr>
          <w:rFonts w:hint="default" w:ascii="HG丸ｺﾞｼｯｸM-PRO" w:hAnsi="HG丸ｺﾞｼｯｸM-PRO" w:eastAsia="HG丸ｺﾞｼｯｸM-PRO"/>
          <w:color w:val="auto"/>
          <w:highlight w:val="none"/>
        </w:rPr>
      </w:pPr>
    </w:p>
    <w:p>
      <w:pPr>
        <w:pStyle w:val="0"/>
        <w:spacing w:line="380" w:lineRule="exact"/>
        <w:rPr>
          <w:rFonts w:hint="default" w:ascii="HG丸ｺﾞｼｯｸM-PRO" w:hAnsi="HG丸ｺﾞｼｯｸM-PRO" w:eastAsia="HG丸ｺﾞｼｯｸM-PRO"/>
          <w:color w:val="auto"/>
          <w:highlight w:val="none"/>
        </w:rPr>
      </w:pPr>
    </w:p>
    <w:p>
      <w:pPr>
        <w:pStyle w:val="0"/>
        <w:spacing w:line="380" w:lineRule="exact"/>
        <w:rPr>
          <w:rFonts w:hint="default" w:ascii="HG丸ｺﾞｼｯｸM-PRO" w:hAnsi="HG丸ｺﾞｼｯｸM-PRO" w:eastAsia="HG丸ｺﾞｼｯｸM-PRO"/>
          <w:color w:val="auto"/>
          <w:highlight w:val="none"/>
        </w:rPr>
      </w:pPr>
    </w:p>
    <w:p>
      <w:pPr>
        <w:pStyle w:val="0"/>
        <w:jc w:val="right"/>
        <w:rPr>
          <w:rFonts w:hint="default"/>
          <w:color w:val="auto"/>
          <w:sz w:val="20"/>
          <w:highlight w:val="none"/>
        </w:rPr>
      </w:pPr>
      <w:r>
        <w:rPr>
          <w:rFonts w:hint="eastAsia"/>
          <w:color w:val="auto"/>
          <w:sz w:val="20"/>
          <w:highlight w:val="none"/>
        </w:rPr>
        <w:t>資料：国勢調査</w:t>
      </w:r>
    </w:p>
    <w:p>
      <w:pPr>
        <w:pStyle w:val="0"/>
        <w:spacing w:line="380" w:lineRule="exact"/>
        <w:rPr>
          <w:rFonts w:hint="default"/>
          <w:color w:val="auto"/>
          <w:highlight w:val="none"/>
        </w:rPr>
      </w:pPr>
    </w:p>
    <w:p>
      <w:pPr>
        <w:pStyle w:val="0"/>
        <w:widowControl w:val="1"/>
        <w:jc w:val="left"/>
        <w:rPr>
          <w:rFonts w:hint="default"/>
          <w:color w:val="auto"/>
          <w:highlight w:val="none"/>
        </w:rPr>
      </w:pPr>
      <w:r>
        <w:rPr>
          <w:rFonts w:hint="default"/>
          <w:color w:val="auto"/>
          <w:highlight w:val="none"/>
        </w:rPr>
        <w:br w:type="page"/>
      </w:r>
    </w:p>
    <w:p>
      <w:pPr>
        <w:pStyle w:val="0"/>
        <w:keepNext w:val="1"/>
        <w:spacing w:after="74" w:afterLines="20" w:afterAutospacing="0" w:line="600" w:lineRule="exact"/>
        <w:outlineLvl w:val="0"/>
        <w:rPr>
          <w:rFonts w:hint="default" w:ascii="BIZ UDPゴシック" w:hAnsi="BIZ UDPゴシック" w:eastAsia="BIZ UDPゴシック"/>
          <w:b w:val="1"/>
          <w:color w:val="auto"/>
          <w:sz w:val="32"/>
          <w:highlight w:val="none"/>
        </w:rPr>
      </w:pPr>
      <w:bookmarkStart w:id="33" w:name="_Toc152160621"/>
      <w:r>
        <w:rPr>
          <w:rFonts w:hint="eastAsia" w:ascii="BIZ UDPゴシック" w:hAnsi="BIZ UDPゴシック" w:eastAsia="BIZ UDPゴシック"/>
          <w:b w:val="1"/>
          <w:color w:val="auto"/>
          <w:sz w:val="32"/>
          <w:highlight w:val="none"/>
        </w:rPr>
        <w:t>７　日常生活圏域の状況</w:t>
      </w:r>
      <w:bookmarkEnd w:id="33"/>
    </w:p>
    <w:p>
      <w:pPr>
        <w:pStyle w:val="26"/>
        <w:spacing w:after="76" w:afterLines="0" w:afterAutospacing="0"/>
        <w:rPr>
          <w:rFonts w:hint="default"/>
          <w:color w:val="auto"/>
          <w:highlight w:val="none"/>
        </w:rPr>
      </w:pPr>
      <w:bookmarkStart w:id="34" w:name="_Toc150813508"/>
      <w:bookmarkStart w:id="35" w:name="_Toc152160622"/>
      <w:r>
        <w:rPr>
          <w:rFonts w:hint="default"/>
          <w:color w:val="auto"/>
          <w:highlight w:val="none"/>
        </w:rPr>
        <w:t>（</w:t>
      </w:r>
      <w:r>
        <w:rPr>
          <w:rFonts w:hint="eastAsia"/>
          <w:color w:val="auto"/>
          <w:highlight w:val="none"/>
        </w:rPr>
        <w:t>１</w:t>
      </w:r>
      <w:r>
        <w:rPr>
          <w:rFonts w:hint="default"/>
          <w:color w:val="auto"/>
          <w:highlight w:val="none"/>
        </w:rPr>
        <w:t>）</w:t>
      </w:r>
      <w:r>
        <w:rPr>
          <w:rFonts w:hint="eastAsia"/>
          <w:color w:val="auto"/>
          <w:highlight w:val="none"/>
        </w:rPr>
        <w:t>日常生活圏域の概要</w:t>
      </w:r>
      <w:bookmarkEnd w:id="34"/>
      <w:bookmarkEnd w:id="35"/>
    </w:p>
    <w:p>
      <w:pPr>
        <w:pStyle w:val="46"/>
        <w:rPr>
          <w:rFonts w:hint="default"/>
          <w:color w:val="auto"/>
          <w:highlight w:val="none"/>
        </w:rPr>
      </w:pPr>
      <w:r>
        <w:rPr>
          <w:rFonts w:hint="eastAsia"/>
          <w:color w:val="auto"/>
          <w:highlight w:val="none"/>
        </w:rPr>
        <w:t>本市では、旧行政区、人口及び小学校区を勘案し、市内を７つの日常生活圏域に設定し、圏域ごとに地域密着型サービスの基盤整備を進めています。</w:t>
      </w:r>
    </w:p>
    <w:p>
      <w:pPr>
        <w:pStyle w:val="0"/>
        <w:autoSpaceDE w:val="0"/>
        <w:autoSpaceDN w:val="0"/>
        <w:spacing w:before="185" w:beforeLines="50" w:beforeAutospacing="0" w:after="74" w:afterLines="20" w:afterAutospacing="0" w:line="380" w:lineRule="exact"/>
        <w:ind w:left="425" w:leftChars="193"/>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21"/>
          <w:highlight w:val="none"/>
        </w:rPr>
        <w:t>図表　日常生活圏域の状況（令和５年１０月１日現在）</w:t>
      </w:r>
    </w:p>
    <w:tbl>
      <w:tblPr>
        <w:tblStyle w:val="81"/>
        <w:tblW w:w="8704" w:type="dxa"/>
        <w:tblInd w:w="421" w:type="dxa"/>
        <w:tblLayout w:type="fixed"/>
        <w:tblLook w:firstRow="1" w:lastRow="0" w:firstColumn="1" w:lastColumn="0" w:noHBand="0" w:noVBand="1" w:val="04A0"/>
      </w:tblPr>
      <w:tblGrid>
        <w:gridCol w:w="1275"/>
        <w:gridCol w:w="2699"/>
        <w:gridCol w:w="990"/>
        <w:gridCol w:w="1210"/>
        <w:gridCol w:w="1191"/>
        <w:gridCol w:w="1339"/>
      </w:tblGrid>
      <w:tr>
        <w:trPr/>
        <w:tc>
          <w:tcPr>
            <w:tcW w:w="127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CCECFF"/>
            <w:vAlign w:val="center"/>
          </w:tcPr>
          <w:p>
            <w:pPr>
              <w:pStyle w:val="41"/>
              <w:tabs>
                <w:tab w:val="left" w:leader="none" w:pos="1100"/>
              </w:tabs>
              <w:spacing w:line="260" w:lineRule="exact"/>
              <w:ind w:left="-110" w:leftChars="-50" w:right="-110" w:rightChars="-5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kern w:val="24"/>
                <w:sz w:val="20"/>
                <w:highlight w:val="none"/>
              </w:rPr>
              <w:t>圏域</w:t>
            </w:r>
          </w:p>
        </w:tc>
        <w:tc>
          <w:tcPr>
            <w:tcW w:w="269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CCECFF"/>
            <w:vAlign w:val="center"/>
          </w:tcPr>
          <w:p>
            <w:pPr>
              <w:pStyle w:val="41"/>
              <w:spacing w:line="260" w:lineRule="exact"/>
              <w:ind w:left="-110" w:leftChars="-50" w:right="-110" w:rightChars="-5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kern w:val="24"/>
                <w:sz w:val="20"/>
                <w:highlight w:val="none"/>
              </w:rPr>
              <w:t>構成される小学校区等</w:t>
            </w:r>
          </w:p>
        </w:tc>
        <w:tc>
          <w:tcPr>
            <w:tcW w:w="990" w:type="dxa"/>
            <w:tcBorders>
              <w:top w:val="single" w:color="000000" w:sz="4" w:space="0"/>
              <w:left w:val="single" w:color="000000" w:sz="4" w:space="0"/>
              <w:bottom w:val="single" w:color="auto" w:sz="4" w:space="0"/>
              <w:right w:val="single" w:color="000000" w:sz="4" w:space="0"/>
              <w:tl2br w:val="none" w:color="auto" w:sz="0" w:space="0"/>
              <w:tr2bl w:val="none" w:color="auto" w:sz="0" w:space="0"/>
            </w:tcBorders>
            <w:shd w:val="clear" w:color="auto" w:fill="CCECFF"/>
            <w:vAlign w:val="center"/>
          </w:tcPr>
          <w:p>
            <w:pPr>
              <w:pStyle w:val="41"/>
              <w:spacing w:line="260" w:lineRule="exact"/>
              <w:ind w:left="-110" w:leftChars="-50" w:right="-110" w:rightChars="-5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kern w:val="24"/>
                <w:sz w:val="20"/>
                <w:highlight w:val="none"/>
              </w:rPr>
              <w:t>人口</w:t>
            </w:r>
          </w:p>
        </w:tc>
        <w:tc>
          <w:tcPr>
            <w:tcW w:w="1210" w:type="dxa"/>
            <w:tcBorders>
              <w:top w:val="single" w:color="000000" w:sz="4" w:space="0"/>
              <w:left w:val="single" w:color="000000" w:sz="4" w:space="0"/>
              <w:bottom w:val="single" w:color="auto" w:sz="4" w:space="0"/>
              <w:right w:val="single" w:color="000000" w:sz="4" w:space="0"/>
              <w:tl2br w:val="none" w:color="auto" w:sz="0" w:space="0"/>
              <w:tr2bl w:val="none" w:color="auto" w:sz="0" w:space="0"/>
            </w:tcBorders>
            <w:shd w:val="clear" w:color="auto" w:fill="CCECFF"/>
            <w:vAlign w:val="center"/>
          </w:tcPr>
          <w:p>
            <w:pPr>
              <w:pStyle w:val="41"/>
              <w:spacing w:line="260" w:lineRule="exact"/>
              <w:ind w:left="-110" w:leftChars="-50" w:right="-110" w:rightChars="-5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kern w:val="24"/>
                <w:sz w:val="20"/>
                <w:highlight w:val="none"/>
              </w:rPr>
              <w:t>高齢者数</w:t>
            </w:r>
          </w:p>
        </w:tc>
        <w:tc>
          <w:tcPr>
            <w:tcW w:w="1191" w:type="dxa"/>
            <w:tcBorders>
              <w:top w:val="single" w:color="000000" w:sz="4" w:space="0"/>
              <w:left w:val="single" w:color="000000" w:sz="4" w:space="0"/>
              <w:bottom w:val="single" w:color="auto" w:sz="4" w:space="0"/>
              <w:right w:val="single" w:color="000000" w:sz="4" w:space="0"/>
              <w:tl2br w:val="none" w:color="auto" w:sz="0" w:space="0"/>
              <w:tr2bl w:val="none" w:color="auto" w:sz="0" w:space="0"/>
            </w:tcBorders>
            <w:shd w:val="clear" w:color="auto" w:fill="CCECFF"/>
            <w:vAlign w:val="center"/>
          </w:tcPr>
          <w:p>
            <w:pPr>
              <w:pStyle w:val="41"/>
              <w:spacing w:line="260" w:lineRule="exact"/>
              <w:ind w:left="-110" w:leftChars="-50" w:right="-110" w:rightChars="-5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kern w:val="24"/>
                <w:sz w:val="20"/>
                <w:highlight w:val="none"/>
              </w:rPr>
              <w:t>高齢化率</w:t>
            </w:r>
          </w:p>
        </w:tc>
        <w:tc>
          <w:tcPr>
            <w:tcW w:w="133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CCECFF"/>
            <w:vAlign w:val="center"/>
          </w:tcPr>
          <w:p>
            <w:pPr>
              <w:pStyle w:val="41"/>
              <w:spacing w:line="26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第１号被保険者</w:t>
            </w:r>
          </w:p>
          <w:p>
            <w:pPr>
              <w:pStyle w:val="41"/>
              <w:spacing w:line="260" w:lineRule="exact"/>
              <w:ind w:left="-110" w:leftChars="-50" w:right="-110" w:rightChars="-5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kern w:val="24"/>
                <w:sz w:val="20"/>
                <w:highlight w:val="none"/>
              </w:rPr>
              <w:t>認定者数</w:t>
            </w:r>
          </w:p>
        </w:tc>
      </w:tr>
      <w:tr>
        <w:trPr>
          <w:trHeight w:val="567" w:hRule="atLeast"/>
        </w:trPr>
        <w:tc>
          <w:tcPr>
            <w:tcW w:w="127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1"/>
              <w:spacing w:line="300" w:lineRule="exact"/>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kern w:val="24"/>
                <w:sz w:val="20"/>
                <w:highlight w:val="none"/>
              </w:rPr>
              <w:t>廿日市東部</w:t>
            </w:r>
          </w:p>
        </w:tc>
        <w:tc>
          <w:tcPr>
            <w:tcW w:w="2699"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1"/>
              <w:spacing w:line="300" w:lineRule="exac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kern w:val="24"/>
                <w:sz w:val="20"/>
                <w:highlight w:val="none"/>
              </w:rPr>
              <w:t>佐方・廿日市・平良・原</w:t>
            </w:r>
          </w:p>
        </w:tc>
        <w:tc>
          <w:tcPr>
            <w:tcW w:w="99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1"/>
              <w:spacing w:line="30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31,554</w:t>
            </w:r>
          </w:p>
        </w:tc>
        <w:tc>
          <w:tcPr>
            <w:tcW w:w="12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1"/>
              <w:spacing w:line="30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7,719</w:t>
            </w:r>
          </w:p>
        </w:tc>
        <w:tc>
          <w:tcPr>
            <w:tcW w:w="119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1"/>
              <w:spacing w:line="30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24.5%</w:t>
            </w:r>
          </w:p>
        </w:tc>
        <w:tc>
          <w:tcPr>
            <w:tcW w:w="1339"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41"/>
              <w:spacing w:line="30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1,425</w:t>
            </w:r>
          </w:p>
        </w:tc>
      </w:tr>
      <w:tr>
        <w:trPr>
          <w:trHeight w:val="567" w:hRule="atLeast"/>
        </w:trPr>
        <w:tc>
          <w:tcPr>
            <w:tcW w:w="127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1"/>
              <w:spacing w:line="300" w:lineRule="exact"/>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kern w:val="24"/>
                <w:sz w:val="20"/>
                <w:highlight w:val="none"/>
              </w:rPr>
              <w:t>廿日市中部</w:t>
            </w:r>
          </w:p>
        </w:tc>
        <w:tc>
          <w:tcPr>
            <w:tcW w:w="2699"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1"/>
              <w:spacing w:line="260" w:lineRule="exac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kern w:val="24"/>
                <w:sz w:val="20"/>
                <w:highlight w:val="none"/>
              </w:rPr>
              <w:t>宮内・金剛寺・宮園</w:t>
            </w:r>
          </w:p>
          <w:p>
            <w:pPr>
              <w:pStyle w:val="41"/>
              <w:spacing w:line="260" w:lineRule="exac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kern w:val="24"/>
                <w:sz w:val="20"/>
                <w:highlight w:val="none"/>
              </w:rPr>
              <w:t>・四季が丘</w:t>
            </w:r>
          </w:p>
        </w:tc>
        <w:tc>
          <w:tcPr>
            <w:tcW w:w="99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1"/>
              <w:spacing w:line="30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24,035</w:t>
            </w:r>
          </w:p>
        </w:tc>
        <w:tc>
          <w:tcPr>
            <w:tcW w:w="12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1"/>
              <w:spacing w:line="30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7,717</w:t>
            </w:r>
          </w:p>
        </w:tc>
        <w:tc>
          <w:tcPr>
            <w:tcW w:w="119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1"/>
              <w:spacing w:line="30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32.1%</w:t>
            </w:r>
          </w:p>
        </w:tc>
        <w:tc>
          <w:tcPr>
            <w:tcW w:w="1339"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41"/>
              <w:spacing w:line="30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1,143</w:t>
            </w:r>
          </w:p>
        </w:tc>
      </w:tr>
      <w:tr>
        <w:trPr>
          <w:trHeight w:val="567" w:hRule="atLeast"/>
        </w:trPr>
        <w:tc>
          <w:tcPr>
            <w:tcW w:w="127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1"/>
              <w:spacing w:line="300" w:lineRule="exact"/>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kern w:val="24"/>
                <w:sz w:val="20"/>
                <w:highlight w:val="none"/>
              </w:rPr>
              <w:t>廿日市西部</w:t>
            </w:r>
          </w:p>
        </w:tc>
        <w:tc>
          <w:tcPr>
            <w:tcW w:w="2699"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1"/>
              <w:spacing w:line="260" w:lineRule="exac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kern w:val="24"/>
                <w:sz w:val="20"/>
                <w:highlight w:val="none"/>
              </w:rPr>
              <w:t>地御前・阿品台東・阿品台西</w:t>
            </w:r>
          </w:p>
        </w:tc>
        <w:tc>
          <w:tcPr>
            <w:tcW w:w="99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1"/>
              <w:spacing w:line="30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20,180</w:t>
            </w:r>
          </w:p>
        </w:tc>
        <w:tc>
          <w:tcPr>
            <w:tcW w:w="12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1"/>
              <w:spacing w:line="30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7,126</w:t>
            </w:r>
          </w:p>
        </w:tc>
        <w:tc>
          <w:tcPr>
            <w:tcW w:w="119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1"/>
              <w:spacing w:line="30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35.3%</w:t>
            </w:r>
          </w:p>
        </w:tc>
        <w:tc>
          <w:tcPr>
            <w:tcW w:w="1339"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41"/>
              <w:spacing w:line="30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1,290</w:t>
            </w:r>
          </w:p>
        </w:tc>
      </w:tr>
      <w:tr>
        <w:trPr>
          <w:trHeight w:val="567" w:hRule="atLeast"/>
        </w:trPr>
        <w:tc>
          <w:tcPr>
            <w:tcW w:w="127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1"/>
              <w:spacing w:line="300" w:lineRule="exact"/>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kern w:val="24"/>
                <w:sz w:val="20"/>
                <w:highlight w:val="none"/>
              </w:rPr>
              <w:t>佐伯</w:t>
            </w:r>
          </w:p>
        </w:tc>
        <w:tc>
          <w:tcPr>
            <w:tcW w:w="2699"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1"/>
              <w:spacing w:line="300" w:lineRule="exac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kern w:val="24"/>
                <w:sz w:val="20"/>
                <w:highlight w:val="none"/>
              </w:rPr>
              <w:t>旧佐伯町</w:t>
            </w:r>
          </w:p>
        </w:tc>
        <w:tc>
          <w:tcPr>
            <w:tcW w:w="99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1"/>
              <w:spacing w:line="30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8,890</w:t>
            </w:r>
          </w:p>
        </w:tc>
        <w:tc>
          <w:tcPr>
            <w:tcW w:w="12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1"/>
              <w:spacing w:line="30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3,933</w:t>
            </w:r>
          </w:p>
        </w:tc>
        <w:tc>
          <w:tcPr>
            <w:tcW w:w="119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1"/>
              <w:spacing w:line="30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44.2%</w:t>
            </w:r>
          </w:p>
        </w:tc>
        <w:tc>
          <w:tcPr>
            <w:tcW w:w="1339"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41"/>
              <w:spacing w:line="30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705</w:t>
            </w:r>
          </w:p>
        </w:tc>
      </w:tr>
      <w:tr>
        <w:trPr>
          <w:trHeight w:val="567" w:hRule="atLeast"/>
        </w:trPr>
        <w:tc>
          <w:tcPr>
            <w:tcW w:w="127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1"/>
              <w:spacing w:line="300" w:lineRule="exact"/>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kern w:val="24"/>
                <w:sz w:val="20"/>
                <w:highlight w:val="none"/>
              </w:rPr>
              <w:t>吉和</w:t>
            </w:r>
          </w:p>
        </w:tc>
        <w:tc>
          <w:tcPr>
            <w:tcW w:w="2699"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1"/>
              <w:spacing w:line="300" w:lineRule="exac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kern w:val="24"/>
                <w:sz w:val="20"/>
                <w:highlight w:val="none"/>
              </w:rPr>
              <w:t>旧吉和村</w:t>
            </w:r>
          </w:p>
        </w:tc>
        <w:tc>
          <w:tcPr>
            <w:tcW w:w="99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1"/>
              <w:spacing w:line="30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573</w:t>
            </w:r>
          </w:p>
        </w:tc>
        <w:tc>
          <w:tcPr>
            <w:tcW w:w="12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1"/>
              <w:spacing w:line="30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299</w:t>
            </w:r>
          </w:p>
        </w:tc>
        <w:tc>
          <w:tcPr>
            <w:tcW w:w="119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1"/>
              <w:spacing w:line="30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52.2%</w:t>
            </w:r>
          </w:p>
        </w:tc>
        <w:tc>
          <w:tcPr>
            <w:tcW w:w="1339"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41"/>
              <w:spacing w:line="30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kern w:val="24"/>
                <w:sz w:val="20"/>
                <w:highlight w:val="none"/>
              </w:rPr>
              <w:t>77</w:t>
            </w:r>
          </w:p>
        </w:tc>
      </w:tr>
      <w:tr>
        <w:trPr>
          <w:trHeight w:val="567" w:hRule="atLeast"/>
        </w:trPr>
        <w:tc>
          <w:tcPr>
            <w:tcW w:w="127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1"/>
              <w:spacing w:line="300" w:lineRule="exact"/>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kern w:val="24"/>
                <w:sz w:val="20"/>
                <w:highlight w:val="none"/>
              </w:rPr>
              <w:t>大野</w:t>
            </w:r>
          </w:p>
        </w:tc>
        <w:tc>
          <w:tcPr>
            <w:tcW w:w="2699"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1"/>
              <w:spacing w:line="300" w:lineRule="exac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kern w:val="24"/>
                <w:sz w:val="20"/>
                <w:highlight w:val="none"/>
              </w:rPr>
              <w:t>旧大野町</w:t>
            </w:r>
          </w:p>
        </w:tc>
        <w:tc>
          <w:tcPr>
            <w:tcW w:w="99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1"/>
              <w:spacing w:line="30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29,421</w:t>
            </w:r>
          </w:p>
        </w:tc>
        <w:tc>
          <w:tcPr>
            <w:tcW w:w="12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1"/>
              <w:spacing w:line="30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8,990</w:t>
            </w:r>
          </w:p>
        </w:tc>
        <w:tc>
          <w:tcPr>
            <w:tcW w:w="119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1"/>
              <w:spacing w:line="30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30.6%</w:t>
            </w:r>
          </w:p>
        </w:tc>
        <w:tc>
          <w:tcPr>
            <w:tcW w:w="1339"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41"/>
              <w:spacing w:line="30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1,655</w:t>
            </w:r>
          </w:p>
        </w:tc>
      </w:tr>
      <w:tr>
        <w:trPr>
          <w:trHeight w:val="567" w:hRule="atLeast"/>
        </w:trPr>
        <w:tc>
          <w:tcPr>
            <w:tcW w:w="127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1"/>
              <w:spacing w:line="300" w:lineRule="exact"/>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kern w:val="24"/>
                <w:sz w:val="20"/>
                <w:highlight w:val="none"/>
              </w:rPr>
              <w:t>宮島</w:t>
            </w:r>
          </w:p>
        </w:tc>
        <w:tc>
          <w:tcPr>
            <w:tcW w:w="2699"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1"/>
              <w:spacing w:line="300" w:lineRule="exac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kern w:val="24"/>
                <w:sz w:val="20"/>
                <w:highlight w:val="none"/>
              </w:rPr>
              <w:t>旧宮島町</w:t>
            </w:r>
          </w:p>
        </w:tc>
        <w:tc>
          <w:tcPr>
            <w:tcW w:w="99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1"/>
              <w:spacing w:line="30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1,415</w:t>
            </w:r>
          </w:p>
        </w:tc>
        <w:tc>
          <w:tcPr>
            <w:tcW w:w="12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1"/>
              <w:spacing w:line="30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676</w:t>
            </w:r>
          </w:p>
        </w:tc>
        <w:tc>
          <w:tcPr>
            <w:tcW w:w="119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1"/>
              <w:spacing w:line="30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47.8%</w:t>
            </w:r>
          </w:p>
        </w:tc>
        <w:tc>
          <w:tcPr>
            <w:tcW w:w="1339"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41"/>
              <w:spacing w:line="30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153</w:t>
            </w:r>
          </w:p>
        </w:tc>
      </w:tr>
    </w:tbl>
    <w:p>
      <w:pPr>
        <w:pStyle w:val="0"/>
        <w:spacing w:before="185" w:beforeLines="50" w:beforeAutospacing="0" w:line="380" w:lineRule="exact"/>
        <w:rPr>
          <w:rFonts w:hint="default"/>
          <w:color w:val="auto"/>
          <w:highlight w:val="none"/>
        </w:rPr>
      </w:pPr>
      <w:r>
        <w:rPr>
          <w:rFonts w:hint="eastAsia"/>
          <w:color w:val="auto"/>
          <w:highlight w:val="none"/>
        </w:rPr>
        <w:drawing>
          <wp:anchor distT="0" distB="0" distL="203200" distR="203200" simplePos="0" relativeHeight="110" behindDoc="0" locked="0" layoutInCell="1" hidden="0" allowOverlap="1">
            <wp:simplePos x="0" y="0"/>
            <wp:positionH relativeFrom="column">
              <wp:posOffset>727710</wp:posOffset>
            </wp:positionH>
            <wp:positionV relativeFrom="paragraph">
              <wp:posOffset>205740</wp:posOffset>
            </wp:positionV>
            <wp:extent cx="5020310" cy="3876675"/>
            <wp:effectExtent l="0" t="0" r="0" b="0"/>
            <wp:wrapNone/>
            <wp:docPr id="1079" name="オブジェクト 0"/>
            <a:graphic xmlns:a="http://schemas.openxmlformats.org/drawingml/2006/main">
              <a:graphicData uri="http://schemas.openxmlformats.org/drawingml/2006/picture">
                <pic:pic xmlns:pic="http://schemas.openxmlformats.org/drawingml/2006/picture">
                  <pic:nvPicPr>
                    <pic:cNvPr id="1079" name="オブジェクト 0"/>
                    <pic:cNvPicPr>
                      <a:picLocks noChangeAspect="1"/>
                    </pic:cNvPicPr>
                  </pic:nvPicPr>
                  <pic:blipFill>
                    <a:blip r:embed="rId24"/>
                    <a:stretch>
                      <a:fillRect/>
                    </a:stretch>
                  </pic:blipFill>
                  <pic:spPr>
                    <a:xfrm>
                      <a:off x="0" y="0"/>
                      <a:ext cx="5020310" cy="3876675"/>
                    </a:xfrm>
                    <a:prstGeom prst="rect">
                      <a:avLst/>
                    </a:prstGeom>
                  </pic:spPr>
                </pic:pic>
              </a:graphicData>
            </a:graphic>
          </wp:anchor>
        </w:drawing>
      </w:r>
    </w:p>
    <w:p>
      <w:pPr>
        <w:pStyle w:val="0"/>
        <w:widowControl w:val="1"/>
        <w:jc w:val="left"/>
        <w:rPr>
          <w:rFonts w:hint="default"/>
          <w:color w:val="auto"/>
          <w:highlight w:val="none"/>
        </w:rPr>
      </w:pPr>
      <w:r>
        <w:rPr>
          <w:rFonts w:hint="default"/>
          <w:color w:val="auto"/>
          <w:highlight w:val="none"/>
        </w:rPr>
        <w:br w:type="page"/>
      </w:r>
    </w:p>
    <w:p>
      <w:pPr>
        <w:pStyle w:val="26"/>
        <w:spacing w:after="76" w:afterLines="0" w:afterAutospacing="0"/>
        <w:rPr>
          <w:rFonts w:hint="default"/>
          <w:color w:val="auto"/>
          <w:highlight w:val="none"/>
        </w:rPr>
      </w:pPr>
      <w:bookmarkStart w:id="36" w:name="_Toc150813509"/>
      <w:bookmarkStart w:id="37" w:name="_Toc152160623"/>
      <w:r>
        <w:rPr>
          <w:rFonts w:hint="default"/>
          <w:color w:val="auto"/>
          <w:highlight w:val="none"/>
        </w:rPr>
        <w:t>（</w:t>
      </w:r>
      <w:r>
        <w:rPr>
          <w:rFonts w:hint="eastAsia"/>
          <w:color w:val="auto"/>
          <w:highlight w:val="none"/>
        </w:rPr>
        <w:t>２</w:t>
      </w:r>
      <w:r>
        <w:rPr>
          <w:rFonts w:hint="default"/>
          <w:color w:val="auto"/>
          <w:highlight w:val="none"/>
        </w:rPr>
        <w:t>）</w:t>
      </w:r>
      <w:r>
        <w:rPr>
          <w:rFonts w:hint="eastAsia"/>
          <w:color w:val="auto"/>
          <w:highlight w:val="none"/>
        </w:rPr>
        <w:t>日常生活圏域別人口の推移と推計</w:t>
      </w:r>
      <w:bookmarkEnd w:id="36"/>
      <w:bookmarkEnd w:id="37"/>
    </w:p>
    <w:p>
      <w:pPr>
        <w:pStyle w:val="46"/>
        <w:rPr>
          <w:rFonts w:hint="default"/>
          <w:color w:val="auto"/>
          <w:highlight w:val="none"/>
        </w:rPr>
      </w:pPr>
      <w:r>
        <w:rPr>
          <w:rFonts w:hint="eastAsia"/>
          <w:color w:val="auto"/>
          <w:highlight w:val="none"/>
        </w:rPr>
        <w:t>高齢者人口の実績は、佐伯圏域、吉和圏域、宮島圏域は減少していますが、他の圏域では増加しています。</w:t>
      </w:r>
    </w:p>
    <w:p>
      <w:pPr>
        <w:pStyle w:val="46"/>
        <w:rPr>
          <w:rFonts w:hint="default"/>
          <w:color w:val="auto"/>
          <w:highlight w:val="none"/>
        </w:rPr>
      </w:pPr>
      <w:r>
        <w:rPr>
          <w:rFonts w:hint="eastAsia"/>
          <w:color w:val="auto"/>
          <w:highlight w:val="none"/>
        </w:rPr>
        <w:t>高齢者人口の推計は、廿日市東部圏域、大野圏域は令和</w:t>
      </w:r>
      <w:r>
        <w:rPr>
          <w:rFonts w:hint="eastAsia"/>
          <w:color w:val="auto"/>
          <w:highlight w:val="none"/>
        </w:rPr>
        <w:t>22</w:t>
      </w:r>
      <w:r>
        <w:rPr>
          <w:rFonts w:hint="eastAsia"/>
          <w:color w:val="auto"/>
          <w:highlight w:val="none"/>
        </w:rPr>
        <w:t>（</w:t>
      </w:r>
      <w:r>
        <w:rPr>
          <w:rFonts w:hint="eastAsia"/>
          <w:color w:val="auto"/>
          <w:highlight w:val="none"/>
        </w:rPr>
        <w:t>2040</w:t>
      </w:r>
      <w:r>
        <w:rPr>
          <w:rFonts w:hint="eastAsia"/>
          <w:color w:val="auto"/>
          <w:highlight w:val="none"/>
        </w:rPr>
        <w:t>）年、廿日市中部圏域は令和</w:t>
      </w:r>
      <w:r>
        <w:rPr>
          <w:rFonts w:hint="eastAsia"/>
          <w:color w:val="auto"/>
          <w:highlight w:val="none"/>
        </w:rPr>
        <w:t>12</w:t>
      </w:r>
      <w:r>
        <w:rPr>
          <w:rFonts w:hint="eastAsia"/>
          <w:color w:val="auto"/>
          <w:highlight w:val="none"/>
        </w:rPr>
        <w:t>（</w:t>
      </w:r>
      <w:r>
        <w:rPr>
          <w:rFonts w:hint="eastAsia"/>
          <w:color w:val="auto"/>
          <w:highlight w:val="none"/>
        </w:rPr>
        <w:t>2030</w:t>
      </w:r>
      <w:r>
        <w:rPr>
          <w:rFonts w:hint="eastAsia"/>
          <w:color w:val="auto"/>
          <w:highlight w:val="none"/>
        </w:rPr>
        <w:t>）年、廿日市西部圏域は令和７（</w:t>
      </w:r>
      <w:r>
        <w:rPr>
          <w:rFonts w:hint="eastAsia"/>
          <w:color w:val="auto"/>
          <w:highlight w:val="none"/>
        </w:rPr>
        <w:t>2025</w:t>
      </w:r>
      <w:r>
        <w:rPr>
          <w:rFonts w:hint="eastAsia"/>
          <w:color w:val="auto"/>
          <w:highlight w:val="none"/>
        </w:rPr>
        <w:t>）年が最も多く、他の圏域は減少すると見込まれます。</w:t>
      </w:r>
    </w:p>
    <w:p>
      <w:pPr>
        <w:pStyle w:val="46"/>
        <w:rPr>
          <w:rFonts w:hint="default"/>
          <w:color w:val="auto"/>
          <w:spacing w:val="-2"/>
          <w:highlight w:val="none"/>
        </w:rPr>
      </w:pPr>
      <w:r>
        <w:rPr>
          <w:rFonts w:hint="eastAsia"/>
          <w:color w:val="auto"/>
          <w:spacing w:val="-2"/>
          <w:highlight w:val="none"/>
        </w:rPr>
        <w:t>75</w:t>
      </w:r>
      <w:r>
        <w:rPr>
          <w:rFonts w:hint="eastAsia"/>
          <w:color w:val="auto"/>
          <w:spacing w:val="-2"/>
          <w:highlight w:val="none"/>
        </w:rPr>
        <w:t>歳以上の後期高齢者人口の推計は、廿日市東部圏域、廿日市西部圏域、佐伯圏域、大野圏域では令和</w:t>
      </w:r>
      <w:r>
        <w:rPr>
          <w:rFonts w:hint="eastAsia"/>
          <w:color w:val="auto"/>
          <w:spacing w:val="-2"/>
          <w:highlight w:val="none"/>
        </w:rPr>
        <w:t>12</w:t>
      </w:r>
      <w:r>
        <w:rPr>
          <w:rFonts w:hint="eastAsia"/>
          <w:color w:val="auto"/>
          <w:spacing w:val="-2"/>
          <w:highlight w:val="none"/>
        </w:rPr>
        <w:t>（</w:t>
      </w:r>
      <w:r>
        <w:rPr>
          <w:rFonts w:hint="eastAsia"/>
          <w:color w:val="auto"/>
          <w:spacing w:val="-2"/>
          <w:highlight w:val="none"/>
        </w:rPr>
        <w:t>2030</w:t>
      </w:r>
      <w:r>
        <w:rPr>
          <w:rFonts w:hint="eastAsia"/>
          <w:color w:val="auto"/>
          <w:spacing w:val="-2"/>
          <w:highlight w:val="none"/>
        </w:rPr>
        <w:t>）年、廿日市中部圏域は令和</w:t>
      </w:r>
      <w:r>
        <w:rPr>
          <w:rFonts w:hint="eastAsia"/>
          <w:color w:val="auto"/>
          <w:spacing w:val="-2"/>
          <w:highlight w:val="none"/>
        </w:rPr>
        <w:t>17</w:t>
      </w:r>
      <w:r>
        <w:rPr>
          <w:rFonts w:hint="eastAsia"/>
          <w:color w:val="auto"/>
          <w:spacing w:val="-2"/>
          <w:highlight w:val="none"/>
        </w:rPr>
        <w:t>（</w:t>
      </w:r>
      <w:r>
        <w:rPr>
          <w:rFonts w:hint="eastAsia"/>
          <w:color w:val="auto"/>
          <w:spacing w:val="-2"/>
          <w:highlight w:val="none"/>
        </w:rPr>
        <w:t>2035</w:t>
      </w:r>
      <w:r>
        <w:rPr>
          <w:rFonts w:hint="eastAsia"/>
          <w:color w:val="auto"/>
          <w:spacing w:val="-2"/>
          <w:highlight w:val="none"/>
        </w:rPr>
        <w:t>）年、吉和圏域、宮島圏域は令和７（</w:t>
      </w:r>
      <w:r>
        <w:rPr>
          <w:rFonts w:hint="eastAsia"/>
          <w:color w:val="auto"/>
          <w:spacing w:val="-2"/>
          <w:highlight w:val="none"/>
        </w:rPr>
        <w:t>2025</w:t>
      </w:r>
      <w:r>
        <w:rPr>
          <w:rFonts w:hint="eastAsia"/>
          <w:color w:val="auto"/>
          <w:spacing w:val="-2"/>
          <w:highlight w:val="none"/>
        </w:rPr>
        <w:t>）年が最も多くなると見込まれます。</w:t>
      </w:r>
    </w:p>
    <w:p>
      <w:pPr>
        <w:pStyle w:val="0"/>
        <w:autoSpaceDE w:val="0"/>
        <w:autoSpaceDN w:val="0"/>
        <w:spacing w:before="74" w:beforeLines="20" w:beforeAutospacing="0" w:line="380" w:lineRule="exact"/>
        <w:ind w:left="425" w:leftChars="193"/>
        <w:jc w:val="center"/>
        <w:rPr>
          <w:rFonts w:hint="default" w:ascii="BIZ UDPゴシック" w:hAnsi="BIZ UDPゴシック" w:eastAsia="BIZ UDPゴシック"/>
          <w:color w:val="auto"/>
          <w:sz w:val="21"/>
          <w:highlight w:val="none"/>
        </w:rPr>
      </w:pPr>
      <w:r>
        <w:rPr>
          <w:rFonts w:hint="default"/>
          <w:color w:val="auto"/>
          <w:highlight w:val="none"/>
        </w:rPr>
        <mc:AlternateContent>
          <mc:Choice Requires="wps">
            <w:drawing>
              <wp:anchor distT="0" distB="0" distL="114300" distR="114300" simplePos="0" relativeHeight="147" behindDoc="0" locked="0" layoutInCell="1" hidden="0" allowOverlap="1">
                <wp:simplePos x="0" y="0"/>
                <wp:positionH relativeFrom="column">
                  <wp:posOffset>5130165</wp:posOffset>
                </wp:positionH>
                <wp:positionV relativeFrom="paragraph">
                  <wp:posOffset>89535</wp:posOffset>
                </wp:positionV>
                <wp:extent cx="619125" cy="171450"/>
                <wp:effectExtent l="0" t="0" r="635" b="635"/>
                <wp:wrapNone/>
                <wp:docPr id="1080" name="正方形/長方形 6"/>
                <a:graphic xmlns:a="http://schemas.openxmlformats.org/drawingml/2006/main">
                  <a:graphicData uri="http://schemas.microsoft.com/office/word/2010/wordprocessingShape">
                    <wps:wsp>
                      <wps:cNvPr id="1080" name="正方形/長方形 6"/>
                      <wps:cNvSpPr/>
                      <wps:spPr>
                        <a:xfrm>
                          <a:off x="0" y="0"/>
                          <a:ext cx="619125" cy="171450"/>
                        </a:xfrm>
                        <a:prstGeom prst="rect">
                          <a:avLst/>
                        </a:prstGeom>
                        <a:noFill/>
                        <a:ln w="12700" cap="flat" cmpd="sng" algn="ctr">
                          <a:noFill/>
                          <a:prstDash val="solid"/>
                          <a:miter lim="800000"/>
                        </a:ln>
                        <a:effectLst/>
                      </wps:spPr>
                      <wps:txbx>
                        <w:txbxContent>
                          <w:p>
                            <w:pPr>
                              <w:pStyle w:val="0"/>
                              <w:spacing w:line="240" w:lineRule="exact"/>
                              <w:jc w:val="center"/>
                              <w:rPr>
                                <w:rFonts w:hint="default" w:ascii="ＭＳ Ｐゴシック" w:hAnsi="ＭＳ Ｐゴシック" w:eastAsia="ＭＳ Ｐゴシック"/>
                                <w:color w:val="000000" w:themeColor="text1"/>
                                <w:sz w:val="18"/>
                              </w:rPr>
                            </w:pPr>
                            <w:r>
                              <w:rPr>
                                <w:rFonts w:hint="eastAsia" w:ascii="ＭＳ Ｐゴシック" w:hAnsi="ＭＳ Ｐゴシック" w:eastAsia="ＭＳ Ｐゴシック"/>
                                <w:color w:val="000000" w:themeColor="text1"/>
                                <w:sz w:val="18"/>
                              </w:rPr>
                              <w:t>（単位</w:t>
                            </w:r>
                            <w:r>
                              <w:rPr>
                                <w:rFonts w:hint="default" w:ascii="ＭＳ Ｐゴシック" w:hAnsi="ＭＳ Ｐゴシック" w:eastAsia="ＭＳ Ｐゴシック"/>
                                <w:color w:val="000000" w:themeColor="text1"/>
                                <w:sz w:val="18"/>
                              </w:rPr>
                              <w:t>：</w:t>
                            </w:r>
                            <w:r>
                              <w:rPr>
                                <w:rFonts w:hint="eastAsia" w:ascii="ＭＳ Ｐゴシック" w:hAnsi="ＭＳ Ｐゴシック" w:eastAsia="ＭＳ Ｐゴシック"/>
                                <w:color w:val="000000" w:themeColor="text1"/>
                                <w:sz w:val="18"/>
                              </w:rPr>
                              <w:t>人）</w:t>
                            </w:r>
                          </w:p>
                        </w:txbxContent>
                      </wps:txbx>
                      <wps:bodyPr rot="0" vertOverflow="overflow" horzOverflow="overflow" wrap="square" lIns="0" tIns="0" rIns="0" bIns="0" numCol="1" spcCol="0" rtlCol="0" fromWordArt="0" anchor="t" anchorCtr="0" forceAA="0" compatLnSpc="1"/>
                    </wps:wsp>
                  </a:graphicData>
                </a:graphic>
              </wp:anchor>
            </w:drawing>
          </mc:Choice>
          <mc:Fallback>
            <w:pict>
              <v:rect id="正方形/長方形 6" style="mso-wrap-distance-right:9pt;mso-wrap-distance-bottom:0pt;margin-top:7.05pt;mso-position-vertical-relative:text;mso-position-horizontal-relative:text;v-text-anchor:top;position:absolute;height:13.5pt;mso-wrap-distance-top:0pt;width:48.75pt;mso-wrap-distance-left:9pt;margin-left:403.95pt;z-index:147;" o:spid="_x0000_s1080" o:allowincell="t" o:allowoverlap="t" filled="f" stroked="f" strokeweight="1pt" o:spt="1">
                <v:fill/>
                <v:stroke linestyle="single" miterlimit="8" endcap="flat" dashstyle="solid"/>
                <v:textbox style="layout-flow:horizontal;" inset="0mm,0mm,0mm,0mm">
                  <w:txbxContent>
                    <w:p>
                      <w:pPr>
                        <w:pStyle w:val="0"/>
                        <w:spacing w:line="240" w:lineRule="exact"/>
                        <w:jc w:val="center"/>
                        <w:rPr>
                          <w:rFonts w:hint="default" w:ascii="ＭＳ Ｐゴシック" w:hAnsi="ＭＳ Ｐゴシック" w:eastAsia="ＭＳ Ｐゴシック"/>
                          <w:color w:val="000000" w:themeColor="text1"/>
                          <w:sz w:val="18"/>
                        </w:rPr>
                      </w:pPr>
                      <w:r>
                        <w:rPr>
                          <w:rFonts w:hint="eastAsia" w:ascii="ＭＳ Ｐゴシック" w:hAnsi="ＭＳ Ｐゴシック" w:eastAsia="ＭＳ Ｐゴシック"/>
                          <w:color w:val="000000" w:themeColor="text1"/>
                          <w:sz w:val="18"/>
                        </w:rPr>
                        <w:t>（単位</w:t>
                      </w:r>
                      <w:r>
                        <w:rPr>
                          <w:rFonts w:hint="default" w:ascii="ＭＳ Ｐゴシック" w:hAnsi="ＭＳ Ｐゴシック" w:eastAsia="ＭＳ Ｐゴシック"/>
                          <w:color w:val="000000" w:themeColor="text1"/>
                          <w:sz w:val="18"/>
                        </w:rPr>
                        <w:t>：</w:t>
                      </w:r>
                      <w:r>
                        <w:rPr>
                          <w:rFonts w:hint="eastAsia" w:ascii="ＭＳ Ｐゴシック" w:hAnsi="ＭＳ Ｐゴシック" w:eastAsia="ＭＳ Ｐゴシック"/>
                          <w:color w:val="000000" w:themeColor="text1"/>
                          <w:sz w:val="18"/>
                        </w:rPr>
                        <w:t>人）</w:t>
                      </w:r>
                    </w:p>
                  </w:txbxContent>
                </v:textbox>
                <v:imagedata o:title=""/>
                <w10:wrap type="none" anchorx="text" anchory="text"/>
              </v:rect>
            </w:pict>
          </mc:Fallback>
        </mc:AlternateContent>
      </w:r>
      <w:r>
        <w:rPr>
          <w:rFonts w:hint="eastAsia" w:ascii="BIZ UDPゴシック" w:hAnsi="BIZ UDPゴシック" w:eastAsia="BIZ UDPゴシック"/>
          <w:color w:val="auto"/>
          <w:sz w:val="21"/>
          <w:highlight w:val="none"/>
        </w:rPr>
        <w:t>図表　日常生活圏域別人口の推移・推計（廿日市市）</w:t>
      </w:r>
    </w:p>
    <w:tbl>
      <w:tblPr>
        <w:tblStyle w:val="81"/>
        <w:tblW w:w="8640" w:type="dxa"/>
        <w:tblInd w:w="421" w:type="dxa"/>
        <w:tblLayout w:type="fixed"/>
        <w:tblLook w:firstRow="1" w:lastRow="0" w:firstColumn="1" w:lastColumn="0" w:noHBand="0" w:noVBand="1" w:val="04A0"/>
      </w:tblPr>
      <w:tblGrid>
        <w:gridCol w:w="463"/>
        <w:gridCol w:w="257"/>
        <w:gridCol w:w="1081"/>
        <w:gridCol w:w="977"/>
        <w:gridCol w:w="977"/>
        <w:gridCol w:w="977"/>
        <w:gridCol w:w="977"/>
        <w:gridCol w:w="977"/>
        <w:gridCol w:w="977"/>
        <w:gridCol w:w="977"/>
      </w:tblGrid>
      <w:tr>
        <w:trPr>
          <w:trHeight w:val="283" w:hRule="atLeast"/>
        </w:trPr>
        <w:tc>
          <w:tcPr>
            <w:tcW w:w="1801" w:type="dxa"/>
            <w:gridSpan w:val="3"/>
            <w:vMerge w:val="restart"/>
            <w:shd w:val="clear" w:color="auto" w:fill="CCECFF"/>
            <w:vAlign w:val="center"/>
          </w:tcPr>
          <w:p>
            <w:pPr>
              <w:pStyle w:val="0"/>
              <w:autoSpaceDE w:val="0"/>
              <w:autoSpaceDN w:val="0"/>
              <w:spacing w:line="240" w:lineRule="exact"/>
              <w:ind w:left="-110" w:leftChars="-50" w:right="-110" w:rightChars="-50"/>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圏域</w:t>
            </w:r>
          </w:p>
        </w:tc>
        <w:tc>
          <w:tcPr>
            <w:tcW w:w="2931" w:type="dxa"/>
            <w:gridSpan w:val="3"/>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autoSpaceDE w:val="0"/>
              <w:autoSpaceDN w:val="0"/>
              <w:spacing w:line="220" w:lineRule="exact"/>
              <w:ind w:left="-110" w:leftChars="-50" w:right="-110" w:rightChars="-50"/>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実績値</w:t>
            </w:r>
          </w:p>
        </w:tc>
        <w:tc>
          <w:tcPr>
            <w:tcW w:w="3908" w:type="dxa"/>
            <w:gridSpan w:val="4"/>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autoSpaceDE w:val="0"/>
              <w:autoSpaceDN w:val="0"/>
              <w:spacing w:line="220" w:lineRule="exact"/>
              <w:ind w:left="-110" w:leftChars="-50" w:right="-110" w:rightChars="-50"/>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推計値</w:t>
            </w:r>
          </w:p>
        </w:tc>
      </w:tr>
      <w:tr>
        <w:trPr>
          <w:trHeight w:val="454" w:hRule="atLeast"/>
        </w:trPr>
        <w:tc>
          <w:tcPr>
            <w:tcW w:w="1801" w:type="dxa"/>
            <w:gridSpan w:val="3"/>
            <w:vMerge w:val="continue"/>
            <w:shd w:val="clear" w:color="auto" w:fill="CCECFF"/>
            <w:vAlign w:val="center"/>
          </w:tcPr>
          <w:p>
            <w:pPr>
              <w:pStyle w:val="0"/>
              <w:autoSpaceDE w:val="0"/>
              <w:autoSpaceDN w:val="0"/>
              <w:spacing w:line="240" w:lineRule="exact"/>
              <w:ind w:left="-110" w:leftChars="-50" w:right="-110" w:rightChars="-50"/>
              <w:jc w:val="center"/>
              <w:rPr>
                <w:rFonts w:hint="default" w:ascii="ＭＳ Ｐゴシック" w:hAnsi="ＭＳ Ｐゴシック" w:eastAsia="ＭＳ Ｐゴシック"/>
                <w:sz w:val="18"/>
              </w:rPr>
            </w:pPr>
          </w:p>
        </w:tc>
        <w:tc>
          <w:tcPr>
            <w:tcW w:w="9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autoSpaceDE w:val="0"/>
              <w:autoSpaceDN w:val="0"/>
              <w:spacing w:line="220" w:lineRule="exact"/>
              <w:ind w:left="-110" w:leftChars="-50" w:right="-110" w:rightChars="-50"/>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令和</w:t>
            </w:r>
            <w:r>
              <w:rPr>
                <w:rFonts w:hint="eastAsia" w:ascii="ＭＳ Ｐゴシック" w:hAnsi="ＭＳ Ｐゴシック" w:eastAsia="ＭＳ Ｐゴシック"/>
                <w:color w:val="auto"/>
                <w:sz w:val="18"/>
                <w:highlight w:val="none"/>
              </w:rPr>
              <w:t>3</w:t>
            </w:r>
            <w:r>
              <w:rPr>
                <w:rFonts w:hint="eastAsia" w:ascii="ＭＳ Ｐゴシック" w:hAnsi="ＭＳ Ｐゴシック" w:eastAsia="ＭＳ Ｐゴシック"/>
                <w:color w:val="auto"/>
                <w:sz w:val="18"/>
                <w:highlight w:val="none"/>
              </w:rPr>
              <w:t>年</w:t>
            </w:r>
          </w:p>
          <w:p>
            <w:pPr>
              <w:pStyle w:val="0"/>
              <w:autoSpaceDE w:val="0"/>
              <w:autoSpaceDN w:val="0"/>
              <w:spacing w:line="220" w:lineRule="exact"/>
              <w:ind w:left="-110" w:leftChars="-50" w:right="-110" w:rightChars="-50"/>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(2021</w:t>
            </w:r>
            <w:r>
              <w:rPr>
                <w:rFonts w:hint="eastAsia" w:ascii="ＭＳ Ｐゴシック" w:hAnsi="ＭＳ Ｐゴシック" w:eastAsia="ＭＳ Ｐゴシック"/>
                <w:color w:val="auto"/>
                <w:sz w:val="18"/>
                <w:highlight w:val="none"/>
              </w:rPr>
              <w:t>年</w:t>
            </w:r>
            <w:r>
              <w:rPr>
                <w:rFonts w:hint="eastAsia" w:ascii="ＭＳ Ｐゴシック" w:hAnsi="ＭＳ Ｐゴシック" w:eastAsia="ＭＳ Ｐゴシック"/>
                <w:color w:val="auto"/>
                <w:sz w:val="18"/>
                <w:highlight w:val="none"/>
              </w:rPr>
              <w:t>)</w:t>
            </w:r>
          </w:p>
        </w:tc>
        <w:tc>
          <w:tcPr>
            <w:tcW w:w="9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autoSpaceDE w:val="0"/>
              <w:autoSpaceDN w:val="0"/>
              <w:spacing w:line="220" w:lineRule="exact"/>
              <w:ind w:left="-110" w:leftChars="-50" w:right="-110" w:rightChars="-50"/>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令和</w:t>
            </w:r>
            <w:r>
              <w:rPr>
                <w:rFonts w:hint="eastAsia" w:ascii="ＭＳ Ｐゴシック" w:hAnsi="ＭＳ Ｐゴシック" w:eastAsia="ＭＳ Ｐゴシック"/>
                <w:color w:val="auto"/>
                <w:sz w:val="18"/>
                <w:highlight w:val="none"/>
              </w:rPr>
              <w:t>4</w:t>
            </w:r>
            <w:r>
              <w:rPr>
                <w:rFonts w:hint="eastAsia" w:ascii="ＭＳ Ｐゴシック" w:hAnsi="ＭＳ Ｐゴシック" w:eastAsia="ＭＳ Ｐゴシック"/>
                <w:color w:val="auto"/>
                <w:sz w:val="18"/>
                <w:highlight w:val="none"/>
              </w:rPr>
              <w:t>年</w:t>
            </w:r>
          </w:p>
          <w:p>
            <w:pPr>
              <w:pStyle w:val="0"/>
              <w:autoSpaceDE w:val="0"/>
              <w:autoSpaceDN w:val="0"/>
              <w:spacing w:line="220" w:lineRule="exact"/>
              <w:ind w:left="-110" w:leftChars="-50" w:right="-110" w:rightChars="-50"/>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(2022</w:t>
            </w:r>
            <w:r>
              <w:rPr>
                <w:rFonts w:hint="eastAsia" w:ascii="ＭＳ Ｐゴシック" w:hAnsi="ＭＳ Ｐゴシック" w:eastAsia="ＭＳ Ｐゴシック"/>
                <w:color w:val="auto"/>
                <w:sz w:val="18"/>
                <w:highlight w:val="none"/>
              </w:rPr>
              <w:t>年</w:t>
            </w:r>
            <w:r>
              <w:rPr>
                <w:rFonts w:hint="eastAsia" w:ascii="ＭＳ Ｐゴシック" w:hAnsi="ＭＳ Ｐゴシック" w:eastAsia="ＭＳ Ｐゴシック"/>
                <w:color w:val="auto"/>
                <w:sz w:val="18"/>
                <w:highlight w:val="none"/>
              </w:rPr>
              <w:t>)</w:t>
            </w:r>
          </w:p>
        </w:tc>
        <w:tc>
          <w:tcPr>
            <w:tcW w:w="9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autoSpaceDE w:val="0"/>
              <w:autoSpaceDN w:val="0"/>
              <w:spacing w:line="220" w:lineRule="exact"/>
              <w:ind w:left="-110" w:leftChars="-50" w:right="-110" w:rightChars="-50"/>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令和</w:t>
            </w:r>
            <w:r>
              <w:rPr>
                <w:rFonts w:hint="eastAsia" w:ascii="ＭＳ Ｐゴシック" w:hAnsi="ＭＳ Ｐゴシック" w:eastAsia="ＭＳ Ｐゴシック"/>
                <w:color w:val="auto"/>
                <w:sz w:val="18"/>
                <w:highlight w:val="none"/>
              </w:rPr>
              <w:t>5</w:t>
            </w:r>
            <w:r>
              <w:rPr>
                <w:rFonts w:hint="eastAsia" w:ascii="ＭＳ Ｐゴシック" w:hAnsi="ＭＳ Ｐゴシック" w:eastAsia="ＭＳ Ｐゴシック"/>
                <w:color w:val="auto"/>
                <w:sz w:val="18"/>
                <w:highlight w:val="none"/>
              </w:rPr>
              <w:t>年</w:t>
            </w:r>
          </w:p>
          <w:p>
            <w:pPr>
              <w:pStyle w:val="0"/>
              <w:autoSpaceDE w:val="0"/>
              <w:autoSpaceDN w:val="0"/>
              <w:spacing w:line="220" w:lineRule="exact"/>
              <w:ind w:left="-110" w:leftChars="-50" w:right="-110" w:rightChars="-50"/>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(2023</w:t>
            </w:r>
            <w:r>
              <w:rPr>
                <w:rFonts w:hint="eastAsia" w:ascii="ＭＳ Ｐゴシック" w:hAnsi="ＭＳ Ｐゴシック" w:eastAsia="ＭＳ Ｐゴシック"/>
                <w:color w:val="auto"/>
                <w:sz w:val="18"/>
                <w:highlight w:val="none"/>
              </w:rPr>
              <w:t>年</w:t>
            </w:r>
            <w:r>
              <w:rPr>
                <w:rFonts w:hint="eastAsia" w:ascii="ＭＳ Ｐゴシック" w:hAnsi="ＭＳ Ｐゴシック" w:eastAsia="ＭＳ Ｐゴシック"/>
                <w:color w:val="auto"/>
                <w:sz w:val="18"/>
                <w:highlight w:val="none"/>
              </w:rPr>
              <w:t>)</w:t>
            </w:r>
          </w:p>
        </w:tc>
        <w:tc>
          <w:tcPr>
            <w:tcW w:w="9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autoSpaceDE w:val="0"/>
              <w:autoSpaceDN w:val="0"/>
              <w:spacing w:line="220" w:lineRule="exact"/>
              <w:ind w:left="-110" w:leftChars="-50" w:right="-110" w:rightChars="-50"/>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令和</w:t>
            </w:r>
            <w:r>
              <w:rPr>
                <w:rFonts w:hint="eastAsia" w:ascii="ＭＳ Ｐゴシック" w:hAnsi="ＭＳ Ｐゴシック" w:eastAsia="ＭＳ Ｐゴシック"/>
                <w:color w:val="auto"/>
                <w:sz w:val="18"/>
                <w:highlight w:val="none"/>
              </w:rPr>
              <w:t>7</w:t>
            </w:r>
            <w:r>
              <w:rPr>
                <w:rFonts w:hint="eastAsia" w:ascii="ＭＳ Ｐゴシック" w:hAnsi="ＭＳ Ｐゴシック" w:eastAsia="ＭＳ Ｐゴシック"/>
                <w:color w:val="auto"/>
                <w:sz w:val="18"/>
                <w:highlight w:val="none"/>
              </w:rPr>
              <w:t>年</w:t>
            </w:r>
          </w:p>
          <w:p>
            <w:pPr>
              <w:pStyle w:val="0"/>
              <w:autoSpaceDE w:val="0"/>
              <w:autoSpaceDN w:val="0"/>
              <w:spacing w:line="220" w:lineRule="exact"/>
              <w:ind w:left="-110" w:leftChars="-50" w:right="-110" w:rightChars="-50"/>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(2025</w:t>
            </w:r>
            <w:r>
              <w:rPr>
                <w:rFonts w:hint="eastAsia" w:ascii="ＭＳ Ｐゴシック" w:hAnsi="ＭＳ Ｐゴシック" w:eastAsia="ＭＳ Ｐゴシック"/>
                <w:color w:val="auto"/>
                <w:sz w:val="18"/>
                <w:highlight w:val="none"/>
              </w:rPr>
              <w:t>年</w:t>
            </w:r>
            <w:r>
              <w:rPr>
                <w:rFonts w:hint="eastAsia" w:ascii="ＭＳ Ｐゴシック" w:hAnsi="ＭＳ Ｐゴシック" w:eastAsia="ＭＳ Ｐゴシック"/>
                <w:color w:val="auto"/>
                <w:sz w:val="18"/>
                <w:highlight w:val="none"/>
              </w:rPr>
              <w:t>)</w:t>
            </w:r>
          </w:p>
        </w:tc>
        <w:tc>
          <w:tcPr>
            <w:tcW w:w="9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autoSpaceDE w:val="0"/>
              <w:autoSpaceDN w:val="0"/>
              <w:spacing w:line="220" w:lineRule="exact"/>
              <w:ind w:left="-110" w:leftChars="-50" w:right="-110" w:rightChars="-50"/>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令和</w:t>
            </w:r>
            <w:r>
              <w:rPr>
                <w:rFonts w:hint="eastAsia" w:ascii="ＭＳ Ｐゴシック" w:hAnsi="ＭＳ Ｐゴシック" w:eastAsia="ＭＳ Ｐゴシック"/>
                <w:color w:val="auto"/>
                <w:sz w:val="18"/>
                <w:highlight w:val="none"/>
              </w:rPr>
              <w:t>12</w:t>
            </w:r>
            <w:r>
              <w:rPr>
                <w:rFonts w:hint="eastAsia" w:ascii="ＭＳ Ｐゴシック" w:hAnsi="ＭＳ Ｐゴシック" w:eastAsia="ＭＳ Ｐゴシック"/>
                <w:color w:val="auto"/>
                <w:sz w:val="18"/>
                <w:highlight w:val="none"/>
              </w:rPr>
              <w:t>年</w:t>
            </w:r>
          </w:p>
          <w:p>
            <w:pPr>
              <w:pStyle w:val="0"/>
              <w:autoSpaceDE w:val="0"/>
              <w:autoSpaceDN w:val="0"/>
              <w:spacing w:line="220" w:lineRule="exact"/>
              <w:ind w:left="-110" w:leftChars="-50" w:right="-110" w:rightChars="-50"/>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(2030</w:t>
            </w:r>
            <w:r>
              <w:rPr>
                <w:rFonts w:hint="eastAsia" w:ascii="ＭＳ Ｐゴシック" w:hAnsi="ＭＳ Ｐゴシック" w:eastAsia="ＭＳ Ｐゴシック"/>
                <w:color w:val="auto"/>
                <w:sz w:val="18"/>
                <w:highlight w:val="none"/>
              </w:rPr>
              <w:t>年</w:t>
            </w:r>
            <w:r>
              <w:rPr>
                <w:rFonts w:hint="eastAsia" w:ascii="ＭＳ Ｐゴシック" w:hAnsi="ＭＳ Ｐゴシック" w:eastAsia="ＭＳ Ｐゴシック"/>
                <w:color w:val="auto"/>
                <w:sz w:val="18"/>
                <w:highlight w:val="none"/>
              </w:rPr>
              <w:t>)</w:t>
            </w:r>
          </w:p>
        </w:tc>
        <w:tc>
          <w:tcPr>
            <w:tcW w:w="9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autoSpaceDE w:val="0"/>
              <w:autoSpaceDN w:val="0"/>
              <w:spacing w:line="220" w:lineRule="exact"/>
              <w:ind w:left="-110" w:leftChars="-50" w:right="-110" w:rightChars="-50"/>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令和</w:t>
            </w:r>
            <w:r>
              <w:rPr>
                <w:rFonts w:hint="eastAsia" w:ascii="ＭＳ Ｐゴシック" w:hAnsi="ＭＳ Ｐゴシック" w:eastAsia="ＭＳ Ｐゴシック"/>
                <w:color w:val="auto"/>
                <w:sz w:val="18"/>
                <w:highlight w:val="none"/>
              </w:rPr>
              <w:t>17</w:t>
            </w:r>
            <w:r>
              <w:rPr>
                <w:rFonts w:hint="eastAsia" w:ascii="ＭＳ Ｐゴシック" w:hAnsi="ＭＳ Ｐゴシック" w:eastAsia="ＭＳ Ｐゴシック"/>
                <w:color w:val="auto"/>
                <w:sz w:val="18"/>
                <w:highlight w:val="none"/>
              </w:rPr>
              <w:t>年</w:t>
            </w:r>
          </w:p>
          <w:p>
            <w:pPr>
              <w:pStyle w:val="0"/>
              <w:autoSpaceDE w:val="0"/>
              <w:autoSpaceDN w:val="0"/>
              <w:spacing w:line="220" w:lineRule="exact"/>
              <w:ind w:left="-110" w:leftChars="-50" w:right="-110" w:rightChars="-50"/>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(2035</w:t>
            </w:r>
            <w:r>
              <w:rPr>
                <w:rFonts w:hint="eastAsia" w:ascii="ＭＳ Ｐゴシック" w:hAnsi="ＭＳ Ｐゴシック" w:eastAsia="ＭＳ Ｐゴシック"/>
                <w:color w:val="auto"/>
                <w:sz w:val="18"/>
                <w:highlight w:val="none"/>
              </w:rPr>
              <w:t>年</w:t>
            </w:r>
            <w:r>
              <w:rPr>
                <w:rFonts w:hint="eastAsia" w:ascii="ＭＳ Ｐゴシック" w:hAnsi="ＭＳ Ｐゴシック" w:eastAsia="ＭＳ Ｐゴシック"/>
                <w:color w:val="auto"/>
                <w:sz w:val="18"/>
                <w:highlight w:val="none"/>
              </w:rPr>
              <w:t>)</w:t>
            </w:r>
          </w:p>
        </w:tc>
        <w:tc>
          <w:tcPr>
            <w:tcW w:w="9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autoSpaceDE w:val="0"/>
              <w:autoSpaceDN w:val="0"/>
              <w:spacing w:line="220" w:lineRule="exact"/>
              <w:ind w:left="-110" w:leftChars="-50" w:right="-110" w:rightChars="-50"/>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令和</w:t>
            </w:r>
            <w:r>
              <w:rPr>
                <w:rFonts w:hint="eastAsia" w:ascii="ＭＳ Ｐゴシック" w:hAnsi="ＭＳ Ｐゴシック" w:eastAsia="ＭＳ Ｐゴシック"/>
                <w:color w:val="auto"/>
                <w:sz w:val="18"/>
                <w:highlight w:val="none"/>
              </w:rPr>
              <w:t>22</w:t>
            </w:r>
            <w:r>
              <w:rPr>
                <w:rFonts w:hint="eastAsia" w:ascii="ＭＳ Ｐゴシック" w:hAnsi="ＭＳ Ｐゴシック" w:eastAsia="ＭＳ Ｐゴシック"/>
                <w:color w:val="auto"/>
                <w:sz w:val="18"/>
                <w:highlight w:val="none"/>
              </w:rPr>
              <w:t>年</w:t>
            </w:r>
          </w:p>
          <w:p>
            <w:pPr>
              <w:pStyle w:val="0"/>
              <w:autoSpaceDE w:val="0"/>
              <w:autoSpaceDN w:val="0"/>
              <w:spacing w:line="220" w:lineRule="exact"/>
              <w:ind w:left="-110" w:leftChars="-50" w:right="-110" w:rightChars="-50"/>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(2040</w:t>
            </w:r>
            <w:r>
              <w:rPr>
                <w:rFonts w:hint="eastAsia" w:ascii="ＭＳ Ｐゴシック" w:hAnsi="ＭＳ Ｐゴシック" w:eastAsia="ＭＳ Ｐゴシック"/>
                <w:color w:val="auto"/>
                <w:sz w:val="18"/>
                <w:highlight w:val="none"/>
              </w:rPr>
              <w:t>年</w:t>
            </w:r>
            <w:r>
              <w:rPr>
                <w:rFonts w:hint="eastAsia" w:ascii="ＭＳ Ｐゴシック" w:hAnsi="ＭＳ Ｐゴシック" w:eastAsia="ＭＳ Ｐゴシック"/>
                <w:color w:val="auto"/>
                <w:sz w:val="18"/>
                <w:highlight w:val="none"/>
              </w:rPr>
              <w:t>)</w:t>
            </w:r>
          </w:p>
        </w:tc>
      </w:tr>
      <w:tr>
        <w:trPr>
          <w:cantSplit/>
          <w:trHeight w:val="159" w:hRule="atLeast"/>
        </w:trPr>
        <w:tc>
          <w:tcPr>
            <w:tcW w:w="463" w:type="dxa"/>
            <w:vMerge w:val="restart"/>
            <w:textDirection w:val="tbRlV"/>
            <w:vAlign w:val="center"/>
          </w:tcPr>
          <w:p>
            <w:pPr>
              <w:pStyle w:val="0"/>
              <w:autoSpaceDE w:val="0"/>
              <w:autoSpaceDN w:val="0"/>
              <w:ind w:left="113" w:right="113"/>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廿日市東部</w:t>
            </w:r>
          </w:p>
        </w:tc>
        <w:tc>
          <w:tcPr>
            <w:tcW w:w="1338" w:type="dxa"/>
            <w:gridSpan w:val="2"/>
            <w:tcBorders>
              <w:top w:val="none" w:color="auto" w:sz="0" w:space="0"/>
              <w:left w:val="none" w:color="auto" w:sz="0" w:space="0"/>
              <w:bottom w:val="nil"/>
              <w:right w:val="none" w:color="auto" w:sz="0" w:space="0"/>
              <w:tl2br w:val="none" w:color="auto" w:sz="0" w:space="0"/>
              <w:tr2bl w:val="none" w:color="auto" w:sz="0" w:space="0"/>
            </w:tcBorders>
            <w:vAlign w:val="top"/>
          </w:tcPr>
          <w:p>
            <w:pPr>
              <w:pStyle w:val="0"/>
              <w:autoSpaceDE w:val="0"/>
              <w:autoSpaceDN w:val="0"/>
              <w:spacing w:line="220" w:lineRule="exact"/>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総人口</w:t>
            </w:r>
          </w:p>
        </w:tc>
        <w:tc>
          <w:tcPr>
            <w:tcW w:w="9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31,653 </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31,559 </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31,554</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31,533</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31,303</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30,874</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30,285</w:t>
            </w:r>
          </w:p>
        </w:tc>
      </w:tr>
      <w:tr>
        <w:trPr>
          <w:cantSplit/>
          <w:trHeight w:val="159" w:hRule="atLeast"/>
        </w:trPr>
        <w:tc>
          <w:tcPr>
            <w:tcW w:w="463" w:type="dxa"/>
            <w:vMerge w:val="continue"/>
            <w:vAlign w:val="top"/>
          </w:tcPr>
          <w:p>
            <w:pPr>
              <w:pStyle w:val="0"/>
              <w:autoSpaceDE w:val="0"/>
              <w:autoSpaceDN w:val="0"/>
              <w:jc w:val="center"/>
              <w:rPr>
                <w:rFonts w:hint="default" w:ascii="ＭＳ Ｐゴシック" w:hAnsi="ＭＳ Ｐゴシック" w:eastAsia="ＭＳ Ｐゴシック"/>
                <w:sz w:val="18"/>
              </w:rPr>
            </w:pPr>
          </w:p>
        </w:tc>
        <w:tc>
          <w:tcPr>
            <w:tcW w:w="257" w:type="dxa"/>
            <w:vMerge w:val="restart"/>
            <w:tcBorders>
              <w:top w:val="nil"/>
              <w:left w:val="none" w:color="auto" w:sz="0" w:space="0"/>
              <w:bottom w:val="none" w:color="auto" w:sz="0" w:space="0"/>
              <w:right w:val="none" w:color="auto" w:sz="0" w:space="0"/>
              <w:tl2br w:val="none" w:color="auto" w:sz="0" w:space="0"/>
              <w:tr2bl w:val="none" w:color="auto" w:sz="0" w:space="0"/>
            </w:tcBorders>
            <w:vAlign w:val="top"/>
          </w:tcPr>
          <w:p>
            <w:pPr>
              <w:pStyle w:val="0"/>
              <w:autoSpaceDE w:val="0"/>
              <w:autoSpaceDN w:val="0"/>
              <w:spacing w:line="220" w:lineRule="exact"/>
              <w:jc w:val="center"/>
              <w:rPr>
                <w:rFonts w:hint="default" w:ascii="ＭＳ Ｐゴシック" w:hAnsi="ＭＳ Ｐゴシック" w:eastAsia="ＭＳ Ｐゴシック"/>
                <w:color w:val="auto"/>
                <w:sz w:val="18"/>
                <w:highlight w:val="none"/>
              </w:rPr>
            </w:pPr>
          </w:p>
        </w:tc>
        <w:tc>
          <w:tcPr>
            <w:tcW w:w="1081"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autoSpaceDE w:val="0"/>
              <w:autoSpaceDN w:val="0"/>
              <w:spacing w:line="220" w:lineRule="exact"/>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65</w:t>
            </w:r>
            <w:r>
              <w:rPr>
                <w:rFonts w:hint="eastAsia" w:ascii="ＭＳ Ｐゴシック" w:hAnsi="ＭＳ Ｐゴシック" w:eastAsia="ＭＳ Ｐゴシック"/>
                <w:color w:val="auto"/>
                <w:sz w:val="18"/>
                <w:highlight w:val="none"/>
              </w:rPr>
              <w:t>歳以上人口</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7,667 </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7,704 </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bottom"/>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7,719</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7,786</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8,099</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8,510</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9,139</w:t>
            </w:r>
          </w:p>
        </w:tc>
      </w:tr>
      <w:tr>
        <w:trPr>
          <w:cantSplit/>
          <w:trHeight w:val="159" w:hRule="atLeast"/>
        </w:trPr>
        <w:tc>
          <w:tcPr>
            <w:tcW w:w="463" w:type="dxa"/>
            <w:vMerge w:val="continue"/>
            <w:vAlign w:val="top"/>
          </w:tcPr>
          <w:p>
            <w:pPr>
              <w:pStyle w:val="0"/>
              <w:autoSpaceDE w:val="0"/>
              <w:autoSpaceDN w:val="0"/>
              <w:jc w:val="center"/>
              <w:rPr>
                <w:rFonts w:hint="default" w:ascii="ＭＳ Ｐゴシック" w:hAnsi="ＭＳ Ｐゴシック" w:eastAsia="ＭＳ Ｐゴシック"/>
                <w:sz w:val="18"/>
              </w:rPr>
            </w:pPr>
          </w:p>
        </w:tc>
        <w:tc>
          <w:tcPr>
            <w:tcW w:w="257" w:type="dxa"/>
            <w:vMerge w:val="continue"/>
            <w:vAlign w:val="top"/>
          </w:tcPr>
          <w:p>
            <w:pPr>
              <w:pStyle w:val="0"/>
              <w:autoSpaceDE w:val="0"/>
              <w:autoSpaceDN w:val="0"/>
              <w:spacing w:line="220" w:lineRule="exact"/>
              <w:jc w:val="center"/>
              <w:rPr>
                <w:rFonts w:hint="default" w:ascii="ＭＳ Ｐゴシック" w:hAnsi="ＭＳ Ｐゴシック" w:eastAsia="ＭＳ Ｐゴシック"/>
                <w:sz w:val="18"/>
              </w:rPr>
            </w:pPr>
          </w:p>
        </w:tc>
        <w:tc>
          <w:tcPr>
            <w:tcW w:w="1081" w:type="dxa"/>
            <w:vMerge w:val="continue"/>
            <w:tcBorders>
              <w:top w:val="nil"/>
              <w:left w:val="none" w:color="auto" w:sz="0" w:space="0"/>
              <w:bottom w:val="none" w:color="auto" w:sz="0" w:space="0"/>
              <w:right w:val="single" w:color="auto" w:sz="4" w:space="0"/>
              <w:tl2br w:val="none" w:color="auto" w:sz="0" w:space="0"/>
              <w:tr2bl w:val="none" w:color="auto" w:sz="0" w:space="0"/>
            </w:tcBorders>
            <w:vAlign w:val="center"/>
          </w:tcPr>
          <w:p>
            <w:pPr>
              <w:pStyle w:val="0"/>
              <w:autoSpaceDE w:val="0"/>
              <w:autoSpaceDN w:val="0"/>
              <w:spacing w:line="220" w:lineRule="exact"/>
              <w:jc w:val="center"/>
              <w:rPr>
                <w:rFonts w:hint="default" w:ascii="ＭＳ Ｐゴシック" w:hAnsi="ＭＳ Ｐゴシック" w:eastAsia="ＭＳ Ｐゴシック"/>
                <w:sz w:val="18"/>
              </w:rPr>
            </w:pP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24.2%</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24.4%</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24.5%</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24.7%</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25.9%</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27.6%</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30.2%</w:t>
            </w:r>
          </w:p>
        </w:tc>
      </w:tr>
      <w:tr>
        <w:trPr>
          <w:cantSplit/>
          <w:trHeight w:val="159" w:hRule="atLeast"/>
        </w:trPr>
        <w:tc>
          <w:tcPr>
            <w:tcW w:w="463" w:type="dxa"/>
            <w:vMerge w:val="continue"/>
            <w:vAlign w:val="top"/>
          </w:tcPr>
          <w:p>
            <w:pPr>
              <w:pStyle w:val="0"/>
              <w:autoSpaceDE w:val="0"/>
              <w:autoSpaceDN w:val="0"/>
              <w:jc w:val="center"/>
              <w:rPr>
                <w:rFonts w:hint="default" w:ascii="ＭＳ Ｐゴシック" w:hAnsi="ＭＳ Ｐゴシック" w:eastAsia="ＭＳ Ｐゴシック"/>
                <w:sz w:val="18"/>
              </w:rPr>
            </w:pPr>
          </w:p>
        </w:tc>
        <w:tc>
          <w:tcPr>
            <w:tcW w:w="257" w:type="dxa"/>
            <w:vMerge w:val="continue"/>
            <w:vAlign w:val="top"/>
          </w:tcPr>
          <w:p>
            <w:pPr>
              <w:pStyle w:val="0"/>
              <w:autoSpaceDE w:val="0"/>
              <w:autoSpaceDN w:val="0"/>
              <w:spacing w:line="220" w:lineRule="exact"/>
              <w:jc w:val="center"/>
              <w:rPr>
                <w:rFonts w:hint="default" w:ascii="ＭＳ Ｐゴシック" w:hAnsi="ＭＳ Ｐゴシック" w:eastAsia="ＭＳ Ｐゴシック"/>
                <w:sz w:val="18"/>
              </w:rPr>
            </w:pPr>
          </w:p>
        </w:tc>
        <w:tc>
          <w:tcPr>
            <w:tcW w:w="1081"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autoSpaceDE w:val="0"/>
              <w:autoSpaceDN w:val="0"/>
              <w:spacing w:line="220" w:lineRule="exact"/>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75</w:t>
            </w:r>
            <w:r>
              <w:rPr>
                <w:rFonts w:hint="eastAsia" w:ascii="ＭＳ Ｐゴシック" w:hAnsi="ＭＳ Ｐゴシック" w:eastAsia="ＭＳ Ｐゴシック"/>
                <w:color w:val="auto"/>
                <w:sz w:val="18"/>
                <w:highlight w:val="none"/>
              </w:rPr>
              <w:t>歳以上人口</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3,960 </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4,146 </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bottom"/>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4,292</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4,577</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4,777</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4,722</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4,755</w:t>
            </w:r>
          </w:p>
        </w:tc>
      </w:tr>
      <w:tr>
        <w:trPr>
          <w:cantSplit/>
          <w:trHeight w:val="159" w:hRule="atLeast"/>
        </w:trPr>
        <w:tc>
          <w:tcPr>
            <w:tcW w:w="463" w:type="dxa"/>
            <w:vMerge w:val="continue"/>
            <w:vAlign w:val="top"/>
          </w:tcPr>
          <w:p>
            <w:pPr>
              <w:pStyle w:val="0"/>
              <w:autoSpaceDE w:val="0"/>
              <w:autoSpaceDN w:val="0"/>
              <w:jc w:val="center"/>
              <w:rPr>
                <w:rFonts w:hint="default" w:ascii="ＭＳ Ｐゴシック" w:hAnsi="ＭＳ Ｐゴシック" w:eastAsia="ＭＳ Ｐゴシック"/>
                <w:sz w:val="18"/>
              </w:rPr>
            </w:pPr>
          </w:p>
        </w:tc>
        <w:tc>
          <w:tcPr>
            <w:tcW w:w="257" w:type="dxa"/>
            <w:vMerge w:val="continue"/>
            <w:vAlign w:val="top"/>
          </w:tcPr>
          <w:p>
            <w:pPr>
              <w:pStyle w:val="0"/>
              <w:autoSpaceDE w:val="0"/>
              <w:autoSpaceDN w:val="0"/>
              <w:spacing w:line="220" w:lineRule="exact"/>
              <w:jc w:val="center"/>
              <w:rPr>
                <w:rFonts w:hint="default" w:ascii="ＭＳ Ｐゴシック" w:hAnsi="ＭＳ Ｐゴシック" w:eastAsia="ＭＳ Ｐゴシック"/>
                <w:sz w:val="18"/>
              </w:rPr>
            </w:pPr>
          </w:p>
        </w:tc>
        <w:tc>
          <w:tcPr>
            <w:tcW w:w="1081"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autoSpaceDE w:val="0"/>
              <w:autoSpaceDN w:val="0"/>
              <w:spacing w:line="220" w:lineRule="exact"/>
              <w:jc w:val="center"/>
              <w:rPr>
                <w:rFonts w:hint="default" w:ascii="ＭＳ Ｐゴシック" w:hAnsi="ＭＳ Ｐゴシック" w:eastAsia="ＭＳ Ｐゴシック"/>
                <w:sz w:val="18"/>
              </w:rPr>
            </w:pP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12.5%</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13.1%</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13.6%</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14.5%</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15.3%</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15.3%</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15.7%</w:t>
            </w:r>
          </w:p>
        </w:tc>
      </w:tr>
      <w:tr>
        <w:trPr>
          <w:cantSplit/>
          <w:trHeight w:val="159" w:hRule="atLeast"/>
        </w:trPr>
        <w:tc>
          <w:tcPr>
            <w:tcW w:w="463" w:type="dxa"/>
            <w:vMerge w:val="restart"/>
            <w:textDirection w:val="tbRlV"/>
            <w:vAlign w:val="center"/>
          </w:tcPr>
          <w:p>
            <w:pPr>
              <w:pStyle w:val="0"/>
              <w:autoSpaceDE w:val="0"/>
              <w:autoSpaceDN w:val="0"/>
              <w:ind w:left="113" w:right="113"/>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廿日市中部</w:t>
            </w:r>
          </w:p>
        </w:tc>
        <w:tc>
          <w:tcPr>
            <w:tcW w:w="1338" w:type="dxa"/>
            <w:gridSpan w:val="2"/>
            <w:tcBorders>
              <w:top w:val="none" w:color="auto" w:sz="0" w:space="0"/>
              <w:left w:val="none" w:color="auto" w:sz="0" w:space="0"/>
              <w:bottom w:val="nil"/>
              <w:right w:val="none" w:color="auto" w:sz="0" w:space="0"/>
              <w:tl2br w:val="none" w:color="auto" w:sz="0" w:space="0"/>
              <w:tr2bl w:val="none" w:color="auto" w:sz="0" w:space="0"/>
            </w:tcBorders>
            <w:vAlign w:val="top"/>
          </w:tcPr>
          <w:p>
            <w:pPr>
              <w:pStyle w:val="0"/>
              <w:autoSpaceDE w:val="0"/>
              <w:autoSpaceDN w:val="0"/>
              <w:spacing w:line="240" w:lineRule="exact"/>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総人口</w:t>
            </w:r>
          </w:p>
        </w:tc>
        <w:tc>
          <w:tcPr>
            <w:tcW w:w="9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24,028 </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23,968 </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24,035</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wordWrap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23,960</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23,590</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22,862</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21,770</w:t>
            </w:r>
          </w:p>
        </w:tc>
      </w:tr>
      <w:tr>
        <w:trPr>
          <w:cantSplit/>
          <w:trHeight w:val="159" w:hRule="atLeast"/>
        </w:trPr>
        <w:tc>
          <w:tcPr>
            <w:tcW w:w="463" w:type="dxa"/>
            <w:vMerge w:val="continue"/>
            <w:vAlign w:val="top"/>
          </w:tcPr>
          <w:p>
            <w:pPr>
              <w:pStyle w:val="0"/>
              <w:autoSpaceDE w:val="0"/>
              <w:autoSpaceDN w:val="0"/>
              <w:jc w:val="center"/>
              <w:rPr>
                <w:rFonts w:hint="default" w:ascii="ＭＳ Ｐゴシック" w:hAnsi="ＭＳ Ｐゴシック" w:eastAsia="ＭＳ Ｐゴシック"/>
                <w:sz w:val="18"/>
              </w:rPr>
            </w:pPr>
          </w:p>
        </w:tc>
        <w:tc>
          <w:tcPr>
            <w:tcW w:w="257" w:type="dxa"/>
            <w:vMerge w:val="restart"/>
            <w:tcBorders>
              <w:top w:val="nil"/>
              <w:left w:val="none" w:color="auto" w:sz="0" w:space="0"/>
              <w:bottom w:val="none" w:color="auto" w:sz="0" w:space="0"/>
              <w:right w:val="none" w:color="auto" w:sz="0" w:space="0"/>
              <w:tl2br w:val="none" w:color="auto" w:sz="0" w:space="0"/>
              <w:tr2bl w:val="none" w:color="auto" w:sz="0" w:space="0"/>
            </w:tcBorders>
            <w:vAlign w:val="top"/>
          </w:tcPr>
          <w:p>
            <w:pPr>
              <w:pStyle w:val="0"/>
              <w:autoSpaceDE w:val="0"/>
              <w:autoSpaceDN w:val="0"/>
              <w:spacing w:line="240" w:lineRule="exact"/>
              <w:jc w:val="center"/>
              <w:rPr>
                <w:rFonts w:hint="default" w:ascii="ＭＳ Ｐゴシック" w:hAnsi="ＭＳ Ｐゴシック" w:eastAsia="ＭＳ Ｐゴシック"/>
                <w:color w:val="auto"/>
                <w:sz w:val="18"/>
                <w:highlight w:val="none"/>
              </w:rPr>
            </w:pPr>
          </w:p>
        </w:tc>
        <w:tc>
          <w:tcPr>
            <w:tcW w:w="1081" w:type="dxa"/>
            <w:vMerge w:val="restart"/>
            <w:vAlign w:val="top"/>
          </w:tcPr>
          <w:p>
            <w:pPr>
              <w:pStyle w:val="0"/>
              <w:autoSpaceDE w:val="0"/>
              <w:autoSpaceDN w:val="0"/>
              <w:spacing w:line="240" w:lineRule="exact"/>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65</w:t>
            </w:r>
            <w:r>
              <w:rPr>
                <w:rFonts w:hint="eastAsia" w:ascii="ＭＳ Ｐゴシック" w:hAnsi="ＭＳ Ｐゴシック" w:eastAsia="ＭＳ Ｐゴシック"/>
                <w:color w:val="auto"/>
                <w:sz w:val="18"/>
                <w:highlight w:val="none"/>
              </w:rPr>
              <w:t>歳以上人口</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7,303 </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7,516 </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bottom"/>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7,717</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8,074</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8,460</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8,288</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8,081</w:t>
            </w:r>
          </w:p>
        </w:tc>
      </w:tr>
      <w:tr>
        <w:trPr>
          <w:cantSplit/>
          <w:trHeight w:val="159" w:hRule="atLeast"/>
        </w:trPr>
        <w:tc>
          <w:tcPr>
            <w:tcW w:w="463" w:type="dxa"/>
            <w:vMerge w:val="continue"/>
            <w:vAlign w:val="top"/>
          </w:tcPr>
          <w:p>
            <w:pPr>
              <w:pStyle w:val="0"/>
              <w:autoSpaceDE w:val="0"/>
              <w:autoSpaceDN w:val="0"/>
              <w:jc w:val="center"/>
              <w:rPr>
                <w:rFonts w:hint="default" w:ascii="ＭＳ Ｐゴシック" w:hAnsi="ＭＳ Ｐゴシック" w:eastAsia="ＭＳ Ｐゴシック"/>
                <w:sz w:val="18"/>
              </w:rPr>
            </w:pPr>
          </w:p>
        </w:tc>
        <w:tc>
          <w:tcPr>
            <w:tcW w:w="257" w:type="dxa"/>
            <w:vMerge w:val="continue"/>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1081" w:type="dxa"/>
            <w:vMerge w:val="continue"/>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30.4%</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31.4%</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32.1%</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33.7</w:t>
            </w:r>
            <w:r>
              <w:rPr>
                <w:rFonts w:hint="default" w:ascii="ＭＳ Ｐゴシック" w:hAnsi="ＭＳ Ｐゴシック" w:eastAsia="ＭＳ Ｐゴシック"/>
                <w:color w:val="auto"/>
                <w:sz w:val="18"/>
                <w:highlight w:val="none"/>
              </w:rPr>
              <w:t>%</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35.9</w:t>
            </w:r>
            <w:r>
              <w:rPr>
                <w:rFonts w:hint="default" w:ascii="ＭＳ Ｐゴシック" w:hAnsi="ＭＳ Ｐゴシック" w:eastAsia="ＭＳ Ｐゴシック"/>
                <w:color w:val="auto"/>
                <w:sz w:val="18"/>
                <w:highlight w:val="none"/>
              </w:rPr>
              <w:t>%</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36.3</w:t>
            </w:r>
            <w:r>
              <w:rPr>
                <w:rFonts w:hint="default" w:ascii="ＭＳ Ｐゴシック" w:hAnsi="ＭＳ Ｐゴシック" w:eastAsia="ＭＳ Ｐゴシック"/>
                <w:color w:val="auto"/>
                <w:sz w:val="18"/>
                <w:highlight w:val="none"/>
              </w:rPr>
              <w:t>%</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37.1%</w:t>
            </w:r>
          </w:p>
        </w:tc>
      </w:tr>
      <w:tr>
        <w:trPr>
          <w:cantSplit/>
          <w:trHeight w:val="159" w:hRule="atLeast"/>
        </w:trPr>
        <w:tc>
          <w:tcPr>
            <w:tcW w:w="463" w:type="dxa"/>
            <w:vMerge w:val="continue"/>
            <w:vAlign w:val="top"/>
          </w:tcPr>
          <w:p>
            <w:pPr>
              <w:pStyle w:val="0"/>
              <w:autoSpaceDE w:val="0"/>
              <w:autoSpaceDN w:val="0"/>
              <w:jc w:val="center"/>
              <w:rPr>
                <w:rFonts w:hint="default" w:ascii="ＭＳ Ｐゴシック" w:hAnsi="ＭＳ Ｐゴシック" w:eastAsia="ＭＳ Ｐゴシック"/>
                <w:sz w:val="18"/>
              </w:rPr>
            </w:pPr>
          </w:p>
        </w:tc>
        <w:tc>
          <w:tcPr>
            <w:tcW w:w="257" w:type="dxa"/>
            <w:vMerge w:val="continue"/>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1081" w:type="dxa"/>
            <w:vMerge w:val="restart"/>
            <w:vAlign w:val="top"/>
          </w:tcPr>
          <w:p>
            <w:pPr>
              <w:pStyle w:val="0"/>
              <w:autoSpaceDE w:val="0"/>
              <w:autoSpaceDN w:val="0"/>
              <w:spacing w:line="240" w:lineRule="exact"/>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75</w:t>
            </w:r>
            <w:r>
              <w:rPr>
                <w:rFonts w:hint="eastAsia" w:ascii="ＭＳ Ｐゴシック" w:hAnsi="ＭＳ Ｐゴシック" w:eastAsia="ＭＳ Ｐゴシック"/>
                <w:color w:val="auto"/>
                <w:sz w:val="18"/>
                <w:highlight w:val="none"/>
              </w:rPr>
              <w:t>歳以上人口</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2,977 </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3,171 </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bottom"/>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3,363</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3,851</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4,839</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5,449</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5,353</w:t>
            </w:r>
          </w:p>
        </w:tc>
      </w:tr>
      <w:tr>
        <w:trPr>
          <w:cantSplit/>
          <w:trHeight w:val="159" w:hRule="atLeast"/>
        </w:trPr>
        <w:tc>
          <w:tcPr>
            <w:tcW w:w="463" w:type="dxa"/>
            <w:vMerge w:val="continue"/>
            <w:vAlign w:val="top"/>
          </w:tcPr>
          <w:p>
            <w:pPr>
              <w:pStyle w:val="0"/>
              <w:autoSpaceDE w:val="0"/>
              <w:autoSpaceDN w:val="0"/>
              <w:jc w:val="center"/>
              <w:rPr>
                <w:rFonts w:hint="default" w:ascii="ＭＳ Ｐゴシック" w:hAnsi="ＭＳ Ｐゴシック" w:eastAsia="ＭＳ Ｐゴシック"/>
                <w:sz w:val="18"/>
              </w:rPr>
            </w:pPr>
          </w:p>
        </w:tc>
        <w:tc>
          <w:tcPr>
            <w:tcW w:w="257" w:type="dxa"/>
            <w:vMerge w:val="continue"/>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1081" w:type="dxa"/>
            <w:vMerge w:val="continue"/>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12.4%</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13.2%</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14.0%</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16.1</w:t>
            </w:r>
            <w:r>
              <w:rPr>
                <w:rFonts w:hint="default" w:ascii="ＭＳ Ｐゴシック" w:hAnsi="ＭＳ Ｐゴシック" w:eastAsia="ＭＳ Ｐゴシック"/>
                <w:color w:val="auto"/>
                <w:sz w:val="18"/>
                <w:highlight w:val="none"/>
              </w:rPr>
              <w:t>%</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20.5</w:t>
            </w:r>
            <w:r>
              <w:rPr>
                <w:rFonts w:hint="default" w:ascii="ＭＳ Ｐゴシック" w:hAnsi="ＭＳ Ｐゴシック" w:eastAsia="ＭＳ Ｐゴシック"/>
                <w:color w:val="auto"/>
                <w:sz w:val="18"/>
                <w:highlight w:val="none"/>
              </w:rPr>
              <w:t>%</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23.8</w:t>
            </w:r>
            <w:r>
              <w:rPr>
                <w:rFonts w:hint="default" w:ascii="ＭＳ Ｐゴシック" w:hAnsi="ＭＳ Ｐゴシック" w:eastAsia="ＭＳ Ｐゴシック"/>
                <w:color w:val="auto"/>
                <w:sz w:val="18"/>
                <w:highlight w:val="none"/>
              </w:rPr>
              <w:t>%</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24.6%</w:t>
            </w:r>
          </w:p>
        </w:tc>
      </w:tr>
      <w:tr>
        <w:trPr>
          <w:cantSplit/>
          <w:trHeight w:val="261" w:hRule="atLeast"/>
        </w:trPr>
        <w:tc>
          <w:tcPr>
            <w:tcW w:w="463" w:type="dxa"/>
            <w:vMerge w:val="restart"/>
            <w:textDirection w:val="tbRlV"/>
            <w:vAlign w:val="center"/>
          </w:tcPr>
          <w:p>
            <w:pPr>
              <w:pStyle w:val="0"/>
              <w:autoSpaceDE w:val="0"/>
              <w:autoSpaceDN w:val="0"/>
              <w:ind w:left="113" w:right="113"/>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廿日市西部</w:t>
            </w:r>
          </w:p>
        </w:tc>
        <w:tc>
          <w:tcPr>
            <w:tcW w:w="1338" w:type="dxa"/>
            <w:gridSpan w:val="2"/>
            <w:tcBorders>
              <w:top w:val="none" w:color="auto" w:sz="0" w:space="0"/>
              <w:left w:val="none" w:color="auto" w:sz="0" w:space="0"/>
              <w:bottom w:val="nil"/>
              <w:right w:val="none" w:color="auto" w:sz="0" w:space="0"/>
              <w:tl2br w:val="none" w:color="auto" w:sz="0" w:space="0"/>
              <w:tr2bl w:val="none" w:color="auto" w:sz="0" w:space="0"/>
            </w:tcBorders>
            <w:vAlign w:val="top"/>
          </w:tcPr>
          <w:p>
            <w:pPr>
              <w:pStyle w:val="0"/>
              <w:autoSpaceDE w:val="0"/>
              <w:autoSpaceDN w:val="0"/>
              <w:spacing w:line="240" w:lineRule="exact"/>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総人口</w:t>
            </w:r>
          </w:p>
        </w:tc>
        <w:tc>
          <w:tcPr>
            <w:tcW w:w="9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20,362 </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20,350 </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20,180</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19,955</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19,201</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18,250</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17,175</w:t>
            </w:r>
          </w:p>
        </w:tc>
      </w:tr>
      <w:tr>
        <w:trPr>
          <w:cantSplit/>
          <w:trHeight w:val="159" w:hRule="atLeast"/>
        </w:trPr>
        <w:tc>
          <w:tcPr>
            <w:tcW w:w="463" w:type="dxa"/>
            <w:vMerge w:val="continue"/>
            <w:vAlign w:val="top"/>
          </w:tcPr>
          <w:p>
            <w:pPr>
              <w:pStyle w:val="0"/>
              <w:autoSpaceDE w:val="0"/>
              <w:autoSpaceDN w:val="0"/>
              <w:jc w:val="center"/>
              <w:rPr>
                <w:rFonts w:hint="default" w:ascii="ＭＳ Ｐゴシック" w:hAnsi="ＭＳ Ｐゴシック" w:eastAsia="ＭＳ Ｐゴシック"/>
                <w:sz w:val="18"/>
              </w:rPr>
            </w:pPr>
          </w:p>
        </w:tc>
        <w:tc>
          <w:tcPr>
            <w:tcW w:w="257" w:type="dxa"/>
            <w:vMerge w:val="restart"/>
            <w:tcBorders>
              <w:top w:val="nil"/>
              <w:left w:val="none" w:color="auto" w:sz="0" w:space="0"/>
              <w:bottom w:val="none" w:color="auto" w:sz="0" w:space="0"/>
              <w:right w:val="none" w:color="auto" w:sz="0" w:space="0"/>
              <w:tl2br w:val="none" w:color="auto" w:sz="0" w:space="0"/>
              <w:tr2bl w:val="none" w:color="auto" w:sz="0" w:space="0"/>
            </w:tcBorders>
            <w:vAlign w:val="top"/>
          </w:tcPr>
          <w:p>
            <w:pPr>
              <w:pStyle w:val="0"/>
              <w:autoSpaceDE w:val="0"/>
              <w:autoSpaceDN w:val="0"/>
              <w:spacing w:line="240" w:lineRule="exact"/>
              <w:jc w:val="center"/>
              <w:rPr>
                <w:rFonts w:hint="default" w:ascii="ＭＳ Ｐゴシック" w:hAnsi="ＭＳ Ｐゴシック" w:eastAsia="ＭＳ Ｐゴシック"/>
                <w:color w:val="auto"/>
                <w:sz w:val="18"/>
                <w:highlight w:val="none"/>
              </w:rPr>
            </w:pPr>
          </w:p>
        </w:tc>
        <w:tc>
          <w:tcPr>
            <w:tcW w:w="1081" w:type="dxa"/>
            <w:vMerge w:val="restart"/>
            <w:vAlign w:val="top"/>
          </w:tcPr>
          <w:p>
            <w:pPr>
              <w:pStyle w:val="0"/>
              <w:autoSpaceDE w:val="0"/>
              <w:autoSpaceDN w:val="0"/>
              <w:spacing w:line="240" w:lineRule="exact"/>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65</w:t>
            </w:r>
            <w:r>
              <w:rPr>
                <w:rFonts w:hint="eastAsia" w:ascii="ＭＳ Ｐゴシック" w:hAnsi="ＭＳ Ｐゴシック" w:eastAsia="ＭＳ Ｐゴシック"/>
                <w:color w:val="auto"/>
                <w:sz w:val="18"/>
                <w:highlight w:val="none"/>
              </w:rPr>
              <w:t>歳以上人口</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7,011 </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7,078 </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bottom"/>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7,126</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7,176</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7,039</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6,818</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6,686</w:t>
            </w:r>
          </w:p>
        </w:tc>
      </w:tr>
      <w:tr>
        <w:trPr>
          <w:cantSplit/>
          <w:trHeight w:val="159" w:hRule="atLeast"/>
        </w:trPr>
        <w:tc>
          <w:tcPr>
            <w:tcW w:w="463" w:type="dxa"/>
            <w:vMerge w:val="continue"/>
            <w:vAlign w:val="top"/>
          </w:tcPr>
          <w:p>
            <w:pPr>
              <w:pStyle w:val="0"/>
              <w:autoSpaceDE w:val="0"/>
              <w:autoSpaceDN w:val="0"/>
              <w:jc w:val="center"/>
              <w:rPr>
                <w:rFonts w:hint="default" w:ascii="ＭＳ Ｐゴシック" w:hAnsi="ＭＳ Ｐゴシック" w:eastAsia="ＭＳ Ｐゴシック"/>
                <w:sz w:val="18"/>
              </w:rPr>
            </w:pPr>
          </w:p>
        </w:tc>
        <w:tc>
          <w:tcPr>
            <w:tcW w:w="257" w:type="dxa"/>
            <w:vMerge w:val="continue"/>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1081" w:type="dxa"/>
            <w:vMerge w:val="continue"/>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34.4%</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34.8%</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35.3%</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36.0</w:t>
            </w:r>
            <w:r>
              <w:rPr>
                <w:rFonts w:hint="default" w:ascii="ＭＳ Ｐゴシック" w:hAnsi="ＭＳ Ｐゴシック" w:eastAsia="ＭＳ Ｐゴシック"/>
                <w:color w:val="auto"/>
                <w:sz w:val="18"/>
                <w:highlight w:val="none"/>
              </w:rPr>
              <w:t>%</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36.7</w:t>
            </w:r>
            <w:r>
              <w:rPr>
                <w:rFonts w:hint="default" w:ascii="ＭＳ Ｐゴシック" w:hAnsi="ＭＳ Ｐゴシック" w:eastAsia="ＭＳ Ｐゴシック"/>
                <w:color w:val="auto"/>
                <w:sz w:val="18"/>
                <w:highlight w:val="none"/>
              </w:rPr>
              <w:t>%</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37.4</w:t>
            </w:r>
            <w:r>
              <w:rPr>
                <w:rFonts w:hint="default" w:ascii="ＭＳ Ｐゴシック" w:hAnsi="ＭＳ Ｐゴシック" w:eastAsia="ＭＳ Ｐゴシック"/>
                <w:color w:val="auto"/>
                <w:sz w:val="18"/>
                <w:highlight w:val="none"/>
              </w:rPr>
              <w:t>%</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38.9%</w:t>
            </w:r>
          </w:p>
        </w:tc>
      </w:tr>
      <w:tr>
        <w:trPr>
          <w:cantSplit/>
          <w:trHeight w:val="159" w:hRule="atLeast"/>
        </w:trPr>
        <w:tc>
          <w:tcPr>
            <w:tcW w:w="463" w:type="dxa"/>
            <w:vMerge w:val="continue"/>
            <w:vAlign w:val="top"/>
          </w:tcPr>
          <w:p>
            <w:pPr>
              <w:pStyle w:val="0"/>
              <w:autoSpaceDE w:val="0"/>
              <w:autoSpaceDN w:val="0"/>
              <w:jc w:val="center"/>
              <w:rPr>
                <w:rFonts w:hint="default" w:ascii="ＭＳ Ｐゴシック" w:hAnsi="ＭＳ Ｐゴシック" w:eastAsia="ＭＳ Ｐゴシック"/>
                <w:sz w:val="18"/>
              </w:rPr>
            </w:pPr>
          </w:p>
        </w:tc>
        <w:tc>
          <w:tcPr>
            <w:tcW w:w="257" w:type="dxa"/>
            <w:vMerge w:val="continue"/>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1081" w:type="dxa"/>
            <w:vMerge w:val="restart"/>
            <w:vAlign w:val="top"/>
          </w:tcPr>
          <w:p>
            <w:pPr>
              <w:pStyle w:val="0"/>
              <w:autoSpaceDE w:val="0"/>
              <w:autoSpaceDN w:val="0"/>
              <w:spacing w:line="240" w:lineRule="exact"/>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75</w:t>
            </w:r>
            <w:r>
              <w:rPr>
                <w:rFonts w:hint="eastAsia" w:ascii="ＭＳ Ｐゴシック" w:hAnsi="ＭＳ Ｐゴシック" w:eastAsia="ＭＳ Ｐゴシック"/>
                <w:color w:val="auto"/>
                <w:sz w:val="18"/>
                <w:highlight w:val="none"/>
              </w:rPr>
              <w:t>歳以上人口</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3,368 </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3,623 </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bottom"/>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3,841</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4,272</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4,742</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4,663</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4,242</w:t>
            </w:r>
          </w:p>
        </w:tc>
      </w:tr>
      <w:tr>
        <w:trPr>
          <w:cantSplit/>
          <w:trHeight w:val="159" w:hRule="atLeast"/>
        </w:trPr>
        <w:tc>
          <w:tcPr>
            <w:tcW w:w="463" w:type="dxa"/>
            <w:vMerge w:val="continue"/>
            <w:vAlign w:val="top"/>
          </w:tcPr>
          <w:p>
            <w:pPr>
              <w:pStyle w:val="0"/>
              <w:autoSpaceDE w:val="0"/>
              <w:autoSpaceDN w:val="0"/>
              <w:jc w:val="center"/>
              <w:rPr>
                <w:rFonts w:hint="default" w:ascii="ＭＳ Ｐゴシック" w:hAnsi="ＭＳ Ｐゴシック" w:eastAsia="ＭＳ Ｐゴシック"/>
                <w:sz w:val="18"/>
              </w:rPr>
            </w:pPr>
          </w:p>
        </w:tc>
        <w:tc>
          <w:tcPr>
            <w:tcW w:w="257" w:type="dxa"/>
            <w:vMerge w:val="continue"/>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1081" w:type="dxa"/>
            <w:vMerge w:val="continue"/>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16.5%</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17.8%</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19.0%</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21.4</w:t>
            </w:r>
            <w:r>
              <w:rPr>
                <w:rFonts w:hint="default" w:ascii="ＭＳ Ｐゴシック" w:hAnsi="ＭＳ Ｐゴシック" w:eastAsia="ＭＳ Ｐゴシック"/>
                <w:color w:val="auto"/>
                <w:sz w:val="18"/>
                <w:highlight w:val="none"/>
              </w:rPr>
              <w:t>%</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24.7</w:t>
            </w:r>
            <w:r>
              <w:rPr>
                <w:rFonts w:hint="default" w:ascii="ＭＳ Ｐゴシック" w:hAnsi="ＭＳ Ｐゴシック" w:eastAsia="ＭＳ Ｐゴシック"/>
                <w:color w:val="auto"/>
                <w:sz w:val="18"/>
                <w:highlight w:val="none"/>
              </w:rPr>
              <w:t>%</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25.6</w:t>
            </w:r>
            <w:r>
              <w:rPr>
                <w:rFonts w:hint="default" w:ascii="ＭＳ Ｐゴシック" w:hAnsi="ＭＳ Ｐゴシック" w:eastAsia="ＭＳ Ｐゴシック"/>
                <w:color w:val="auto"/>
                <w:sz w:val="18"/>
                <w:highlight w:val="none"/>
              </w:rPr>
              <w:t>%</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24.7%</w:t>
            </w:r>
          </w:p>
        </w:tc>
      </w:tr>
      <w:tr>
        <w:trPr>
          <w:cantSplit/>
          <w:trHeight w:val="159" w:hRule="atLeast"/>
        </w:trPr>
        <w:tc>
          <w:tcPr>
            <w:tcW w:w="463" w:type="dxa"/>
            <w:vMerge w:val="restart"/>
            <w:textDirection w:val="tbRlV"/>
            <w:vAlign w:val="center"/>
          </w:tcPr>
          <w:p>
            <w:pPr>
              <w:pStyle w:val="0"/>
              <w:autoSpaceDE w:val="0"/>
              <w:autoSpaceDN w:val="0"/>
              <w:ind w:left="113" w:right="113"/>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佐伯</w:t>
            </w:r>
          </w:p>
        </w:tc>
        <w:tc>
          <w:tcPr>
            <w:tcW w:w="1338" w:type="dxa"/>
            <w:gridSpan w:val="2"/>
            <w:tcBorders>
              <w:top w:val="none" w:color="auto" w:sz="0" w:space="0"/>
              <w:left w:val="none" w:color="auto" w:sz="0" w:space="0"/>
              <w:bottom w:val="nil"/>
              <w:right w:val="none" w:color="auto" w:sz="0" w:space="0"/>
              <w:tl2br w:val="none" w:color="auto" w:sz="0" w:space="0"/>
              <w:tr2bl w:val="none" w:color="auto" w:sz="0" w:space="0"/>
            </w:tcBorders>
            <w:vAlign w:val="top"/>
          </w:tcPr>
          <w:p>
            <w:pPr>
              <w:pStyle w:val="0"/>
              <w:autoSpaceDE w:val="0"/>
              <w:autoSpaceDN w:val="0"/>
              <w:spacing w:line="240" w:lineRule="exact"/>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総人口</w:t>
            </w:r>
          </w:p>
        </w:tc>
        <w:tc>
          <w:tcPr>
            <w:tcW w:w="9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9,247 </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9,088 </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8,890</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8,512</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7,544</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6,592</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5,636</w:t>
            </w:r>
          </w:p>
        </w:tc>
      </w:tr>
      <w:tr>
        <w:trPr>
          <w:cantSplit/>
          <w:trHeight w:val="159" w:hRule="atLeast"/>
        </w:trPr>
        <w:tc>
          <w:tcPr>
            <w:tcW w:w="463" w:type="dxa"/>
            <w:vMerge w:val="continue"/>
            <w:vAlign w:val="top"/>
          </w:tcPr>
          <w:p>
            <w:pPr>
              <w:pStyle w:val="0"/>
              <w:autoSpaceDE w:val="0"/>
              <w:autoSpaceDN w:val="0"/>
              <w:jc w:val="center"/>
              <w:rPr>
                <w:rFonts w:hint="default" w:ascii="ＭＳ Ｐゴシック" w:hAnsi="ＭＳ Ｐゴシック" w:eastAsia="ＭＳ Ｐゴシック"/>
                <w:sz w:val="18"/>
              </w:rPr>
            </w:pPr>
          </w:p>
        </w:tc>
        <w:tc>
          <w:tcPr>
            <w:tcW w:w="257" w:type="dxa"/>
            <w:vMerge w:val="restart"/>
            <w:tcBorders>
              <w:top w:val="nil"/>
              <w:left w:val="none" w:color="auto" w:sz="0" w:space="0"/>
              <w:bottom w:val="none" w:color="auto" w:sz="0" w:space="0"/>
              <w:right w:val="none" w:color="auto" w:sz="0" w:space="0"/>
              <w:tl2br w:val="none" w:color="auto" w:sz="0" w:space="0"/>
              <w:tr2bl w:val="none" w:color="auto" w:sz="0" w:space="0"/>
            </w:tcBorders>
            <w:vAlign w:val="top"/>
          </w:tcPr>
          <w:p>
            <w:pPr>
              <w:pStyle w:val="0"/>
              <w:autoSpaceDE w:val="0"/>
              <w:autoSpaceDN w:val="0"/>
              <w:spacing w:line="240" w:lineRule="exact"/>
              <w:jc w:val="center"/>
              <w:rPr>
                <w:rFonts w:hint="default" w:ascii="ＭＳ Ｐゴシック" w:hAnsi="ＭＳ Ｐゴシック" w:eastAsia="ＭＳ Ｐゴシック"/>
                <w:color w:val="auto"/>
                <w:sz w:val="18"/>
                <w:highlight w:val="none"/>
              </w:rPr>
            </w:pPr>
          </w:p>
        </w:tc>
        <w:tc>
          <w:tcPr>
            <w:tcW w:w="1081" w:type="dxa"/>
            <w:vMerge w:val="restart"/>
            <w:vAlign w:val="top"/>
          </w:tcPr>
          <w:p>
            <w:pPr>
              <w:pStyle w:val="0"/>
              <w:autoSpaceDE w:val="0"/>
              <w:autoSpaceDN w:val="0"/>
              <w:spacing w:line="240" w:lineRule="exact"/>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65</w:t>
            </w:r>
            <w:r>
              <w:rPr>
                <w:rFonts w:hint="eastAsia" w:ascii="ＭＳ Ｐゴシック" w:hAnsi="ＭＳ Ｐゴシック" w:eastAsia="ＭＳ Ｐゴシック"/>
                <w:color w:val="auto"/>
                <w:sz w:val="18"/>
                <w:highlight w:val="none"/>
              </w:rPr>
              <w:t>歳以上人口</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3,954 </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3,956 </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bottom"/>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3,933</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3,895</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3,634</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3,383</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3,075</w:t>
            </w:r>
          </w:p>
        </w:tc>
      </w:tr>
      <w:tr>
        <w:trPr>
          <w:cantSplit/>
          <w:trHeight w:val="159" w:hRule="atLeast"/>
        </w:trPr>
        <w:tc>
          <w:tcPr>
            <w:tcW w:w="463" w:type="dxa"/>
            <w:vMerge w:val="continue"/>
            <w:vAlign w:val="top"/>
          </w:tcPr>
          <w:p>
            <w:pPr>
              <w:pStyle w:val="0"/>
              <w:autoSpaceDE w:val="0"/>
              <w:autoSpaceDN w:val="0"/>
              <w:jc w:val="center"/>
              <w:rPr>
                <w:rFonts w:hint="default" w:ascii="ＭＳ Ｐゴシック" w:hAnsi="ＭＳ Ｐゴシック" w:eastAsia="ＭＳ Ｐゴシック"/>
                <w:sz w:val="18"/>
              </w:rPr>
            </w:pPr>
          </w:p>
        </w:tc>
        <w:tc>
          <w:tcPr>
            <w:tcW w:w="257" w:type="dxa"/>
            <w:vMerge w:val="continue"/>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1081" w:type="dxa"/>
            <w:vMerge w:val="continue"/>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42.8%</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43.5%</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44.2%</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45.8</w:t>
            </w:r>
            <w:r>
              <w:rPr>
                <w:rFonts w:hint="default" w:ascii="ＭＳ Ｐゴシック" w:hAnsi="ＭＳ Ｐゴシック" w:eastAsia="ＭＳ Ｐゴシック"/>
                <w:color w:val="auto"/>
                <w:sz w:val="18"/>
                <w:highlight w:val="none"/>
              </w:rPr>
              <w:t>%</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48.2%</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51.3</w:t>
            </w:r>
            <w:r>
              <w:rPr>
                <w:rFonts w:hint="default" w:ascii="ＭＳ Ｐゴシック" w:hAnsi="ＭＳ Ｐゴシック" w:eastAsia="ＭＳ Ｐゴシック"/>
                <w:color w:val="auto"/>
                <w:sz w:val="18"/>
                <w:highlight w:val="none"/>
              </w:rPr>
              <w:t>%</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54.6%</w:t>
            </w:r>
          </w:p>
        </w:tc>
      </w:tr>
      <w:tr>
        <w:trPr>
          <w:cantSplit/>
          <w:trHeight w:val="159" w:hRule="atLeast"/>
        </w:trPr>
        <w:tc>
          <w:tcPr>
            <w:tcW w:w="463" w:type="dxa"/>
            <w:vMerge w:val="continue"/>
            <w:vAlign w:val="top"/>
          </w:tcPr>
          <w:p>
            <w:pPr>
              <w:pStyle w:val="0"/>
              <w:autoSpaceDE w:val="0"/>
              <w:autoSpaceDN w:val="0"/>
              <w:jc w:val="center"/>
              <w:rPr>
                <w:rFonts w:hint="default" w:ascii="ＭＳ Ｐゴシック" w:hAnsi="ＭＳ Ｐゴシック" w:eastAsia="ＭＳ Ｐゴシック"/>
                <w:sz w:val="18"/>
              </w:rPr>
            </w:pPr>
          </w:p>
        </w:tc>
        <w:tc>
          <w:tcPr>
            <w:tcW w:w="257" w:type="dxa"/>
            <w:vMerge w:val="continue"/>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1081" w:type="dxa"/>
            <w:vMerge w:val="restart"/>
            <w:vAlign w:val="top"/>
          </w:tcPr>
          <w:p>
            <w:pPr>
              <w:pStyle w:val="0"/>
              <w:autoSpaceDE w:val="0"/>
              <w:autoSpaceDN w:val="0"/>
              <w:spacing w:line="240" w:lineRule="exact"/>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75</w:t>
            </w:r>
            <w:r>
              <w:rPr>
                <w:rFonts w:hint="eastAsia" w:ascii="ＭＳ Ｐゴシック" w:hAnsi="ＭＳ Ｐゴシック" w:eastAsia="ＭＳ Ｐゴシック"/>
                <w:color w:val="auto"/>
                <w:sz w:val="18"/>
                <w:highlight w:val="none"/>
              </w:rPr>
              <w:t>歳以上人口</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1,965 </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2,039 </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bottom"/>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2,121</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2,254</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2,353</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2,251</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1,977</w:t>
            </w:r>
          </w:p>
        </w:tc>
      </w:tr>
      <w:tr>
        <w:trPr>
          <w:cantSplit/>
          <w:trHeight w:val="159" w:hRule="atLeast"/>
        </w:trPr>
        <w:tc>
          <w:tcPr>
            <w:tcW w:w="463" w:type="dxa"/>
            <w:vMerge w:val="continue"/>
            <w:vAlign w:val="top"/>
          </w:tcPr>
          <w:p>
            <w:pPr>
              <w:pStyle w:val="0"/>
              <w:autoSpaceDE w:val="0"/>
              <w:autoSpaceDN w:val="0"/>
              <w:jc w:val="center"/>
              <w:rPr>
                <w:rFonts w:hint="default" w:ascii="ＭＳ Ｐゴシック" w:hAnsi="ＭＳ Ｐゴシック" w:eastAsia="ＭＳ Ｐゴシック"/>
                <w:sz w:val="18"/>
              </w:rPr>
            </w:pPr>
          </w:p>
        </w:tc>
        <w:tc>
          <w:tcPr>
            <w:tcW w:w="257" w:type="dxa"/>
            <w:vMerge w:val="continue"/>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1081" w:type="dxa"/>
            <w:vMerge w:val="continue"/>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21.3%</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22.4%</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23.9%</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26.5</w:t>
            </w:r>
            <w:r>
              <w:rPr>
                <w:rFonts w:hint="default" w:ascii="ＭＳ Ｐゴシック" w:hAnsi="ＭＳ Ｐゴシック" w:eastAsia="ＭＳ Ｐゴシック"/>
                <w:color w:val="auto"/>
                <w:sz w:val="18"/>
                <w:highlight w:val="none"/>
              </w:rPr>
              <w:t>%</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31.2</w:t>
            </w:r>
            <w:r>
              <w:rPr>
                <w:rFonts w:hint="default" w:ascii="ＭＳ Ｐゴシック" w:hAnsi="ＭＳ Ｐゴシック" w:eastAsia="ＭＳ Ｐゴシック"/>
                <w:color w:val="auto"/>
                <w:sz w:val="18"/>
                <w:highlight w:val="none"/>
              </w:rPr>
              <w:t>%</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34.1</w:t>
            </w:r>
            <w:r>
              <w:rPr>
                <w:rFonts w:hint="default" w:ascii="ＭＳ Ｐゴシック" w:hAnsi="ＭＳ Ｐゴシック" w:eastAsia="ＭＳ Ｐゴシック"/>
                <w:color w:val="auto"/>
                <w:sz w:val="18"/>
                <w:highlight w:val="none"/>
              </w:rPr>
              <w:t>%</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35.1%</w:t>
            </w:r>
          </w:p>
        </w:tc>
      </w:tr>
      <w:tr>
        <w:trPr>
          <w:cantSplit/>
          <w:trHeight w:val="159" w:hRule="atLeast"/>
        </w:trPr>
        <w:tc>
          <w:tcPr>
            <w:tcW w:w="463" w:type="dxa"/>
            <w:vMerge w:val="restart"/>
            <w:textDirection w:val="tbRlV"/>
            <w:vAlign w:val="center"/>
          </w:tcPr>
          <w:p>
            <w:pPr>
              <w:pStyle w:val="0"/>
              <w:autoSpaceDE w:val="0"/>
              <w:autoSpaceDN w:val="0"/>
              <w:ind w:left="113" w:right="113"/>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吉和</w:t>
            </w:r>
          </w:p>
        </w:tc>
        <w:tc>
          <w:tcPr>
            <w:tcW w:w="1338" w:type="dxa"/>
            <w:gridSpan w:val="2"/>
            <w:tcBorders>
              <w:top w:val="none" w:color="auto" w:sz="0" w:space="0"/>
              <w:left w:val="none" w:color="auto" w:sz="0" w:space="0"/>
              <w:bottom w:val="nil"/>
              <w:right w:val="none" w:color="auto" w:sz="0" w:space="0"/>
              <w:tl2br w:val="none" w:color="auto" w:sz="0" w:space="0"/>
              <w:tr2bl w:val="none" w:color="auto" w:sz="0" w:space="0"/>
            </w:tcBorders>
            <w:vAlign w:val="top"/>
          </w:tcPr>
          <w:p>
            <w:pPr>
              <w:pStyle w:val="0"/>
              <w:autoSpaceDE w:val="0"/>
              <w:autoSpaceDN w:val="0"/>
              <w:spacing w:line="240" w:lineRule="exact"/>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総人口</w:t>
            </w:r>
          </w:p>
        </w:tc>
        <w:tc>
          <w:tcPr>
            <w:tcW w:w="9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609 </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589 </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573</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567</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517</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479</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431</w:t>
            </w:r>
          </w:p>
        </w:tc>
      </w:tr>
      <w:tr>
        <w:trPr>
          <w:cantSplit/>
          <w:trHeight w:val="159" w:hRule="atLeast"/>
        </w:trPr>
        <w:tc>
          <w:tcPr>
            <w:tcW w:w="463" w:type="dxa"/>
            <w:vMerge w:val="continue"/>
            <w:vAlign w:val="top"/>
          </w:tcPr>
          <w:p>
            <w:pPr>
              <w:pStyle w:val="0"/>
              <w:autoSpaceDE w:val="0"/>
              <w:autoSpaceDN w:val="0"/>
              <w:jc w:val="center"/>
              <w:rPr>
                <w:rFonts w:hint="default" w:ascii="ＭＳ Ｐゴシック" w:hAnsi="ＭＳ Ｐゴシック" w:eastAsia="ＭＳ Ｐゴシック"/>
                <w:sz w:val="18"/>
              </w:rPr>
            </w:pPr>
          </w:p>
        </w:tc>
        <w:tc>
          <w:tcPr>
            <w:tcW w:w="257" w:type="dxa"/>
            <w:vMerge w:val="restart"/>
            <w:tcBorders>
              <w:top w:val="nil"/>
              <w:left w:val="none" w:color="auto" w:sz="0" w:space="0"/>
              <w:bottom w:val="none" w:color="auto" w:sz="0" w:space="0"/>
              <w:right w:val="none" w:color="auto" w:sz="0" w:space="0"/>
              <w:tl2br w:val="none" w:color="auto" w:sz="0" w:space="0"/>
              <w:tr2bl w:val="none" w:color="auto" w:sz="0" w:space="0"/>
            </w:tcBorders>
            <w:vAlign w:val="top"/>
          </w:tcPr>
          <w:p>
            <w:pPr>
              <w:pStyle w:val="0"/>
              <w:autoSpaceDE w:val="0"/>
              <w:autoSpaceDN w:val="0"/>
              <w:spacing w:line="240" w:lineRule="exact"/>
              <w:jc w:val="center"/>
              <w:rPr>
                <w:rFonts w:hint="default" w:ascii="ＭＳ Ｐゴシック" w:hAnsi="ＭＳ Ｐゴシック" w:eastAsia="ＭＳ Ｐゴシック"/>
                <w:color w:val="auto"/>
                <w:sz w:val="18"/>
                <w:highlight w:val="none"/>
              </w:rPr>
            </w:pPr>
          </w:p>
        </w:tc>
        <w:tc>
          <w:tcPr>
            <w:tcW w:w="1081" w:type="dxa"/>
            <w:vMerge w:val="restart"/>
            <w:vAlign w:val="top"/>
          </w:tcPr>
          <w:p>
            <w:pPr>
              <w:pStyle w:val="0"/>
              <w:autoSpaceDE w:val="0"/>
              <w:autoSpaceDN w:val="0"/>
              <w:spacing w:line="240" w:lineRule="exact"/>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65</w:t>
            </w:r>
            <w:r>
              <w:rPr>
                <w:rFonts w:hint="eastAsia" w:ascii="ＭＳ Ｐゴシック" w:hAnsi="ＭＳ Ｐゴシック" w:eastAsia="ＭＳ Ｐゴシック"/>
                <w:color w:val="auto"/>
                <w:sz w:val="18"/>
                <w:highlight w:val="none"/>
              </w:rPr>
              <w:t>歳以上人口</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313 </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306 </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bottom"/>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299</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298</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271</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250</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253</w:t>
            </w:r>
          </w:p>
        </w:tc>
      </w:tr>
      <w:tr>
        <w:trPr>
          <w:cantSplit/>
          <w:trHeight w:val="159" w:hRule="atLeast"/>
        </w:trPr>
        <w:tc>
          <w:tcPr>
            <w:tcW w:w="463" w:type="dxa"/>
            <w:vMerge w:val="continue"/>
            <w:vAlign w:val="top"/>
          </w:tcPr>
          <w:p>
            <w:pPr>
              <w:pStyle w:val="0"/>
              <w:autoSpaceDE w:val="0"/>
              <w:autoSpaceDN w:val="0"/>
              <w:jc w:val="center"/>
              <w:rPr>
                <w:rFonts w:hint="default" w:ascii="ＭＳ Ｐゴシック" w:hAnsi="ＭＳ Ｐゴシック" w:eastAsia="ＭＳ Ｐゴシック"/>
                <w:sz w:val="18"/>
              </w:rPr>
            </w:pPr>
          </w:p>
        </w:tc>
        <w:tc>
          <w:tcPr>
            <w:tcW w:w="257" w:type="dxa"/>
            <w:vMerge w:val="continue"/>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1081" w:type="dxa"/>
            <w:vMerge w:val="continue"/>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51.4%</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52.0%</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52.2%</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52.6</w:t>
            </w:r>
            <w:r>
              <w:rPr>
                <w:rFonts w:hint="default" w:ascii="ＭＳ Ｐゴシック" w:hAnsi="ＭＳ Ｐゴシック" w:eastAsia="ＭＳ Ｐゴシック"/>
                <w:color w:val="auto"/>
                <w:sz w:val="18"/>
                <w:highlight w:val="none"/>
              </w:rPr>
              <w:t>%</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52.4</w:t>
            </w:r>
            <w:r>
              <w:rPr>
                <w:rFonts w:hint="default" w:ascii="ＭＳ Ｐゴシック" w:hAnsi="ＭＳ Ｐゴシック" w:eastAsia="ＭＳ Ｐゴシック"/>
                <w:color w:val="auto"/>
                <w:sz w:val="18"/>
                <w:highlight w:val="none"/>
              </w:rPr>
              <w:t>%</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52.2</w:t>
            </w:r>
            <w:r>
              <w:rPr>
                <w:rFonts w:hint="default" w:ascii="ＭＳ Ｐゴシック" w:hAnsi="ＭＳ Ｐゴシック" w:eastAsia="ＭＳ Ｐゴシック"/>
                <w:color w:val="auto"/>
                <w:sz w:val="18"/>
                <w:highlight w:val="none"/>
              </w:rPr>
              <w:t>%</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58.7%</w:t>
            </w:r>
          </w:p>
        </w:tc>
      </w:tr>
      <w:tr>
        <w:trPr>
          <w:cantSplit/>
          <w:trHeight w:val="159" w:hRule="atLeast"/>
        </w:trPr>
        <w:tc>
          <w:tcPr>
            <w:tcW w:w="463" w:type="dxa"/>
            <w:vMerge w:val="continue"/>
            <w:vAlign w:val="top"/>
          </w:tcPr>
          <w:p>
            <w:pPr>
              <w:pStyle w:val="0"/>
              <w:autoSpaceDE w:val="0"/>
              <w:autoSpaceDN w:val="0"/>
              <w:jc w:val="center"/>
              <w:rPr>
                <w:rFonts w:hint="default" w:ascii="ＭＳ Ｐゴシック" w:hAnsi="ＭＳ Ｐゴシック" w:eastAsia="ＭＳ Ｐゴシック"/>
                <w:sz w:val="18"/>
              </w:rPr>
            </w:pPr>
          </w:p>
        </w:tc>
        <w:tc>
          <w:tcPr>
            <w:tcW w:w="257" w:type="dxa"/>
            <w:vMerge w:val="continue"/>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1081" w:type="dxa"/>
            <w:vMerge w:val="restart"/>
            <w:vAlign w:val="top"/>
          </w:tcPr>
          <w:p>
            <w:pPr>
              <w:pStyle w:val="0"/>
              <w:autoSpaceDE w:val="0"/>
              <w:autoSpaceDN w:val="0"/>
              <w:spacing w:line="240" w:lineRule="exact"/>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75</w:t>
            </w:r>
            <w:r>
              <w:rPr>
                <w:rFonts w:hint="eastAsia" w:ascii="ＭＳ Ｐゴシック" w:hAnsi="ＭＳ Ｐゴシック" w:eastAsia="ＭＳ Ｐゴシック"/>
                <w:color w:val="auto"/>
                <w:sz w:val="18"/>
                <w:highlight w:val="none"/>
              </w:rPr>
              <w:t>歳以上人口</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201 </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200 </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bottom"/>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197</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204</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180</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168</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151</w:t>
            </w:r>
          </w:p>
        </w:tc>
      </w:tr>
      <w:tr>
        <w:trPr>
          <w:cantSplit/>
          <w:trHeight w:val="159" w:hRule="atLeast"/>
        </w:trPr>
        <w:tc>
          <w:tcPr>
            <w:tcW w:w="463" w:type="dxa"/>
            <w:vMerge w:val="continue"/>
            <w:vAlign w:val="top"/>
          </w:tcPr>
          <w:p>
            <w:pPr>
              <w:pStyle w:val="0"/>
              <w:autoSpaceDE w:val="0"/>
              <w:autoSpaceDN w:val="0"/>
              <w:jc w:val="center"/>
              <w:rPr>
                <w:rFonts w:hint="default" w:ascii="ＭＳ Ｐゴシック" w:hAnsi="ＭＳ Ｐゴシック" w:eastAsia="ＭＳ Ｐゴシック"/>
                <w:sz w:val="18"/>
              </w:rPr>
            </w:pPr>
          </w:p>
        </w:tc>
        <w:tc>
          <w:tcPr>
            <w:tcW w:w="257" w:type="dxa"/>
            <w:vMerge w:val="continue"/>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1081" w:type="dxa"/>
            <w:vMerge w:val="continue"/>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33.0%</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34.0%</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34.4%</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36.0</w:t>
            </w:r>
            <w:r>
              <w:rPr>
                <w:rFonts w:hint="default" w:ascii="ＭＳ Ｐゴシック" w:hAnsi="ＭＳ Ｐゴシック" w:eastAsia="ＭＳ Ｐゴシック"/>
                <w:color w:val="auto"/>
                <w:sz w:val="18"/>
                <w:highlight w:val="none"/>
              </w:rPr>
              <w:t>%</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34.8</w:t>
            </w:r>
            <w:r>
              <w:rPr>
                <w:rFonts w:hint="default" w:ascii="ＭＳ Ｐゴシック" w:hAnsi="ＭＳ Ｐゴシック" w:eastAsia="ＭＳ Ｐゴシック"/>
                <w:color w:val="auto"/>
                <w:sz w:val="18"/>
                <w:highlight w:val="none"/>
              </w:rPr>
              <w:t>%</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35.1</w:t>
            </w:r>
            <w:r>
              <w:rPr>
                <w:rFonts w:hint="default" w:ascii="ＭＳ Ｐゴシック" w:hAnsi="ＭＳ Ｐゴシック" w:eastAsia="ＭＳ Ｐゴシック"/>
                <w:color w:val="auto"/>
                <w:sz w:val="18"/>
                <w:highlight w:val="none"/>
              </w:rPr>
              <w:t>%</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35.0%</w:t>
            </w:r>
          </w:p>
        </w:tc>
      </w:tr>
      <w:tr>
        <w:trPr>
          <w:cantSplit/>
          <w:trHeight w:val="159" w:hRule="atLeast"/>
        </w:trPr>
        <w:tc>
          <w:tcPr>
            <w:tcW w:w="463" w:type="dxa"/>
            <w:vMerge w:val="restart"/>
            <w:textDirection w:val="tbRlV"/>
            <w:vAlign w:val="center"/>
          </w:tcPr>
          <w:p>
            <w:pPr>
              <w:pStyle w:val="0"/>
              <w:autoSpaceDE w:val="0"/>
              <w:autoSpaceDN w:val="0"/>
              <w:ind w:left="113" w:right="113"/>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大野</w:t>
            </w:r>
          </w:p>
        </w:tc>
        <w:tc>
          <w:tcPr>
            <w:tcW w:w="1338" w:type="dxa"/>
            <w:gridSpan w:val="2"/>
            <w:tcBorders>
              <w:top w:val="none" w:color="auto" w:sz="0" w:space="0"/>
              <w:left w:val="none" w:color="auto" w:sz="0" w:space="0"/>
              <w:bottom w:val="nil"/>
              <w:right w:val="none" w:color="auto" w:sz="0" w:space="0"/>
              <w:tl2br w:val="none" w:color="auto" w:sz="0" w:space="0"/>
              <w:tr2bl w:val="none" w:color="auto" w:sz="0" w:space="0"/>
            </w:tcBorders>
            <w:vAlign w:val="top"/>
          </w:tcPr>
          <w:p>
            <w:pPr>
              <w:pStyle w:val="0"/>
              <w:autoSpaceDE w:val="0"/>
              <w:autoSpaceDN w:val="0"/>
              <w:spacing w:line="240" w:lineRule="exact"/>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総人口</w:t>
            </w:r>
          </w:p>
        </w:tc>
        <w:tc>
          <w:tcPr>
            <w:tcW w:w="9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29,427 </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29,366 </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29,421</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29,359</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28,981</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28,287</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27,367</w:t>
            </w:r>
          </w:p>
        </w:tc>
      </w:tr>
      <w:tr>
        <w:trPr>
          <w:cantSplit/>
          <w:trHeight w:val="159" w:hRule="atLeast"/>
        </w:trPr>
        <w:tc>
          <w:tcPr>
            <w:tcW w:w="463" w:type="dxa"/>
            <w:vMerge w:val="continue"/>
            <w:vAlign w:val="top"/>
          </w:tcPr>
          <w:p>
            <w:pPr>
              <w:pStyle w:val="0"/>
              <w:autoSpaceDE w:val="0"/>
              <w:autoSpaceDN w:val="0"/>
              <w:jc w:val="center"/>
              <w:rPr>
                <w:rFonts w:hint="default" w:ascii="ＭＳ Ｐゴシック" w:hAnsi="ＭＳ Ｐゴシック" w:eastAsia="ＭＳ Ｐゴシック"/>
                <w:sz w:val="18"/>
              </w:rPr>
            </w:pPr>
          </w:p>
        </w:tc>
        <w:tc>
          <w:tcPr>
            <w:tcW w:w="257" w:type="dxa"/>
            <w:vMerge w:val="restart"/>
            <w:tcBorders>
              <w:top w:val="nil"/>
              <w:left w:val="none" w:color="auto" w:sz="0" w:space="0"/>
              <w:bottom w:val="none" w:color="auto" w:sz="0" w:space="0"/>
              <w:right w:val="none" w:color="auto" w:sz="0" w:space="0"/>
              <w:tl2br w:val="none" w:color="auto" w:sz="0" w:space="0"/>
              <w:tr2bl w:val="none" w:color="auto" w:sz="0" w:space="0"/>
            </w:tcBorders>
            <w:vAlign w:val="top"/>
          </w:tcPr>
          <w:p>
            <w:pPr>
              <w:pStyle w:val="0"/>
              <w:autoSpaceDE w:val="0"/>
              <w:autoSpaceDN w:val="0"/>
              <w:spacing w:line="240" w:lineRule="exact"/>
              <w:jc w:val="center"/>
              <w:rPr>
                <w:rFonts w:hint="default" w:ascii="ＭＳ Ｐゴシック" w:hAnsi="ＭＳ Ｐゴシック" w:eastAsia="ＭＳ Ｐゴシック"/>
                <w:color w:val="auto"/>
                <w:sz w:val="18"/>
                <w:highlight w:val="none"/>
              </w:rPr>
            </w:pPr>
          </w:p>
        </w:tc>
        <w:tc>
          <w:tcPr>
            <w:tcW w:w="1081"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autoSpaceDE w:val="0"/>
              <w:autoSpaceDN w:val="0"/>
              <w:spacing w:line="240" w:lineRule="exact"/>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65</w:t>
            </w:r>
            <w:r>
              <w:rPr>
                <w:rFonts w:hint="eastAsia" w:ascii="ＭＳ Ｐゴシック" w:hAnsi="ＭＳ Ｐゴシック" w:eastAsia="ＭＳ Ｐゴシック"/>
                <w:color w:val="auto"/>
                <w:sz w:val="18"/>
                <w:highlight w:val="none"/>
              </w:rPr>
              <w:t>歳以上人口</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8,914 </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8,955 </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bottom"/>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8,990</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9,019</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8,990</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9,031</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9,297</w:t>
            </w:r>
          </w:p>
        </w:tc>
      </w:tr>
      <w:tr>
        <w:trPr>
          <w:cantSplit/>
          <w:trHeight w:val="159" w:hRule="atLeast"/>
        </w:trPr>
        <w:tc>
          <w:tcPr>
            <w:tcW w:w="463" w:type="dxa"/>
            <w:vMerge w:val="continue"/>
            <w:vAlign w:val="top"/>
          </w:tcPr>
          <w:p>
            <w:pPr>
              <w:pStyle w:val="0"/>
              <w:autoSpaceDE w:val="0"/>
              <w:autoSpaceDN w:val="0"/>
              <w:jc w:val="center"/>
              <w:rPr>
                <w:rFonts w:hint="default" w:ascii="ＭＳ Ｐゴシック" w:hAnsi="ＭＳ Ｐゴシック" w:eastAsia="ＭＳ Ｐゴシック"/>
                <w:sz w:val="18"/>
              </w:rPr>
            </w:pPr>
          </w:p>
        </w:tc>
        <w:tc>
          <w:tcPr>
            <w:tcW w:w="257" w:type="dxa"/>
            <w:vMerge w:val="continue"/>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1081"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30.3%</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30.5%</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30.6%</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30.7</w:t>
            </w:r>
            <w:r>
              <w:rPr>
                <w:rFonts w:hint="default" w:ascii="ＭＳ Ｐゴシック" w:hAnsi="ＭＳ Ｐゴシック" w:eastAsia="ＭＳ Ｐゴシック"/>
                <w:color w:val="auto"/>
                <w:sz w:val="18"/>
                <w:highlight w:val="none"/>
              </w:rPr>
              <w:t>%</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31.0</w:t>
            </w:r>
            <w:r>
              <w:rPr>
                <w:rFonts w:hint="default" w:ascii="ＭＳ Ｐゴシック" w:hAnsi="ＭＳ Ｐゴシック" w:eastAsia="ＭＳ Ｐゴシック"/>
                <w:color w:val="auto"/>
                <w:sz w:val="18"/>
                <w:highlight w:val="none"/>
              </w:rPr>
              <w:t>%</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31.9</w:t>
            </w:r>
            <w:r>
              <w:rPr>
                <w:rFonts w:hint="default" w:ascii="ＭＳ Ｐゴシック" w:hAnsi="ＭＳ Ｐゴシック" w:eastAsia="ＭＳ Ｐゴシック"/>
                <w:color w:val="auto"/>
                <w:sz w:val="18"/>
                <w:highlight w:val="none"/>
              </w:rPr>
              <w:t>%</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34.0%</w:t>
            </w:r>
          </w:p>
        </w:tc>
      </w:tr>
      <w:tr>
        <w:trPr>
          <w:cantSplit/>
          <w:trHeight w:val="159" w:hRule="atLeast"/>
        </w:trPr>
        <w:tc>
          <w:tcPr>
            <w:tcW w:w="463" w:type="dxa"/>
            <w:vMerge w:val="continue"/>
            <w:vAlign w:val="top"/>
          </w:tcPr>
          <w:p>
            <w:pPr>
              <w:pStyle w:val="0"/>
              <w:autoSpaceDE w:val="0"/>
              <w:autoSpaceDN w:val="0"/>
              <w:jc w:val="center"/>
              <w:rPr>
                <w:rFonts w:hint="default" w:ascii="ＭＳ Ｐゴシック" w:hAnsi="ＭＳ Ｐゴシック" w:eastAsia="ＭＳ Ｐゴシック"/>
                <w:sz w:val="18"/>
              </w:rPr>
            </w:pPr>
          </w:p>
        </w:tc>
        <w:tc>
          <w:tcPr>
            <w:tcW w:w="257" w:type="dxa"/>
            <w:vMerge w:val="continue"/>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1081"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autoSpaceDE w:val="0"/>
              <w:autoSpaceDN w:val="0"/>
              <w:spacing w:line="240" w:lineRule="exact"/>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75</w:t>
            </w:r>
            <w:r>
              <w:rPr>
                <w:rFonts w:hint="eastAsia" w:ascii="ＭＳ Ｐゴシック" w:hAnsi="ＭＳ Ｐゴシック" w:eastAsia="ＭＳ Ｐゴシック"/>
                <w:color w:val="auto"/>
                <w:sz w:val="18"/>
                <w:highlight w:val="none"/>
              </w:rPr>
              <w:t>歳以上人口</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4,644 </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4,904 </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bottom"/>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5,118</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5,522</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5,793</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5,650</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5,308</w:t>
            </w:r>
          </w:p>
        </w:tc>
      </w:tr>
      <w:tr>
        <w:trPr>
          <w:cantSplit/>
          <w:trHeight w:val="159" w:hRule="atLeast"/>
        </w:trPr>
        <w:tc>
          <w:tcPr>
            <w:tcW w:w="463" w:type="dxa"/>
            <w:vMerge w:val="continue"/>
            <w:vAlign w:val="top"/>
          </w:tcPr>
          <w:p>
            <w:pPr>
              <w:pStyle w:val="0"/>
              <w:autoSpaceDE w:val="0"/>
              <w:autoSpaceDN w:val="0"/>
              <w:jc w:val="center"/>
              <w:rPr>
                <w:rFonts w:hint="default" w:ascii="ＭＳ Ｐゴシック" w:hAnsi="ＭＳ Ｐゴシック" w:eastAsia="ＭＳ Ｐゴシック"/>
                <w:sz w:val="18"/>
              </w:rPr>
            </w:pPr>
          </w:p>
        </w:tc>
        <w:tc>
          <w:tcPr>
            <w:tcW w:w="257" w:type="dxa"/>
            <w:vMerge w:val="continue"/>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1081"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15.8%</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16.7%</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17.4%</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18.8</w:t>
            </w:r>
            <w:r>
              <w:rPr>
                <w:rFonts w:hint="default" w:ascii="ＭＳ Ｐゴシック" w:hAnsi="ＭＳ Ｐゴシック" w:eastAsia="ＭＳ Ｐゴシック"/>
                <w:color w:val="auto"/>
                <w:sz w:val="18"/>
                <w:highlight w:val="none"/>
              </w:rPr>
              <w:t>%</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20.0</w:t>
            </w:r>
            <w:r>
              <w:rPr>
                <w:rFonts w:hint="default" w:ascii="ＭＳ Ｐゴシック" w:hAnsi="ＭＳ Ｐゴシック" w:eastAsia="ＭＳ Ｐゴシック"/>
                <w:color w:val="auto"/>
                <w:sz w:val="18"/>
                <w:highlight w:val="none"/>
              </w:rPr>
              <w:t>%</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20.0</w:t>
            </w:r>
            <w:r>
              <w:rPr>
                <w:rFonts w:hint="default" w:ascii="ＭＳ Ｐゴシック" w:hAnsi="ＭＳ Ｐゴシック" w:eastAsia="ＭＳ Ｐゴシック"/>
                <w:color w:val="auto"/>
                <w:sz w:val="18"/>
                <w:highlight w:val="none"/>
              </w:rPr>
              <w:t>%</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19.4%</w:t>
            </w:r>
          </w:p>
        </w:tc>
      </w:tr>
      <w:tr>
        <w:trPr>
          <w:cantSplit/>
          <w:trHeight w:val="159" w:hRule="atLeast"/>
        </w:trPr>
        <w:tc>
          <w:tcPr>
            <w:tcW w:w="463" w:type="dxa"/>
            <w:vMerge w:val="restart"/>
            <w:textDirection w:val="tbRlV"/>
            <w:vAlign w:val="center"/>
          </w:tcPr>
          <w:p>
            <w:pPr>
              <w:pStyle w:val="0"/>
              <w:autoSpaceDE w:val="0"/>
              <w:autoSpaceDN w:val="0"/>
              <w:ind w:left="113" w:right="113"/>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宮島</w:t>
            </w:r>
          </w:p>
        </w:tc>
        <w:tc>
          <w:tcPr>
            <w:tcW w:w="1338" w:type="dxa"/>
            <w:gridSpan w:val="2"/>
            <w:tcBorders>
              <w:top w:val="none" w:color="auto" w:sz="0" w:space="0"/>
              <w:left w:val="none" w:color="auto" w:sz="0" w:space="0"/>
              <w:bottom w:val="nil"/>
              <w:right w:val="none" w:color="auto" w:sz="0" w:space="0"/>
              <w:tl2br w:val="none" w:color="auto" w:sz="0" w:space="0"/>
              <w:tr2bl w:val="none" w:color="auto" w:sz="0" w:space="0"/>
            </w:tcBorders>
            <w:vAlign w:val="top"/>
          </w:tcPr>
          <w:p>
            <w:pPr>
              <w:pStyle w:val="0"/>
              <w:autoSpaceDE w:val="0"/>
              <w:autoSpaceDN w:val="0"/>
              <w:spacing w:line="240" w:lineRule="exact"/>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総人口</w:t>
            </w:r>
          </w:p>
        </w:tc>
        <w:tc>
          <w:tcPr>
            <w:tcW w:w="9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1,462 </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1,440 </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1,415</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1,392</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1,322</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1,262</w:t>
            </w:r>
          </w:p>
        </w:tc>
        <w:tc>
          <w:tcPr>
            <w:tcW w:w="9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1,186</w:t>
            </w:r>
          </w:p>
        </w:tc>
      </w:tr>
      <w:tr>
        <w:trPr>
          <w:cantSplit/>
          <w:trHeight w:val="159" w:hRule="atLeast"/>
        </w:trPr>
        <w:tc>
          <w:tcPr>
            <w:tcW w:w="463" w:type="dxa"/>
            <w:vMerge w:val="continue"/>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257" w:type="dxa"/>
            <w:vMerge w:val="restart"/>
            <w:tcBorders>
              <w:top w:val="nil"/>
              <w:left w:val="none" w:color="auto" w:sz="0" w:space="0"/>
              <w:bottom w:val="none" w:color="auto" w:sz="0" w:space="0"/>
              <w:right w:val="none" w:color="auto" w:sz="0" w:space="0"/>
              <w:tl2br w:val="none" w:color="auto" w:sz="0" w:space="0"/>
              <w:tr2bl w:val="none" w:color="auto" w:sz="0" w:space="0"/>
            </w:tcBorders>
            <w:vAlign w:val="top"/>
          </w:tcPr>
          <w:p>
            <w:pPr>
              <w:pStyle w:val="0"/>
              <w:autoSpaceDE w:val="0"/>
              <w:autoSpaceDN w:val="0"/>
              <w:spacing w:line="240" w:lineRule="exact"/>
              <w:jc w:val="center"/>
              <w:rPr>
                <w:rFonts w:hint="default" w:ascii="ＭＳ Ｐゴシック" w:hAnsi="ＭＳ Ｐゴシック" w:eastAsia="ＭＳ Ｐゴシック"/>
                <w:color w:val="auto"/>
                <w:sz w:val="18"/>
                <w:highlight w:val="none"/>
              </w:rPr>
            </w:pPr>
          </w:p>
        </w:tc>
        <w:tc>
          <w:tcPr>
            <w:tcW w:w="1081" w:type="dxa"/>
            <w:vMerge w:val="restart"/>
            <w:vAlign w:val="top"/>
          </w:tcPr>
          <w:p>
            <w:pPr>
              <w:pStyle w:val="0"/>
              <w:autoSpaceDE w:val="0"/>
              <w:autoSpaceDN w:val="0"/>
              <w:spacing w:line="240" w:lineRule="exact"/>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65</w:t>
            </w:r>
            <w:r>
              <w:rPr>
                <w:rFonts w:hint="eastAsia" w:ascii="ＭＳ Ｐゴシック" w:hAnsi="ＭＳ Ｐゴシック" w:eastAsia="ＭＳ Ｐゴシック"/>
                <w:color w:val="auto"/>
                <w:sz w:val="18"/>
                <w:highlight w:val="none"/>
              </w:rPr>
              <w:t>歳以上人口</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701 </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693 </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bottom"/>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676</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660</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581</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510</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462</w:t>
            </w:r>
          </w:p>
        </w:tc>
      </w:tr>
      <w:tr>
        <w:trPr>
          <w:cantSplit/>
          <w:trHeight w:val="159" w:hRule="atLeast"/>
        </w:trPr>
        <w:tc>
          <w:tcPr>
            <w:tcW w:w="463" w:type="dxa"/>
            <w:vMerge w:val="continue"/>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257" w:type="dxa"/>
            <w:vMerge w:val="continue"/>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1081" w:type="dxa"/>
            <w:vMerge w:val="continue"/>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47.9%</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48.1%</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47.8%</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47.4</w:t>
            </w:r>
            <w:r>
              <w:rPr>
                <w:rFonts w:hint="default" w:ascii="ＭＳ Ｐゴシック" w:hAnsi="ＭＳ Ｐゴシック" w:eastAsia="ＭＳ Ｐゴシック"/>
                <w:color w:val="auto"/>
                <w:sz w:val="18"/>
                <w:highlight w:val="none"/>
              </w:rPr>
              <w:t>%</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43.9</w:t>
            </w:r>
            <w:r>
              <w:rPr>
                <w:rFonts w:hint="default" w:ascii="ＭＳ Ｐゴシック" w:hAnsi="ＭＳ Ｐゴシック" w:eastAsia="ＭＳ Ｐゴシック"/>
                <w:color w:val="auto"/>
                <w:sz w:val="18"/>
                <w:highlight w:val="none"/>
              </w:rPr>
              <w:t>%</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40.4</w:t>
            </w:r>
            <w:r>
              <w:rPr>
                <w:rFonts w:hint="default" w:ascii="ＭＳ Ｐゴシック" w:hAnsi="ＭＳ Ｐゴシック" w:eastAsia="ＭＳ Ｐゴシック"/>
                <w:color w:val="auto"/>
                <w:sz w:val="18"/>
                <w:highlight w:val="none"/>
              </w:rPr>
              <w:t>%</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39.0%</w:t>
            </w:r>
          </w:p>
        </w:tc>
      </w:tr>
      <w:tr>
        <w:trPr>
          <w:cantSplit/>
          <w:trHeight w:val="159" w:hRule="atLeast"/>
        </w:trPr>
        <w:tc>
          <w:tcPr>
            <w:tcW w:w="463" w:type="dxa"/>
            <w:vMerge w:val="continue"/>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257" w:type="dxa"/>
            <w:vMerge w:val="continue"/>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1081" w:type="dxa"/>
            <w:vMerge w:val="restart"/>
            <w:vAlign w:val="top"/>
          </w:tcPr>
          <w:p>
            <w:pPr>
              <w:pStyle w:val="0"/>
              <w:autoSpaceDE w:val="0"/>
              <w:autoSpaceDN w:val="0"/>
              <w:spacing w:line="240" w:lineRule="exact"/>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75</w:t>
            </w:r>
            <w:r>
              <w:rPr>
                <w:rFonts w:hint="eastAsia" w:ascii="ＭＳ Ｐゴシック" w:hAnsi="ＭＳ Ｐゴシック" w:eastAsia="ＭＳ Ｐゴシック"/>
                <w:color w:val="auto"/>
                <w:sz w:val="18"/>
                <w:highlight w:val="none"/>
              </w:rPr>
              <w:t>歳以上人口</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421 </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 xml:space="preserve">426 </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bottom"/>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435</w:t>
            </w:r>
          </w:p>
        </w:tc>
        <w:tc>
          <w:tcPr>
            <w:tcW w:w="977"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458</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431</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371</w:t>
            </w:r>
          </w:p>
        </w:tc>
        <w:tc>
          <w:tcPr>
            <w:tcW w:w="977" w:type="dxa"/>
            <w:tcBorders>
              <w:top w:val="single" w:color="auto" w:sz="4" w:space="0"/>
              <w:left w:val="nil"/>
              <w:bottom w:val="nil"/>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300</w:t>
            </w:r>
          </w:p>
        </w:tc>
      </w:tr>
      <w:tr>
        <w:trPr>
          <w:cantSplit/>
          <w:trHeight w:val="159" w:hRule="atLeast"/>
        </w:trPr>
        <w:tc>
          <w:tcPr>
            <w:tcW w:w="463" w:type="dxa"/>
            <w:vMerge w:val="continue"/>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257" w:type="dxa"/>
            <w:vMerge w:val="continue"/>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1081" w:type="dxa"/>
            <w:vMerge w:val="continue"/>
            <w:vAlign w:val="top"/>
          </w:tcPr>
          <w:p>
            <w:pPr>
              <w:pStyle w:val="0"/>
              <w:autoSpaceDE w:val="0"/>
              <w:autoSpaceDN w:val="0"/>
              <w:spacing w:line="240" w:lineRule="exact"/>
              <w:jc w:val="center"/>
              <w:rPr>
                <w:rFonts w:hint="default" w:ascii="ＭＳ Ｐゴシック" w:hAnsi="ＭＳ Ｐゴシック" w:eastAsia="ＭＳ Ｐゴシック"/>
                <w:sz w:val="18"/>
              </w:rPr>
            </w:pP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28.8%</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29.6%</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30.7%</w:t>
            </w:r>
          </w:p>
        </w:tc>
        <w:tc>
          <w:tcPr>
            <w:tcW w:w="9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32.9</w:t>
            </w:r>
            <w:r>
              <w:rPr>
                <w:rFonts w:hint="default" w:ascii="ＭＳ Ｐゴシック" w:hAnsi="ＭＳ Ｐゴシック" w:eastAsia="ＭＳ Ｐゴシック"/>
                <w:color w:val="auto"/>
                <w:sz w:val="18"/>
                <w:highlight w:val="none"/>
              </w:rPr>
              <w:t>%</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32.6</w:t>
            </w:r>
            <w:r>
              <w:rPr>
                <w:rFonts w:hint="default" w:ascii="ＭＳ Ｐゴシック" w:hAnsi="ＭＳ Ｐゴシック" w:eastAsia="ＭＳ Ｐゴシック"/>
                <w:color w:val="auto"/>
                <w:sz w:val="18"/>
                <w:highlight w:val="none"/>
              </w:rPr>
              <w:t>%</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29.4</w:t>
            </w:r>
            <w:r>
              <w:rPr>
                <w:rFonts w:hint="default" w:ascii="ＭＳ Ｐゴシック" w:hAnsi="ＭＳ Ｐゴシック" w:eastAsia="ＭＳ Ｐゴシック"/>
                <w:color w:val="auto"/>
                <w:sz w:val="18"/>
                <w:highlight w:val="none"/>
              </w:rPr>
              <w:t>%</w:t>
            </w:r>
          </w:p>
        </w:tc>
        <w:tc>
          <w:tcPr>
            <w:tcW w:w="977" w:type="dxa"/>
            <w:tcBorders>
              <w:top w:val="nil"/>
              <w:left w:val="nil"/>
              <w:bottom w:val="single" w:color="auto" w:sz="4" w:space="0"/>
              <w:right w:val="single" w:color="auto" w:sz="4" w:space="0"/>
              <w:tl2br w:val="none" w:color="auto" w:sz="0" w:space="0"/>
              <w:tr2bl w:val="none" w:color="auto" w:sz="0" w:space="0"/>
            </w:tcBorders>
            <w:shd w:val="clear" w:color="auto" w:fill="auto"/>
            <w:vAlign w:val="top"/>
          </w:tcPr>
          <w:p>
            <w:pPr>
              <w:pStyle w:val="0"/>
              <w:autoSpaceDE w:val="0"/>
              <w:autoSpaceDN w:val="0"/>
              <w:spacing w:line="22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25.3%</w:t>
            </w:r>
          </w:p>
        </w:tc>
      </w:tr>
    </w:tbl>
    <w:p>
      <w:pPr>
        <w:pStyle w:val="0"/>
        <w:widowControl w:val="1"/>
        <w:autoSpaceDE w:val="0"/>
        <w:autoSpaceDN w:val="0"/>
        <w:spacing w:before="74" w:beforeLines="20" w:beforeAutospacing="0" w:line="220" w:lineRule="exact"/>
        <w:ind w:left="850" w:leftChars="182" w:hanging="450" w:hangingChars="250"/>
        <w:jc w:val="left"/>
        <w:rPr>
          <w:rFonts w:hint="default"/>
          <w:color w:val="auto"/>
          <w:highlight w:val="none"/>
        </w:rPr>
      </w:pPr>
      <w:r>
        <w:rPr>
          <w:rFonts w:hint="eastAsia"/>
          <w:color w:val="auto"/>
          <w:sz w:val="18"/>
          <w:highlight w:val="none"/>
        </w:rPr>
        <w:t>資料：令和３年から令和５</w:t>
      </w:r>
      <w:r>
        <w:rPr>
          <w:rFonts w:hint="default"/>
          <w:color w:val="auto"/>
          <w:sz w:val="18"/>
          <w:highlight w:val="none"/>
        </w:rPr>
        <w:t>年住民基本台帳人口（</w:t>
      </w:r>
      <w:r>
        <w:rPr>
          <w:rFonts w:hint="default"/>
          <w:color w:val="auto"/>
          <w:sz w:val="18"/>
          <w:highlight w:val="none"/>
        </w:rPr>
        <w:t>10</w:t>
      </w:r>
      <w:r>
        <w:rPr>
          <w:rFonts w:hint="default"/>
          <w:color w:val="auto"/>
          <w:sz w:val="18"/>
          <w:highlight w:val="none"/>
        </w:rPr>
        <w:t>月</w:t>
      </w:r>
      <w:r>
        <w:rPr>
          <w:rFonts w:hint="eastAsia"/>
          <w:color w:val="auto"/>
          <w:sz w:val="18"/>
          <w:highlight w:val="none"/>
        </w:rPr>
        <w:t>１</w:t>
      </w:r>
      <w:r>
        <w:rPr>
          <w:rFonts w:hint="default"/>
          <w:color w:val="auto"/>
          <w:sz w:val="18"/>
          <w:highlight w:val="none"/>
        </w:rPr>
        <w:t>日現在）・令和</w:t>
      </w:r>
      <w:r>
        <w:rPr>
          <w:rFonts w:hint="eastAsia"/>
          <w:color w:val="auto"/>
          <w:sz w:val="18"/>
          <w:highlight w:val="none"/>
        </w:rPr>
        <w:t>７</w:t>
      </w:r>
      <w:r>
        <w:rPr>
          <w:rFonts w:hint="default"/>
          <w:color w:val="auto"/>
          <w:sz w:val="18"/>
          <w:highlight w:val="none"/>
        </w:rPr>
        <w:t>年</w:t>
      </w:r>
      <w:r>
        <w:rPr>
          <w:rFonts w:hint="eastAsia"/>
          <w:color w:val="auto"/>
          <w:sz w:val="18"/>
          <w:highlight w:val="none"/>
        </w:rPr>
        <w:t>から</w:t>
      </w:r>
      <w:r>
        <w:rPr>
          <w:rFonts w:hint="default"/>
          <w:color w:val="auto"/>
          <w:sz w:val="18"/>
          <w:highlight w:val="none"/>
        </w:rPr>
        <w:t>住民基本台帳人口を基として推計した圏域別人口割合を市全体の推計値に按分して算出</w:t>
      </w:r>
      <w:r>
        <w:rPr>
          <w:rFonts w:hint="default"/>
          <w:color w:val="auto"/>
          <w:highlight w:val="none"/>
        </w:rPr>
        <w:br w:type="page"/>
      </w:r>
    </w:p>
    <w:p>
      <w:pPr>
        <w:pStyle w:val="26"/>
        <w:spacing w:after="76" w:afterLines="0" w:afterAutospacing="0"/>
        <w:rPr>
          <w:rFonts w:hint="default"/>
          <w:color w:val="auto"/>
          <w:highlight w:val="none"/>
        </w:rPr>
      </w:pPr>
      <w:bookmarkStart w:id="38" w:name="_Toc150813510"/>
      <w:bookmarkStart w:id="39" w:name="_Toc152160624"/>
      <w:r>
        <w:rPr>
          <w:rFonts w:hint="default"/>
          <w:color w:val="auto"/>
          <w:highlight w:val="none"/>
        </w:rPr>
        <w:t>（</w:t>
      </w:r>
      <w:r>
        <w:rPr>
          <w:rFonts w:hint="eastAsia"/>
          <w:color w:val="auto"/>
          <w:highlight w:val="none"/>
        </w:rPr>
        <w:t>３</w:t>
      </w:r>
      <w:r>
        <w:rPr>
          <w:rFonts w:hint="default"/>
          <w:color w:val="auto"/>
          <w:highlight w:val="none"/>
        </w:rPr>
        <w:t>）</w:t>
      </w:r>
      <w:r>
        <w:rPr>
          <w:rFonts w:hint="eastAsia"/>
          <w:color w:val="auto"/>
          <w:highlight w:val="none"/>
        </w:rPr>
        <w:t>日常生活圏域別の介護サービス事業所数</w:t>
      </w:r>
      <w:bookmarkEnd w:id="38"/>
      <w:bookmarkEnd w:id="39"/>
    </w:p>
    <w:p>
      <w:pPr>
        <w:pStyle w:val="0"/>
        <w:autoSpaceDE w:val="0"/>
        <w:autoSpaceDN w:val="0"/>
        <w:spacing w:before="185" w:beforeLines="50" w:beforeAutospacing="0" w:after="74" w:afterLines="20" w:afterAutospacing="0" w:line="380" w:lineRule="exact"/>
        <w:ind w:left="425" w:leftChars="193"/>
        <w:jc w:val="center"/>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図表　日常生活圏域別介護サービス事業所数（令和５年４月１日現在）</w:t>
      </w:r>
    </w:p>
    <w:tbl>
      <w:tblPr>
        <w:tblStyle w:val="81"/>
        <w:tblW w:w="8640" w:type="dxa"/>
        <w:tblInd w:w="421" w:type="dxa"/>
        <w:tblLayout w:type="fixed"/>
        <w:tblLook w:firstRow="1" w:lastRow="0" w:firstColumn="1" w:lastColumn="0" w:noHBand="0" w:noVBand="1" w:val="04A0"/>
      </w:tblPr>
      <w:tblGrid>
        <w:gridCol w:w="850"/>
        <w:gridCol w:w="2410"/>
        <w:gridCol w:w="672"/>
        <w:gridCol w:w="702"/>
        <w:gridCol w:w="643"/>
        <w:gridCol w:w="673"/>
        <w:gridCol w:w="672"/>
        <w:gridCol w:w="673"/>
        <w:gridCol w:w="672"/>
        <w:gridCol w:w="673"/>
      </w:tblGrid>
      <w:tr>
        <w:trPr/>
        <w:tc>
          <w:tcPr>
            <w:tcW w:w="850"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CCECFF"/>
            <w:vAlign w:val="top"/>
          </w:tcPr>
          <w:p>
            <w:pPr>
              <w:pStyle w:val="0"/>
              <w:spacing w:line="260" w:lineRule="exact"/>
              <w:ind w:left="440"/>
              <w:jc w:val="center"/>
              <w:rPr>
                <w:rFonts w:hint="default" w:ascii="ＭＳ Ｐゴシック" w:hAnsi="ＭＳ Ｐゴシック" w:eastAsia="ＭＳ Ｐゴシック"/>
                <w:color w:val="auto"/>
                <w:highlight w:val="none"/>
              </w:rPr>
            </w:pPr>
          </w:p>
        </w:tc>
        <w:tc>
          <w:tcPr>
            <w:tcW w:w="24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CCECFF"/>
            <w:vAlign w:val="top"/>
          </w:tcPr>
          <w:p>
            <w:pPr>
              <w:pStyle w:val="0"/>
              <w:spacing w:line="260" w:lineRule="exact"/>
              <w:ind w:left="440"/>
              <w:jc w:val="center"/>
              <w:rPr>
                <w:rFonts w:hint="default" w:ascii="ＭＳ Ｐゴシック" w:hAnsi="ＭＳ Ｐゴシック" w:eastAsia="ＭＳ Ｐゴシック"/>
                <w:color w:val="auto"/>
                <w:highlight w:val="none"/>
              </w:rPr>
            </w:pPr>
          </w:p>
        </w:tc>
        <w:tc>
          <w:tcPr>
            <w:tcW w:w="6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spacing w:line="240" w:lineRule="exact"/>
              <w:ind w:left="-110" w:leftChars="-50" w:right="-110" w:rightChars="-50"/>
              <w:jc w:val="center"/>
              <w:rPr>
                <w:rFonts w:hint="default" w:ascii="ＭＳ Ｐゴシック" w:hAnsi="ＭＳ Ｐゴシック" w:eastAsia="ＭＳ Ｐゴシック"/>
                <w:color w:val="auto"/>
                <w:kern w:val="0"/>
                <w:sz w:val="18"/>
                <w:highlight w:val="none"/>
              </w:rPr>
            </w:pPr>
            <w:r>
              <w:rPr>
                <w:rFonts w:hint="eastAsia" w:ascii="ＭＳ Ｐゴシック" w:hAnsi="ＭＳ Ｐゴシック" w:eastAsia="ＭＳ Ｐゴシック"/>
                <w:color w:val="auto"/>
                <w:kern w:val="24"/>
                <w:sz w:val="18"/>
                <w:highlight w:val="none"/>
              </w:rPr>
              <w:t>廿日市</w:t>
            </w:r>
          </w:p>
          <w:p>
            <w:pPr>
              <w:pStyle w:val="0"/>
              <w:spacing w:line="240" w:lineRule="exact"/>
              <w:ind w:left="-110" w:leftChars="-50" w:right="-110" w:rightChars="-50"/>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kern w:val="24"/>
                <w:sz w:val="18"/>
                <w:highlight w:val="none"/>
              </w:rPr>
              <w:t>東部</w:t>
            </w:r>
          </w:p>
        </w:tc>
        <w:tc>
          <w:tcPr>
            <w:tcW w:w="7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spacing w:line="240" w:lineRule="exact"/>
              <w:ind w:left="-110" w:leftChars="-50" w:right="-110" w:rightChars="-50"/>
              <w:jc w:val="center"/>
              <w:rPr>
                <w:rFonts w:hint="default" w:ascii="ＭＳ Ｐゴシック" w:hAnsi="ＭＳ Ｐゴシック" w:eastAsia="ＭＳ Ｐゴシック"/>
                <w:color w:val="auto"/>
                <w:kern w:val="0"/>
                <w:sz w:val="18"/>
                <w:highlight w:val="none"/>
              </w:rPr>
            </w:pPr>
            <w:r>
              <w:rPr>
                <w:rFonts w:hint="eastAsia" w:ascii="ＭＳ Ｐゴシック" w:hAnsi="ＭＳ Ｐゴシック" w:eastAsia="ＭＳ Ｐゴシック"/>
                <w:color w:val="auto"/>
                <w:kern w:val="24"/>
                <w:sz w:val="18"/>
                <w:highlight w:val="none"/>
              </w:rPr>
              <w:t>廿日市</w:t>
            </w:r>
          </w:p>
          <w:p>
            <w:pPr>
              <w:pStyle w:val="0"/>
              <w:spacing w:line="240" w:lineRule="exact"/>
              <w:ind w:left="-110" w:leftChars="-50" w:right="-110" w:rightChars="-50"/>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kern w:val="24"/>
                <w:sz w:val="18"/>
                <w:highlight w:val="none"/>
              </w:rPr>
              <w:t>中部</w:t>
            </w:r>
          </w:p>
        </w:tc>
        <w:tc>
          <w:tcPr>
            <w:tcW w:w="64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spacing w:line="240" w:lineRule="exact"/>
              <w:ind w:left="-110" w:leftChars="-50" w:right="-110" w:rightChars="-50"/>
              <w:jc w:val="center"/>
              <w:rPr>
                <w:rFonts w:hint="default" w:ascii="ＭＳ Ｐゴシック" w:hAnsi="ＭＳ Ｐゴシック" w:eastAsia="ＭＳ Ｐゴシック"/>
                <w:color w:val="auto"/>
                <w:kern w:val="0"/>
                <w:sz w:val="18"/>
                <w:highlight w:val="none"/>
              </w:rPr>
            </w:pPr>
            <w:r>
              <w:rPr>
                <w:rFonts w:hint="eastAsia" w:ascii="ＭＳ Ｐゴシック" w:hAnsi="ＭＳ Ｐゴシック" w:eastAsia="ＭＳ Ｐゴシック"/>
                <w:color w:val="auto"/>
                <w:kern w:val="24"/>
                <w:sz w:val="18"/>
                <w:highlight w:val="none"/>
              </w:rPr>
              <w:t>廿日市</w:t>
            </w:r>
          </w:p>
          <w:p>
            <w:pPr>
              <w:pStyle w:val="0"/>
              <w:spacing w:line="240" w:lineRule="exact"/>
              <w:ind w:left="-110" w:leftChars="-50" w:right="-110" w:rightChars="-50"/>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kern w:val="24"/>
                <w:sz w:val="18"/>
                <w:highlight w:val="none"/>
              </w:rPr>
              <w:t>西部</w:t>
            </w:r>
          </w:p>
        </w:tc>
        <w:tc>
          <w:tcPr>
            <w:tcW w:w="67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CCECFF"/>
            <w:vAlign w:val="center"/>
          </w:tcPr>
          <w:p>
            <w:pPr>
              <w:pStyle w:val="0"/>
              <w:spacing w:line="240" w:lineRule="exact"/>
              <w:ind w:left="-110" w:leftChars="-50" w:right="-110" w:rightChars="-50"/>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kern w:val="24"/>
                <w:sz w:val="18"/>
                <w:highlight w:val="none"/>
              </w:rPr>
              <w:t>佐伯</w:t>
            </w:r>
          </w:p>
        </w:tc>
        <w:tc>
          <w:tcPr>
            <w:tcW w:w="6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CCECFF"/>
            <w:vAlign w:val="center"/>
          </w:tcPr>
          <w:p>
            <w:pPr>
              <w:pStyle w:val="0"/>
              <w:spacing w:line="240" w:lineRule="exact"/>
              <w:ind w:left="-110" w:leftChars="-50" w:right="-110" w:rightChars="-50"/>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kern w:val="24"/>
                <w:sz w:val="18"/>
                <w:highlight w:val="none"/>
              </w:rPr>
              <w:t>吉和</w:t>
            </w:r>
          </w:p>
        </w:tc>
        <w:tc>
          <w:tcPr>
            <w:tcW w:w="67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CCECFF"/>
            <w:vAlign w:val="center"/>
          </w:tcPr>
          <w:p>
            <w:pPr>
              <w:pStyle w:val="0"/>
              <w:spacing w:line="240" w:lineRule="exact"/>
              <w:ind w:left="-110" w:leftChars="-50" w:right="-110" w:rightChars="-50"/>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kern w:val="24"/>
                <w:sz w:val="18"/>
                <w:highlight w:val="none"/>
              </w:rPr>
              <w:t>大野</w:t>
            </w:r>
          </w:p>
        </w:tc>
        <w:tc>
          <w:tcPr>
            <w:tcW w:w="6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CCECFF"/>
            <w:vAlign w:val="center"/>
          </w:tcPr>
          <w:p>
            <w:pPr>
              <w:pStyle w:val="0"/>
              <w:spacing w:line="240" w:lineRule="exact"/>
              <w:ind w:left="-110" w:leftChars="-50" w:right="-110" w:rightChars="-50"/>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kern w:val="24"/>
                <w:sz w:val="18"/>
                <w:highlight w:val="none"/>
              </w:rPr>
              <w:t>宮島</w:t>
            </w:r>
          </w:p>
        </w:tc>
        <w:tc>
          <w:tcPr>
            <w:tcW w:w="67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CCECFF"/>
            <w:vAlign w:val="center"/>
          </w:tcPr>
          <w:p>
            <w:pPr>
              <w:pStyle w:val="0"/>
              <w:spacing w:line="240" w:lineRule="exact"/>
              <w:ind w:left="-110" w:leftChars="-50" w:right="-110" w:rightChars="-50"/>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kern w:val="24"/>
                <w:sz w:val="18"/>
                <w:highlight w:val="none"/>
              </w:rPr>
              <w:t>計</w:t>
            </w:r>
          </w:p>
        </w:tc>
      </w:tr>
      <w:tr>
        <w:trPr>
          <w:cantSplit/>
          <w:trHeight w:val="397" w:hRule="atLeast"/>
        </w:trPr>
        <w:tc>
          <w:tcPr>
            <w:tcW w:w="850"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themeFill="accent1" w:themeFillTint="33" w:themeFillShade="FF"/>
            <w:textDirection w:val="tbRlV"/>
            <w:vAlign w:val="center"/>
          </w:tcPr>
          <w:p>
            <w:pPr>
              <w:pStyle w:val="0"/>
              <w:ind w:left="-44" w:leftChars="-20" w:right="-44" w:rightChars="-2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介護（介護予防）サービス</w:t>
            </w:r>
          </w:p>
        </w:tc>
        <w:tc>
          <w:tcPr>
            <w:tcW w:w="2410" w:type="dxa"/>
            <w:tcBorders>
              <w:top w:val="nil"/>
              <w:left w:val="nil"/>
              <w:bottom w:val="single" w:color="000000" w:sz="4" w:space="0"/>
              <w:right w:val="single" w:color="000000" w:sz="4" w:space="0"/>
              <w:tl2br w:val="none" w:color="auto" w:sz="0" w:space="0"/>
              <w:tr2bl w:val="none" w:color="auto" w:sz="0" w:space="0"/>
            </w:tcBorders>
            <w:shd w:val="clear" w:color="auto" w:themeFill="accent1" w:themeFillTint="33" w:themeFillShade="FF"/>
            <w:vAlign w:val="center"/>
          </w:tcPr>
          <w:p>
            <w:pPr>
              <w:pStyle w:val="0"/>
              <w:spacing w:line="260" w:lineRule="exact"/>
              <w:ind w:left="-44" w:leftChars="-20" w:right="-44" w:rightChars="-2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居宅介護支援</w:t>
            </w:r>
          </w:p>
        </w:tc>
        <w:tc>
          <w:tcPr>
            <w:tcW w:w="672"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10</w:t>
            </w:r>
          </w:p>
        </w:tc>
        <w:tc>
          <w:tcPr>
            <w:tcW w:w="702"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6</w:t>
            </w:r>
          </w:p>
        </w:tc>
        <w:tc>
          <w:tcPr>
            <w:tcW w:w="643"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6</w:t>
            </w:r>
          </w:p>
        </w:tc>
        <w:tc>
          <w:tcPr>
            <w:tcW w:w="673"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3</w:t>
            </w:r>
          </w:p>
        </w:tc>
        <w:tc>
          <w:tcPr>
            <w:tcW w:w="672"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8</w:t>
            </w:r>
          </w:p>
        </w:tc>
        <w:tc>
          <w:tcPr>
            <w:tcW w:w="672"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34</w:t>
            </w:r>
          </w:p>
        </w:tc>
      </w:tr>
      <w:tr>
        <w:trPr>
          <w:cantSplit/>
          <w:trHeight w:val="397" w:hRule="atLeast"/>
        </w:trPr>
        <w:tc>
          <w:tcPr>
            <w:tcW w:w="850" w:type="dxa"/>
            <w:vMerge w:val="continue"/>
            <w:shd w:val="clear" w:color="auto" w:themeFill="accent1" w:themeFillTint="33" w:themeFillShade="FF"/>
            <w:textDirection w:val="tbRlV"/>
            <w:vAlign w:val="center"/>
          </w:tcPr>
          <w:p>
            <w:pPr>
              <w:pStyle w:val="0"/>
              <w:rPr>
                <w:rFonts w:hint="default" w:ascii="ＭＳ Ｐゴシック" w:hAnsi="ＭＳ Ｐゴシック" w:eastAsia="ＭＳ Ｐゴシック"/>
              </w:rPr>
            </w:pPr>
          </w:p>
        </w:tc>
        <w:tc>
          <w:tcPr>
            <w:tcW w:w="2410" w:type="dxa"/>
            <w:tcBorders>
              <w:top w:val="nil"/>
              <w:left w:val="nil"/>
              <w:bottom w:val="single" w:color="000000" w:sz="4" w:space="0"/>
              <w:right w:val="single" w:color="000000" w:sz="4" w:space="0"/>
              <w:tl2br w:val="none" w:color="auto" w:sz="0" w:space="0"/>
              <w:tr2bl w:val="none" w:color="auto" w:sz="0" w:space="0"/>
            </w:tcBorders>
            <w:shd w:val="clear" w:color="auto" w:themeFill="accent1" w:themeFillTint="33" w:themeFillShade="FF"/>
            <w:vAlign w:val="center"/>
          </w:tcPr>
          <w:p>
            <w:pPr>
              <w:pStyle w:val="0"/>
              <w:spacing w:line="260" w:lineRule="exact"/>
              <w:ind w:left="-44" w:leftChars="-20" w:right="-44" w:rightChars="-2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訪問介護</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10</w:t>
            </w:r>
          </w:p>
        </w:tc>
        <w:tc>
          <w:tcPr>
            <w:tcW w:w="70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4</w:t>
            </w:r>
          </w:p>
        </w:tc>
        <w:tc>
          <w:tcPr>
            <w:tcW w:w="64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7</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5</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28</w:t>
            </w:r>
          </w:p>
        </w:tc>
      </w:tr>
      <w:tr>
        <w:trPr>
          <w:cantSplit/>
          <w:trHeight w:val="397" w:hRule="atLeast"/>
        </w:trPr>
        <w:tc>
          <w:tcPr>
            <w:tcW w:w="850" w:type="dxa"/>
            <w:vMerge w:val="continue"/>
            <w:shd w:val="clear" w:color="auto" w:themeFill="accent1" w:themeFillTint="33" w:themeFillShade="FF"/>
            <w:textDirection w:val="tbRlV"/>
            <w:vAlign w:val="center"/>
          </w:tcPr>
          <w:p>
            <w:pPr>
              <w:pStyle w:val="0"/>
              <w:rPr>
                <w:rFonts w:hint="default" w:ascii="ＭＳ Ｐゴシック" w:hAnsi="ＭＳ Ｐゴシック" w:eastAsia="ＭＳ Ｐゴシック"/>
              </w:rPr>
            </w:pPr>
          </w:p>
        </w:tc>
        <w:tc>
          <w:tcPr>
            <w:tcW w:w="2410" w:type="dxa"/>
            <w:tcBorders>
              <w:top w:val="nil"/>
              <w:left w:val="nil"/>
              <w:bottom w:val="single" w:color="000000" w:sz="4" w:space="0"/>
              <w:right w:val="single" w:color="000000" w:sz="4" w:space="0"/>
              <w:tl2br w:val="none" w:color="auto" w:sz="0" w:space="0"/>
              <w:tr2bl w:val="none" w:color="auto" w:sz="0" w:space="0"/>
            </w:tcBorders>
            <w:shd w:val="clear" w:color="auto" w:themeFill="accent1" w:themeFillTint="33" w:themeFillShade="FF"/>
            <w:vAlign w:val="center"/>
          </w:tcPr>
          <w:p>
            <w:pPr>
              <w:pStyle w:val="0"/>
              <w:spacing w:line="260" w:lineRule="exact"/>
              <w:ind w:left="-44" w:leftChars="-20" w:right="-44" w:rightChars="-2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訪問入浴介護</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70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4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r>
      <w:tr>
        <w:trPr>
          <w:cantSplit/>
          <w:trHeight w:val="397" w:hRule="atLeast"/>
        </w:trPr>
        <w:tc>
          <w:tcPr>
            <w:tcW w:w="850" w:type="dxa"/>
            <w:vMerge w:val="continue"/>
            <w:shd w:val="clear" w:color="auto" w:themeFill="accent1" w:themeFillTint="33" w:themeFillShade="FF"/>
            <w:textDirection w:val="tbRlV"/>
            <w:vAlign w:val="center"/>
          </w:tcPr>
          <w:p>
            <w:pPr>
              <w:pStyle w:val="0"/>
              <w:rPr>
                <w:rFonts w:hint="default" w:ascii="ＭＳ Ｐゴシック" w:hAnsi="ＭＳ Ｐゴシック" w:eastAsia="ＭＳ Ｐゴシック"/>
              </w:rPr>
            </w:pPr>
          </w:p>
        </w:tc>
        <w:tc>
          <w:tcPr>
            <w:tcW w:w="2410" w:type="dxa"/>
            <w:tcBorders>
              <w:top w:val="nil"/>
              <w:left w:val="nil"/>
              <w:bottom w:val="single" w:color="000000" w:sz="4" w:space="0"/>
              <w:right w:val="single" w:color="000000" w:sz="4" w:space="0"/>
              <w:tl2br w:val="none" w:color="auto" w:sz="0" w:space="0"/>
              <w:tr2bl w:val="none" w:color="auto" w:sz="0" w:space="0"/>
            </w:tcBorders>
            <w:shd w:val="clear" w:color="auto" w:themeFill="accent1" w:themeFillTint="33" w:themeFillShade="FF"/>
            <w:vAlign w:val="center"/>
          </w:tcPr>
          <w:p>
            <w:pPr>
              <w:pStyle w:val="0"/>
              <w:spacing w:line="260" w:lineRule="exact"/>
              <w:ind w:left="-44" w:leftChars="-20" w:right="-44" w:rightChars="-2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訪問看護</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5</w:t>
            </w:r>
          </w:p>
        </w:tc>
        <w:tc>
          <w:tcPr>
            <w:tcW w:w="70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4</w:t>
            </w:r>
          </w:p>
        </w:tc>
        <w:tc>
          <w:tcPr>
            <w:tcW w:w="64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3</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4</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17</w:t>
            </w:r>
          </w:p>
        </w:tc>
      </w:tr>
      <w:tr>
        <w:trPr>
          <w:cantSplit/>
          <w:trHeight w:val="397" w:hRule="atLeast"/>
        </w:trPr>
        <w:tc>
          <w:tcPr>
            <w:tcW w:w="850" w:type="dxa"/>
            <w:vMerge w:val="continue"/>
            <w:shd w:val="clear" w:color="auto" w:themeFill="accent1" w:themeFillTint="33" w:themeFillShade="FF"/>
            <w:textDirection w:val="tbRlV"/>
            <w:vAlign w:val="center"/>
          </w:tcPr>
          <w:p>
            <w:pPr>
              <w:pStyle w:val="0"/>
              <w:rPr>
                <w:rFonts w:hint="default" w:ascii="ＭＳ Ｐゴシック" w:hAnsi="ＭＳ Ｐゴシック" w:eastAsia="ＭＳ Ｐゴシック"/>
              </w:rPr>
            </w:pPr>
          </w:p>
        </w:tc>
        <w:tc>
          <w:tcPr>
            <w:tcW w:w="2410" w:type="dxa"/>
            <w:tcBorders>
              <w:top w:val="nil"/>
              <w:left w:val="nil"/>
              <w:bottom w:val="single" w:color="000000" w:sz="4" w:space="0"/>
              <w:right w:val="single" w:color="000000" w:sz="4" w:space="0"/>
              <w:tl2br w:val="none" w:color="auto" w:sz="0" w:space="0"/>
              <w:tr2bl w:val="none" w:color="auto" w:sz="0" w:space="0"/>
            </w:tcBorders>
            <w:shd w:val="clear" w:color="auto" w:themeFill="accent1" w:themeFillTint="33" w:themeFillShade="FF"/>
            <w:vAlign w:val="center"/>
          </w:tcPr>
          <w:p>
            <w:pPr>
              <w:pStyle w:val="0"/>
              <w:spacing w:line="260" w:lineRule="exact"/>
              <w:ind w:left="-44" w:leftChars="-20" w:right="-44" w:rightChars="-2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訪問リハビリテーション</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70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4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3</w:t>
            </w:r>
          </w:p>
        </w:tc>
      </w:tr>
      <w:tr>
        <w:trPr>
          <w:cantSplit/>
          <w:trHeight w:val="397" w:hRule="atLeast"/>
        </w:trPr>
        <w:tc>
          <w:tcPr>
            <w:tcW w:w="850" w:type="dxa"/>
            <w:vMerge w:val="continue"/>
            <w:shd w:val="clear" w:color="auto" w:themeFill="accent1" w:themeFillTint="33" w:themeFillShade="FF"/>
            <w:textDirection w:val="tbRlV"/>
            <w:vAlign w:val="center"/>
          </w:tcPr>
          <w:p>
            <w:pPr>
              <w:pStyle w:val="0"/>
              <w:rPr>
                <w:rFonts w:hint="default" w:ascii="ＭＳ Ｐゴシック" w:hAnsi="ＭＳ Ｐゴシック" w:eastAsia="ＭＳ Ｐゴシック"/>
              </w:rPr>
            </w:pPr>
          </w:p>
        </w:tc>
        <w:tc>
          <w:tcPr>
            <w:tcW w:w="2410" w:type="dxa"/>
            <w:tcBorders>
              <w:top w:val="nil"/>
              <w:left w:val="nil"/>
              <w:bottom w:val="single" w:color="000000" w:sz="4" w:space="0"/>
              <w:right w:val="single" w:color="000000" w:sz="4" w:space="0"/>
              <w:tl2br w:val="none" w:color="auto" w:sz="0" w:space="0"/>
              <w:tr2bl w:val="none" w:color="auto" w:sz="0" w:space="0"/>
            </w:tcBorders>
            <w:shd w:val="clear" w:color="auto" w:themeFill="accent1" w:themeFillTint="33" w:themeFillShade="FF"/>
            <w:vAlign w:val="center"/>
          </w:tcPr>
          <w:p>
            <w:pPr>
              <w:pStyle w:val="0"/>
              <w:spacing w:line="260" w:lineRule="exact"/>
              <w:ind w:left="-44" w:leftChars="-20" w:right="-44" w:rightChars="-2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通所介護</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6</w:t>
            </w:r>
          </w:p>
        </w:tc>
        <w:tc>
          <w:tcPr>
            <w:tcW w:w="70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4</w:t>
            </w:r>
          </w:p>
        </w:tc>
        <w:tc>
          <w:tcPr>
            <w:tcW w:w="64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5</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4</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21</w:t>
            </w:r>
          </w:p>
        </w:tc>
      </w:tr>
      <w:tr>
        <w:trPr>
          <w:cantSplit/>
          <w:trHeight w:val="397" w:hRule="atLeast"/>
        </w:trPr>
        <w:tc>
          <w:tcPr>
            <w:tcW w:w="850" w:type="dxa"/>
            <w:vMerge w:val="continue"/>
            <w:shd w:val="clear" w:color="auto" w:themeFill="accent1" w:themeFillTint="33" w:themeFillShade="FF"/>
            <w:textDirection w:val="tbRlV"/>
            <w:vAlign w:val="center"/>
          </w:tcPr>
          <w:p>
            <w:pPr>
              <w:pStyle w:val="0"/>
              <w:rPr>
                <w:rFonts w:hint="default" w:ascii="ＭＳ Ｐゴシック" w:hAnsi="ＭＳ Ｐゴシック" w:eastAsia="ＭＳ Ｐゴシック"/>
              </w:rPr>
            </w:pPr>
          </w:p>
        </w:tc>
        <w:tc>
          <w:tcPr>
            <w:tcW w:w="2410" w:type="dxa"/>
            <w:tcBorders>
              <w:top w:val="nil"/>
              <w:left w:val="nil"/>
              <w:bottom w:val="single" w:color="000000" w:sz="4" w:space="0"/>
              <w:right w:val="single" w:color="000000" w:sz="4" w:space="0"/>
              <w:tl2br w:val="none" w:color="auto" w:sz="0" w:space="0"/>
              <w:tr2bl w:val="none" w:color="auto" w:sz="0" w:space="0"/>
            </w:tcBorders>
            <w:shd w:val="clear" w:color="auto" w:themeFill="accent1" w:themeFillTint="33" w:themeFillShade="FF"/>
            <w:vAlign w:val="center"/>
          </w:tcPr>
          <w:p>
            <w:pPr>
              <w:pStyle w:val="0"/>
              <w:spacing w:line="260" w:lineRule="exact"/>
              <w:ind w:left="-44" w:leftChars="-20" w:right="-44" w:rightChars="-2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通所リハビリテーション</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4</w:t>
            </w:r>
          </w:p>
        </w:tc>
        <w:tc>
          <w:tcPr>
            <w:tcW w:w="70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3</w:t>
            </w:r>
          </w:p>
        </w:tc>
        <w:tc>
          <w:tcPr>
            <w:tcW w:w="64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3</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11</w:t>
            </w:r>
          </w:p>
        </w:tc>
      </w:tr>
      <w:tr>
        <w:trPr>
          <w:cantSplit/>
          <w:trHeight w:val="397" w:hRule="atLeast"/>
        </w:trPr>
        <w:tc>
          <w:tcPr>
            <w:tcW w:w="850" w:type="dxa"/>
            <w:vMerge w:val="continue"/>
            <w:shd w:val="clear" w:color="auto" w:themeFill="accent1" w:themeFillTint="33" w:themeFillShade="FF"/>
            <w:textDirection w:val="tbRlV"/>
            <w:vAlign w:val="center"/>
          </w:tcPr>
          <w:p>
            <w:pPr>
              <w:pStyle w:val="0"/>
              <w:rPr>
                <w:rFonts w:hint="default" w:ascii="ＭＳ Ｐゴシック" w:hAnsi="ＭＳ Ｐゴシック" w:eastAsia="ＭＳ Ｐゴシック"/>
              </w:rPr>
            </w:pPr>
          </w:p>
        </w:tc>
        <w:tc>
          <w:tcPr>
            <w:tcW w:w="2410" w:type="dxa"/>
            <w:tcBorders>
              <w:top w:val="nil"/>
              <w:left w:val="nil"/>
              <w:bottom w:val="single" w:color="000000" w:sz="4" w:space="0"/>
              <w:right w:val="single" w:color="000000" w:sz="4" w:space="0"/>
              <w:tl2br w:val="none" w:color="auto" w:sz="0" w:space="0"/>
              <w:tr2bl w:val="none" w:color="auto" w:sz="0" w:space="0"/>
            </w:tcBorders>
            <w:shd w:val="clear" w:color="auto" w:themeFill="accent1" w:themeFillTint="33" w:themeFillShade="FF"/>
            <w:vAlign w:val="center"/>
          </w:tcPr>
          <w:p>
            <w:pPr>
              <w:pStyle w:val="0"/>
              <w:spacing w:line="260" w:lineRule="exact"/>
              <w:ind w:left="-44" w:leftChars="-20" w:right="-44" w:rightChars="-2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短期入所生活介護</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7</w:t>
            </w:r>
          </w:p>
        </w:tc>
        <w:tc>
          <w:tcPr>
            <w:tcW w:w="70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w:t>
            </w:r>
          </w:p>
        </w:tc>
        <w:tc>
          <w:tcPr>
            <w:tcW w:w="64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3</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3</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16</w:t>
            </w:r>
          </w:p>
        </w:tc>
      </w:tr>
      <w:tr>
        <w:trPr>
          <w:cantSplit/>
          <w:trHeight w:val="397" w:hRule="atLeast"/>
        </w:trPr>
        <w:tc>
          <w:tcPr>
            <w:tcW w:w="850" w:type="dxa"/>
            <w:vMerge w:val="continue"/>
            <w:shd w:val="clear" w:color="auto" w:themeFill="accent1" w:themeFillTint="33" w:themeFillShade="FF"/>
            <w:textDirection w:val="tbRlV"/>
            <w:vAlign w:val="center"/>
          </w:tcPr>
          <w:p>
            <w:pPr>
              <w:pStyle w:val="0"/>
              <w:rPr>
                <w:rFonts w:hint="default" w:ascii="ＭＳ Ｐゴシック" w:hAnsi="ＭＳ Ｐゴシック" w:eastAsia="ＭＳ Ｐゴシック"/>
              </w:rPr>
            </w:pPr>
          </w:p>
        </w:tc>
        <w:tc>
          <w:tcPr>
            <w:tcW w:w="2410" w:type="dxa"/>
            <w:tcBorders>
              <w:top w:val="nil"/>
              <w:left w:val="nil"/>
              <w:bottom w:val="single" w:color="000000" w:sz="4" w:space="0"/>
              <w:right w:val="single" w:color="000000" w:sz="4" w:space="0"/>
              <w:tl2br w:val="none" w:color="auto" w:sz="0" w:space="0"/>
              <w:tr2bl w:val="none" w:color="auto" w:sz="0" w:space="0"/>
            </w:tcBorders>
            <w:shd w:val="clear" w:color="auto" w:themeFill="accent1" w:themeFillTint="33" w:themeFillShade="FF"/>
            <w:vAlign w:val="center"/>
          </w:tcPr>
          <w:p>
            <w:pPr>
              <w:pStyle w:val="0"/>
              <w:spacing w:line="260" w:lineRule="exact"/>
              <w:ind w:left="-44" w:leftChars="-20" w:right="-44" w:rightChars="-2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短期入所療養介護</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70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4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4</w:t>
            </w:r>
          </w:p>
        </w:tc>
      </w:tr>
      <w:tr>
        <w:trPr>
          <w:cantSplit/>
          <w:trHeight w:val="397" w:hRule="atLeast"/>
        </w:trPr>
        <w:tc>
          <w:tcPr>
            <w:tcW w:w="850" w:type="dxa"/>
            <w:vMerge w:val="continue"/>
            <w:shd w:val="clear" w:color="auto" w:themeFill="accent1" w:themeFillTint="33" w:themeFillShade="FF"/>
            <w:textDirection w:val="tbRlV"/>
            <w:vAlign w:val="center"/>
          </w:tcPr>
          <w:p>
            <w:pPr>
              <w:pStyle w:val="0"/>
              <w:rPr>
                <w:rFonts w:hint="default" w:ascii="ＭＳ Ｐゴシック" w:hAnsi="ＭＳ Ｐゴシック" w:eastAsia="ＭＳ Ｐゴシック"/>
              </w:rPr>
            </w:pPr>
          </w:p>
        </w:tc>
        <w:tc>
          <w:tcPr>
            <w:tcW w:w="2410" w:type="dxa"/>
            <w:tcBorders>
              <w:top w:val="nil"/>
              <w:left w:val="nil"/>
              <w:bottom w:val="single" w:color="000000" w:sz="4" w:space="0"/>
              <w:right w:val="single" w:color="000000" w:sz="4" w:space="0"/>
              <w:tl2br w:val="none" w:color="auto" w:sz="0" w:space="0"/>
              <w:tr2bl w:val="none" w:color="auto" w:sz="0" w:space="0"/>
            </w:tcBorders>
            <w:shd w:val="clear" w:color="auto" w:themeFill="accent1" w:themeFillTint="33" w:themeFillShade="FF"/>
            <w:vAlign w:val="center"/>
          </w:tcPr>
          <w:p>
            <w:pPr>
              <w:pStyle w:val="0"/>
              <w:spacing w:line="260" w:lineRule="exact"/>
              <w:ind w:left="-44" w:leftChars="-20" w:right="-44" w:rightChars="-2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福祉用具貸与</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70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3</w:t>
            </w:r>
          </w:p>
        </w:tc>
        <w:tc>
          <w:tcPr>
            <w:tcW w:w="64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5</w:t>
            </w:r>
          </w:p>
        </w:tc>
      </w:tr>
      <w:tr>
        <w:trPr>
          <w:cantSplit/>
          <w:trHeight w:val="397" w:hRule="atLeast"/>
        </w:trPr>
        <w:tc>
          <w:tcPr>
            <w:tcW w:w="850" w:type="dxa"/>
            <w:vMerge w:val="continue"/>
            <w:shd w:val="clear" w:color="auto" w:themeFill="accent1" w:themeFillTint="33" w:themeFillShade="FF"/>
            <w:textDirection w:val="tbRlV"/>
            <w:vAlign w:val="center"/>
          </w:tcPr>
          <w:p>
            <w:pPr>
              <w:pStyle w:val="0"/>
              <w:rPr>
                <w:rFonts w:hint="default" w:ascii="ＭＳ Ｐゴシック" w:hAnsi="ＭＳ Ｐゴシック" w:eastAsia="ＭＳ Ｐゴシック"/>
              </w:rPr>
            </w:pPr>
          </w:p>
        </w:tc>
        <w:tc>
          <w:tcPr>
            <w:tcW w:w="2410" w:type="dxa"/>
            <w:tcBorders>
              <w:top w:val="nil"/>
              <w:left w:val="nil"/>
              <w:bottom w:val="double" w:color="auto" w:sz="4" w:space="0"/>
              <w:right w:val="single" w:color="000000" w:sz="4" w:space="0"/>
              <w:tl2br w:val="none" w:color="auto" w:sz="0" w:space="0"/>
              <w:tr2bl w:val="none" w:color="auto" w:sz="0" w:space="0"/>
            </w:tcBorders>
            <w:shd w:val="clear" w:color="auto" w:themeFill="accent1" w:themeFillTint="33" w:themeFillShade="FF"/>
            <w:vAlign w:val="center"/>
          </w:tcPr>
          <w:p>
            <w:pPr>
              <w:pStyle w:val="0"/>
              <w:spacing w:line="260" w:lineRule="exact"/>
              <w:ind w:left="-44" w:leftChars="-20" w:right="-44" w:rightChars="-2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特定施設入居者生活介護</w:t>
            </w:r>
          </w:p>
        </w:tc>
        <w:tc>
          <w:tcPr>
            <w:tcW w:w="672" w:type="dxa"/>
            <w:tcBorders>
              <w:top w:val="nil"/>
              <w:left w:val="nil"/>
              <w:bottom w:val="double" w:color="auto"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702" w:type="dxa"/>
            <w:tcBorders>
              <w:top w:val="nil"/>
              <w:left w:val="nil"/>
              <w:bottom w:val="double" w:color="auto"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43" w:type="dxa"/>
            <w:tcBorders>
              <w:top w:val="nil"/>
              <w:left w:val="nil"/>
              <w:bottom w:val="double" w:color="auto"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w:t>
            </w:r>
          </w:p>
        </w:tc>
        <w:tc>
          <w:tcPr>
            <w:tcW w:w="673" w:type="dxa"/>
            <w:tcBorders>
              <w:top w:val="nil"/>
              <w:left w:val="nil"/>
              <w:bottom w:val="double" w:color="auto"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72" w:type="dxa"/>
            <w:tcBorders>
              <w:top w:val="nil"/>
              <w:left w:val="nil"/>
              <w:bottom w:val="double" w:color="auto"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double" w:color="auto"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72" w:type="dxa"/>
            <w:tcBorders>
              <w:top w:val="nil"/>
              <w:left w:val="nil"/>
              <w:bottom w:val="double" w:color="auto"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double" w:color="auto"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5</w:t>
            </w:r>
          </w:p>
        </w:tc>
      </w:tr>
      <w:tr>
        <w:trPr>
          <w:cantSplit/>
          <w:trHeight w:val="397" w:hRule="atLeast"/>
        </w:trPr>
        <w:tc>
          <w:tcPr>
            <w:tcW w:w="850" w:type="dxa"/>
            <w:vMerge w:val="continue"/>
            <w:shd w:val="clear" w:color="auto" w:themeFill="accent1" w:themeFillTint="33" w:themeFillShade="FF"/>
            <w:textDirection w:val="tbRlV"/>
            <w:vAlign w:val="center"/>
          </w:tcPr>
          <w:p>
            <w:pPr>
              <w:pStyle w:val="0"/>
              <w:rPr>
                <w:rFonts w:hint="default" w:ascii="ＭＳ Ｐゴシック" w:hAnsi="ＭＳ Ｐゴシック" w:eastAsia="ＭＳ Ｐゴシック"/>
              </w:rPr>
            </w:pPr>
          </w:p>
        </w:tc>
        <w:tc>
          <w:tcPr>
            <w:tcW w:w="2410" w:type="dxa"/>
            <w:tcBorders>
              <w:top w:val="double" w:color="auto" w:sz="4" w:space="0"/>
              <w:left w:val="nil"/>
              <w:bottom w:val="single" w:color="000000" w:sz="4" w:space="0"/>
              <w:right w:val="single" w:color="000000"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計</w:t>
            </w:r>
          </w:p>
        </w:tc>
        <w:tc>
          <w:tcPr>
            <w:tcW w:w="672" w:type="dxa"/>
            <w:tcBorders>
              <w:top w:val="doub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46</w:t>
            </w:r>
          </w:p>
        </w:tc>
        <w:tc>
          <w:tcPr>
            <w:tcW w:w="702" w:type="dxa"/>
            <w:tcBorders>
              <w:top w:val="doub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29</w:t>
            </w:r>
          </w:p>
        </w:tc>
        <w:tc>
          <w:tcPr>
            <w:tcW w:w="643" w:type="dxa"/>
            <w:tcBorders>
              <w:top w:val="doub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29</w:t>
            </w:r>
          </w:p>
        </w:tc>
        <w:tc>
          <w:tcPr>
            <w:tcW w:w="673" w:type="dxa"/>
            <w:tcBorders>
              <w:top w:val="doub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11</w:t>
            </w:r>
          </w:p>
        </w:tc>
        <w:tc>
          <w:tcPr>
            <w:tcW w:w="672" w:type="dxa"/>
            <w:tcBorders>
              <w:top w:val="doub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0</w:t>
            </w:r>
          </w:p>
        </w:tc>
        <w:tc>
          <w:tcPr>
            <w:tcW w:w="673" w:type="dxa"/>
            <w:tcBorders>
              <w:top w:val="doub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28</w:t>
            </w:r>
          </w:p>
        </w:tc>
        <w:tc>
          <w:tcPr>
            <w:tcW w:w="672" w:type="dxa"/>
            <w:tcBorders>
              <w:top w:val="doub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2</w:t>
            </w:r>
          </w:p>
        </w:tc>
        <w:tc>
          <w:tcPr>
            <w:tcW w:w="673" w:type="dxa"/>
            <w:tcBorders>
              <w:top w:val="doub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145</w:t>
            </w:r>
          </w:p>
        </w:tc>
      </w:tr>
      <w:tr>
        <w:trPr>
          <w:cantSplit/>
          <w:trHeight w:val="397" w:hRule="atLeast"/>
        </w:trPr>
        <w:tc>
          <w:tcPr>
            <w:tcW w:w="850" w:type="dxa"/>
            <w:vMerge w:val="restart"/>
            <w:shd w:val="clear" w:color="auto" w:themeFill="accent1" w:themeFillTint="33" w:themeFillShade="FF"/>
            <w:textDirection w:val="tbRlV"/>
            <w:vAlign w:val="center"/>
          </w:tcPr>
          <w:p>
            <w:pPr>
              <w:pStyle w:val="0"/>
              <w:ind w:left="-44" w:leftChars="-20" w:right="-44" w:rightChars="-2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地域密着型サービス</w:t>
            </w:r>
          </w:p>
        </w:tc>
        <w:tc>
          <w:tcPr>
            <w:tcW w:w="241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1" w:themeFillTint="33" w:themeFillShade="FF"/>
            <w:vAlign w:val="center"/>
          </w:tcPr>
          <w:p>
            <w:pPr>
              <w:pStyle w:val="0"/>
              <w:spacing w:line="260" w:lineRule="exact"/>
              <w:ind w:left="-44" w:leftChars="-20" w:right="-44" w:rightChars="-20"/>
              <w:rPr>
                <w:rFonts w:hint="default" w:ascii="ＭＳ Ｐゴシック" w:hAnsi="ＭＳ Ｐゴシック" w:eastAsia="ＭＳ Ｐゴシック"/>
                <w:color w:val="auto"/>
                <w:w w:val="70"/>
                <w:sz w:val="20"/>
                <w:highlight w:val="none"/>
              </w:rPr>
            </w:pPr>
            <w:r>
              <w:rPr>
                <w:rFonts w:hint="eastAsia" w:ascii="ＭＳ Ｐゴシック" w:hAnsi="ＭＳ Ｐゴシック" w:eastAsia="ＭＳ Ｐゴシック"/>
                <w:color w:val="auto"/>
                <w:w w:val="70"/>
                <w:sz w:val="20"/>
                <w:highlight w:val="none"/>
              </w:rPr>
              <w:t>定期巡回・随時対応型訪問介護看護</w:t>
            </w:r>
          </w:p>
        </w:tc>
        <w:tc>
          <w:tcPr>
            <w:tcW w:w="672"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702"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43"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2"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2"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r>
      <w:tr>
        <w:trPr>
          <w:cantSplit/>
          <w:trHeight w:val="397" w:hRule="atLeast"/>
        </w:trPr>
        <w:tc>
          <w:tcPr>
            <w:tcW w:w="850" w:type="dxa"/>
            <w:vMerge w:val="continue"/>
            <w:shd w:val="clear" w:color="auto" w:themeFill="accent1" w:themeFillTint="33" w:themeFillShade="FF"/>
            <w:vAlign w:val="center"/>
          </w:tcPr>
          <w:p>
            <w:pPr>
              <w:pStyle w:val="0"/>
              <w:rPr>
                <w:rFonts w:hint="default" w:ascii="ＭＳ Ｐゴシック" w:hAnsi="ＭＳ Ｐゴシック" w:eastAsia="ＭＳ Ｐゴシック"/>
                <w:sz w:val="20"/>
              </w:rPr>
            </w:pPr>
          </w:p>
        </w:tc>
        <w:tc>
          <w:tcPr>
            <w:tcW w:w="2410" w:type="dxa"/>
            <w:tcBorders>
              <w:top w:val="nil"/>
              <w:left w:val="single" w:color="000000" w:sz="4" w:space="0"/>
              <w:bottom w:val="single" w:color="000000" w:sz="4" w:space="0"/>
              <w:right w:val="single" w:color="000000" w:sz="4" w:space="0"/>
              <w:tl2br w:val="none" w:color="auto" w:sz="0" w:space="0"/>
              <w:tr2bl w:val="none" w:color="auto" w:sz="0" w:space="0"/>
            </w:tcBorders>
            <w:shd w:val="clear" w:color="auto" w:themeFill="accent1" w:themeFillTint="33" w:themeFillShade="FF"/>
            <w:vAlign w:val="center"/>
          </w:tcPr>
          <w:p>
            <w:pPr>
              <w:pStyle w:val="0"/>
              <w:spacing w:line="260" w:lineRule="exact"/>
              <w:ind w:left="-44" w:leftChars="-20" w:right="-44" w:rightChars="-2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認知症対応型通所介護</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w:t>
            </w:r>
          </w:p>
        </w:tc>
        <w:tc>
          <w:tcPr>
            <w:tcW w:w="70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4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5</w:t>
            </w:r>
          </w:p>
        </w:tc>
      </w:tr>
      <w:tr>
        <w:trPr>
          <w:cantSplit/>
          <w:trHeight w:val="397" w:hRule="atLeast"/>
        </w:trPr>
        <w:tc>
          <w:tcPr>
            <w:tcW w:w="850" w:type="dxa"/>
            <w:vMerge w:val="continue"/>
            <w:shd w:val="clear" w:color="auto" w:themeFill="accent1" w:themeFillTint="33" w:themeFillShade="FF"/>
            <w:vAlign w:val="center"/>
          </w:tcPr>
          <w:p>
            <w:pPr>
              <w:pStyle w:val="0"/>
              <w:rPr>
                <w:rFonts w:hint="default" w:ascii="ＭＳ Ｐゴシック" w:hAnsi="ＭＳ Ｐゴシック" w:eastAsia="ＭＳ Ｐゴシック"/>
                <w:sz w:val="20"/>
              </w:rPr>
            </w:pPr>
          </w:p>
        </w:tc>
        <w:tc>
          <w:tcPr>
            <w:tcW w:w="2410" w:type="dxa"/>
            <w:tcBorders>
              <w:top w:val="nil"/>
              <w:left w:val="single" w:color="000000" w:sz="4" w:space="0"/>
              <w:bottom w:val="single" w:color="000000" w:sz="4" w:space="0"/>
              <w:right w:val="single" w:color="000000" w:sz="4" w:space="0"/>
              <w:tl2br w:val="none" w:color="auto" w:sz="0" w:space="0"/>
              <w:tr2bl w:val="none" w:color="auto" w:sz="0" w:space="0"/>
            </w:tcBorders>
            <w:shd w:val="clear" w:color="auto" w:themeFill="accent1" w:themeFillTint="33" w:themeFillShade="FF"/>
            <w:vAlign w:val="center"/>
          </w:tcPr>
          <w:p>
            <w:pPr>
              <w:pStyle w:val="0"/>
              <w:spacing w:line="260" w:lineRule="exact"/>
              <w:ind w:left="-44" w:leftChars="-20" w:right="-44" w:rightChars="-2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地域密着型通所介護</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4</w:t>
            </w:r>
          </w:p>
        </w:tc>
        <w:tc>
          <w:tcPr>
            <w:tcW w:w="70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5</w:t>
            </w:r>
          </w:p>
        </w:tc>
        <w:tc>
          <w:tcPr>
            <w:tcW w:w="64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3</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4</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20</w:t>
            </w:r>
          </w:p>
        </w:tc>
      </w:tr>
      <w:tr>
        <w:trPr>
          <w:cantSplit/>
          <w:trHeight w:val="397" w:hRule="atLeast"/>
        </w:trPr>
        <w:tc>
          <w:tcPr>
            <w:tcW w:w="850" w:type="dxa"/>
            <w:vMerge w:val="continue"/>
            <w:shd w:val="clear" w:color="auto" w:themeFill="accent1" w:themeFillTint="33" w:themeFillShade="FF"/>
            <w:vAlign w:val="center"/>
          </w:tcPr>
          <w:p>
            <w:pPr>
              <w:pStyle w:val="0"/>
              <w:rPr>
                <w:rFonts w:hint="default" w:ascii="ＭＳ Ｐゴシック" w:hAnsi="ＭＳ Ｐゴシック" w:eastAsia="ＭＳ Ｐゴシック"/>
                <w:sz w:val="20"/>
              </w:rPr>
            </w:pPr>
          </w:p>
        </w:tc>
        <w:tc>
          <w:tcPr>
            <w:tcW w:w="2410" w:type="dxa"/>
            <w:tcBorders>
              <w:top w:val="nil"/>
              <w:left w:val="single" w:color="000000" w:sz="4" w:space="0"/>
              <w:bottom w:val="single" w:color="000000" w:sz="4" w:space="0"/>
              <w:right w:val="single" w:color="000000" w:sz="4" w:space="0"/>
              <w:tl2br w:val="none" w:color="auto" w:sz="0" w:space="0"/>
              <w:tr2bl w:val="none" w:color="auto" w:sz="0" w:space="0"/>
            </w:tcBorders>
            <w:shd w:val="clear" w:color="auto" w:themeFill="accent1" w:themeFillTint="33" w:themeFillShade="FF"/>
            <w:vAlign w:val="center"/>
          </w:tcPr>
          <w:p>
            <w:pPr>
              <w:pStyle w:val="0"/>
              <w:spacing w:line="260" w:lineRule="exact"/>
              <w:ind w:left="-44" w:leftChars="-20" w:right="-44" w:rightChars="-20"/>
              <w:rPr>
                <w:rFonts w:hint="default" w:ascii="ＭＳ Ｐゴシック" w:hAnsi="ＭＳ Ｐゴシック" w:eastAsia="ＭＳ Ｐゴシック"/>
                <w:color w:val="auto"/>
                <w:w w:val="90"/>
                <w:sz w:val="20"/>
                <w:highlight w:val="none"/>
              </w:rPr>
            </w:pPr>
            <w:r>
              <w:rPr>
                <w:rFonts w:hint="eastAsia" w:ascii="ＭＳ Ｐゴシック" w:hAnsi="ＭＳ Ｐゴシック" w:eastAsia="ＭＳ Ｐゴシック"/>
                <w:color w:val="auto"/>
                <w:w w:val="90"/>
                <w:sz w:val="20"/>
                <w:highlight w:val="none"/>
              </w:rPr>
              <w:t>認知症対応型共同生活介護</w:t>
            </w:r>
          </w:p>
          <w:p>
            <w:pPr>
              <w:pStyle w:val="0"/>
              <w:spacing w:line="260" w:lineRule="exact"/>
              <w:ind w:left="-44" w:leftChars="-20" w:right="-44" w:rightChars="-20"/>
              <w:rPr>
                <w:rFonts w:hint="default" w:ascii="ＭＳ Ｐゴシック" w:hAnsi="ＭＳ Ｐゴシック" w:eastAsia="ＭＳ Ｐゴシック"/>
                <w:color w:val="auto"/>
                <w:w w:val="90"/>
                <w:sz w:val="20"/>
                <w:highlight w:val="none"/>
              </w:rPr>
            </w:pPr>
            <w:r>
              <w:rPr>
                <w:rFonts w:hint="eastAsia" w:ascii="ＭＳ Ｐゴシック" w:hAnsi="ＭＳ Ｐゴシック" w:eastAsia="ＭＳ Ｐゴシック"/>
                <w:color w:val="auto"/>
                <w:w w:val="90"/>
                <w:sz w:val="20"/>
                <w:highlight w:val="none"/>
              </w:rPr>
              <w:t>（グループホーム）</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w:t>
            </w:r>
          </w:p>
        </w:tc>
        <w:tc>
          <w:tcPr>
            <w:tcW w:w="70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w:t>
            </w:r>
          </w:p>
        </w:tc>
        <w:tc>
          <w:tcPr>
            <w:tcW w:w="64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3</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3</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11</w:t>
            </w:r>
          </w:p>
        </w:tc>
      </w:tr>
      <w:tr>
        <w:trPr>
          <w:cantSplit/>
          <w:trHeight w:val="397" w:hRule="atLeast"/>
        </w:trPr>
        <w:tc>
          <w:tcPr>
            <w:tcW w:w="850" w:type="dxa"/>
            <w:vMerge w:val="continue"/>
            <w:shd w:val="clear" w:color="auto" w:themeFill="accent1" w:themeFillTint="33" w:themeFillShade="FF"/>
            <w:vAlign w:val="center"/>
          </w:tcPr>
          <w:p>
            <w:pPr>
              <w:pStyle w:val="0"/>
              <w:rPr>
                <w:rFonts w:hint="default" w:ascii="ＭＳ Ｐゴシック" w:hAnsi="ＭＳ Ｐゴシック" w:eastAsia="ＭＳ Ｐゴシック"/>
                <w:sz w:val="20"/>
              </w:rPr>
            </w:pPr>
          </w:p>
        </w:tc>
        <w:tc>
          <w:tcPr>
            <w:tcW w:w="2410" w:type="dxa"/>
            <w:tcBorders>
              <w:top w:val="nil"/>
              <w:left w:val="single" w:color="000000" w:sz="4" w:space="0"/>
              <w:bottom w:val="single" w:color="000000" w:sz="4" w:space="0"/>
              <w:right w:val="single" w:color="000000" w:sz="4" w:space="0"/>
              <w:tl2br w:val="none" w:color="auto" w:sz="0" w:space="0"/>
              <w:tr2bl w:val="none" w:color="auto" w:sz="0" w:space="0"/>
            </w:tcBorders>
            <w:shd w:val="clear" w:color="auto" w:themeFill="accent1" w:themeFillTint="33" w:themeFillShade="FF"/>
            <w:vAlign w:val="center"/>
          </w:tcPr>
          <w:p>
            <w:pPr>
              <w:pStyle w:val="0"/>
              <w:spacing w:line="260" w:lineRule="exact"/>
              <w:ind w:left="-44" w:leftChars="-20" w:right="-44" w:rightChars="-2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小規模多機能型居宅介護</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w:t>
            </w:r>
          </w:p>
        </w:tc>
        <w:tc>
          <w:tcPr>
            <w:tcW w:w="70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4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4</w:t>
            </w:r>
          </w:p>
        </w:tc>
      </w:tr>
      <w:tr>
        <w:trPr>
          <w:cantSplit/>
          <w:trHeight w:val="397" w:hRule="atLeast"/>
        </w:trPr>
        <w:tc>
          <w:tcPr>
            <w:tcW w:w="850" w:type="dxa"/>
            <w:vMerge w:val="continue"/>
            <w:shd w:val="clear" w:color="auto" w:themeFill="accent1" w:themeFillTint="33" w:themeFillShade="FF"/>
            <w:vAlign w:val="center"/>
          </w:tcPr>
          <w:p>
            <w:pPr>
              <w:pStyle w:val="0"/>
              <w:rPr>
                <w:rFonts w:hint="default" w:ascii="ＭＳ Ｐゴシック" w:hAnsi="ＭＳ Ｐゴシック" w:eastAsia="ＭＳ Ｐゴシック"/>
              </w:rPr>
            </w:pPr>
          </w:p>
        </w:tc>
        <w:tc>
          <w:tcPr>
            <w:tcW w:w="2410" w:type="dxa"/>
            <w:tcBorders>
              <w:top w:val="nil"/>
              <w:left w:val="single" w:color="000000" w:sz="4" w:space="0"/>
              <w:bottom w:val="single" w:color="000000" w:sz="4" w:space="0"/>
              <w:right w:val="single" w:color="000000" w:sz="4" w:space="0"/>
              <w:tl2br w:val="none" w:color="auto" w:sz="0" w:space="0"/>
              <w:tr2bl w:val="none" w:color="auto" w:sz="0" w:space="0"/>
            </w:tcBorders>
            <w:shd w:val="clear" w:color="auto" w:themeFill="accent1" w:themeFillTint="33" w:themeFillShade="FF"/>
            <w:vAlign w:val="center"/>
          </w:tcPr>
          <w:p>
            <w:pPr>
              <w:pStyle w:val="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複合型サービス</w:t>
            </w:r>
          </w:p>
          <w:p>
            <w:pPr>
              <w:pStyle w:val="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pacing w:val="1"/>
                <w:w w:val="78"/>
                <w:kern w:val="0"/>
                <w:sz w:val="20"/>
                <w:highlight w:val="none"/>
                <w:fitText w:val="2200" w:id="2"/>
              </w:rPr>
              <w:t>（介護小規模多機能型居宅介護</w:t>
            </w:r>
            <w:r>
              <w:rPr>
                <w:rFonts w:hint="eastAsia" w:ascii="ＭＳ Ｐゴシック" w:hAnsi="ＭＳ Ｐゴシック" w:eastAsia="ＭＳ Ｐゴシック"/>
                <w:color w:val="auto"/>
                <w:spacing w:val="10"/>
                <w:w w:val="78"/>
                <w:kern w:val="0"/>
                <w:sz w:val="20"/>
                <w:highlight w:val="none"/>
                <w:fitText w:val="2200" w:id="2"/>
              </w:rPr>
              <w:t>）</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70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4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r>
      <w:tr>
        <w:trPr>
          <w:cantSplit/>
          <w:trHeight w:val="397" w:hRule="atLeast"/>
        </w:trPr>
        <w:tc>
          <w:tcPr>
            <w:tcW w:w="850" w:type="dxa"/>
            <w:vMerge w:val="continue"/>
            <w:shd w:val="clear" w:color="auto" w:themeFill="accent1" w:themeFillTint="33" w:themeFillShade="FF"/>
            <w:vAlign w:val="center"/>
          </w:tcPr>
          <w:p>
            <w:pPr>
              <w:pStyle w:val="0"/>
              <w:rPr>
                <w:rFonts w:hint="default" w:ascii="ＭＳ Ｐゴシック" w:hAnsi="ＭＳ Ｐゴシック" w:eastAsia="ＭＳ Ｐゴシック"/>
                <w:sz w:val="20"/>
              </w:rPr>
            </w:pPr>
          </w:p>
        </w:tc>
        <w:tc>
          <w:tcPr>
            <w:tcW w:w="2410" w:type="dxa"/>
            <w:tcBorders>
              <w:top w:val="nil"/>
              <w:left w:val="single" w:color="000000" w:sz="4" w:space="0"/>
              <w:bottom w:val="single" w:color="000000" w:sz="4" w:space="0"/>
              <w:right w:val="single" w:color="000000" w:sz="4" w:space="0"/>
              <w:tl2br w:val="none" w:color="auto" w:sz="0" w:space="0"/>
              <w:tr2bl w:val="none" w:color="auto" w:sz="0" w:space="0"/>
            </w:tcBorders>
            <w:shd w:val="clear" w:color="auto" w:themeFill="accent1" w:themeFillTint="33" w:themeFillShade="FF"/>
            <w:vAlign w:val="center"/>
          </w:tcPr>
          <w:p>
            <w:pPr>
              <w:pStyle w:val="0"/>
              <w:spacing w:line="260" w:lineRule="exact"/>
              <w:ind w:left="-44" w:leftChars="-20" w:right="-44" w:rightChars="-20"/>
              <w:rPr>
                <w:rFonts w:hint="default" w:ascii="ＭＳ Ｐゴシック" w:hAnsi="ＭＳ Ｐゴシック" w:eastAsia="ＭＳ Ｐゴシック"/>
                <w:color w:val="auto"/>
                <w:w w:val="55"/>
                <w:sz w:val="20"/>
                <w:highlight w:val="none"/>
              </w:rPr>
            </w:pPr>
            <w:r>
              <w:rPr>
                <w:rFonts w:hint="eastAsia" w:ascii="ＭＳ Ｐゴシック" w:hAnsi="ＭＳ Ｐゴシック" w:eastAsia="ＭＳ Ｐゴシック"/>
                <w:color w:val="auto"/>
                <w:w w:val="55"/>
                <w:sz w:val="20"/>
                <w:highlight w:val="none"/>
              </w:rPr>
              <w:t>地域密着型介護老人福祉施設入所者生活介護</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70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4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w:t>
            </w:r>
          </w:p>
        </w:tc>
      </w:tr>
      <w:tr>
        <w:trPr>
          <w:cantSplit/>
          <w:trHeight w:val="397" w:hRule="atLeast"/>
        </w:trPr>
        <w:tc>
          <w:tcPr>
            <w:tcW w:w="850" w:type="dxa"/>
            <w:vMerge w:val="continue"/>
            <w:shd w:val="clear" w:color="auto" w:themeFill="accent1" w:themeFillTint="33" w:themeFillShade="FF"/>
            <w:vAlign w:val="center"/>
          </w:tcPr>
          <w:p>
            <w:pPr>
              <w:pStyle w:val="0"/>
              <w:rPr>
                <w:rFonts w:hint="default" w:ascii="ＭＳ Ｐゴシック" w:hAnsi="ＭＳ Ｐゴシック" w:eastAsia="ＭＳ Ｐゴシック"/>
                <w:sz w:val="20"/>
              </w:rPr>
            </w:pPr>
          </w:p>
        </w:tc>
        <w:tc>
          <w:tcPr>
            <w:tcW w:w="2410" w:type="dxa"/>
            <w:tcBorders>
              <w:top w:val="nil"/>
              <w:left w:val="single" w:color="000000" w:sz="4" w:space="0"/>
              <w:bottom w:val="double" w:color="auto" w:sz="4" w:space="0"/>
              <w:right w:val="single" w:color="000000" w:sz="4" w:space="0"/>
              <w:tl2br w:val="none" w:color="auto" w:sz="0" w:space="0"/>
              <w:tr2bl w:val="none" w:color="auto" w:sz="0" w:space="0"/>
            </w:tcBorders>
            <w:shd w:val="clear" w:color="auto" w:themeFill="accent1" w:themeFillTint="33" w:themeFillShade="FF"/>
            <w:vAlign w:val="center"/>
          </w:tcPr>
          <w:p>
            <w:pPr>
              <w:pStyle w:val="0"/>
              <w:spacing w:line="260" w:lineRule="exact"/>
              <w:ind w:left="-44" w:leftChars="-20" w:right="-44" w:rightChars="-20"/>
              <w:rPr>
                <w:rFonts w:hint="default" w:ascii="ＭＳ Ｐゴシック" w:hAnsi="ＭＳ Ｐゴシック" w:eastAsia="ＭＳ Ｐゴシック"/>
                <w:color w:val="auto"/>
                <w:w w:val="70"/>
                <w:sz w:val="20"/>
                <w:highlight w:val="none"/>
              </w:rPr>
            </w:pPr>
            <w:r>
              <w:rPr>
                <w:rFonts w:hint="eastAsia" w:ascii="ＭＳ Ｐゴシック" w:hAnsi="ＭＳ Ｐゴシック" w:eastAsia="ＭＳ Ｐゴシック"/>
                <w:color w:val="auto"/>
                <w:w w:val="70"/>
                <w:sz w:val="20"/>
                <w:highlight w:val="none"/>
              </w:rPr>
              <w:t>地域密着型特定施設入居者生活介護</w:t>
            </w:r>
          </w:p>
        </w:tc>
        <w:tc>
          <w:tcPr>
            <w:tcW w:w="672" w:type="dxa"/>
            <w:tcBorders>
              <w:top w:val="nil"/>
              <w:left w:val="nil"/>
              <w:bottom w:val="double" w:color="auto"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702" w:type="dxa"/>
            <w:tcBorders>
              <w:top w:val="nil"/>
              <w:left w:val="nil"/>
              <w:bottom w:val="double" w:color="auto"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43" w:type="dxa"/>
            <w:tcBorders>
              <w:top w:val="nil"/>
              <w:left w:val="nil"/>
              <w:bottom w:val="double" w:color="auto"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double" w:color="auto"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2" w:type="dxa"/>
            <w:tcBorders>
              <w:top w:val="nil"/>
              <w:left w:val="nil"/>
              <w:bottom w:val="double" w:color="auto"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double" w:color="auto"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2" w:type="dxa"/>
            <w:tcBorders>
              <w:top w:val="nil"/>
              <w:left w:val="nil"/>
              <w:bottom w:val="double" w:color="auto"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double" w:color="auto"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r>
      <w:tr>
        <w:trPr>
          <w:cantSplit/>
          <w:trHeight w:val="397" w:hRule="atLeast"/>
        </w:trPr>
        <w:tc>
          <w:tcPr>
            <w:tcW w:w="850" w:type="dxa"/>
            <w:vMerge w:val="continue"/>
            <w:shd w:val="clear" w:color="auto" w:themeFill="accent1" w:themeFillTint="33" w:themeFillShade="FF"/>
            <w:vAlign w:val="center"/>
          </w:tcPr>
          <w:p>
            <w:pPr>
              <w:pStyle w:val="0"/>
              <w:rPr>
                <w:rFonts w:hint="default" w:ascii="ＭＳ Ｐゴシック" w:hAnsi="ＭＳ Ｐゴシック" w:eastAsia="ＭＳ Ｐゴシック"/>
              </w:rPr>
            </w:pPr>
          </w:p>
        </w:tc>
        <w:tc>
          <w:tcPr>
            <w:tcW w:w="2410" w:type="dxa"/>
            <w:tcBorders>
              <w:top w:val="double" w:color="auto" w:sz="4" w:space="0"/>
              <w:left w:val="single" w:color="000000" w:sz="4" w:space="0"/>
              <w:bottom w:val="single" w:color="000000" w:sz="4" w:space="0"/>
              <w:right w:val="single" w:color="000000"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計</w:t>
            </w:r>
          </w:p>
        </w:tc>
        <w:tc>
          <w:tcPr>
            <w:tcW w:w="672" w:type="dxa"/>
            <w:tcBorders>
              <w:top w:val="doub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12</w:t>
            </w:r>
          </w:p>
        </w:tc>
        <w:tc>
          <w:tcPr>
            <w:tcW w:w="702" w:type="dxa"/>
            <w:tcBorders>
              <w:top w:val="doub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11</w:t>
            </w:r>
          </w:p>
        </w:tc>
        <w:tc>
          <w:tcPr>
            <w:tcW w:w="643" w:type="dxa"/>
            <w:tcBorders>
              <w:top w:val="doub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7</w:t>
            </w:r>
          </w:p>
        </w:tc>
        <w:tc>
          <w:tcPr>
            <w:tcW w:w="673" w:type="dxa"/>
            <w:tcBorders>
              <w:top w:val="doub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4</w:t>
            </w:r>
          </w:p>
        </w:tc>
        <w:tc>
          <w:tcPr>
            <w:tcW w:w="672" w:type="dxa"/>
            <w:tcBorders>
              <w:top w:val="doub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1</w:t>
            </w:r>
          </w:p>
        </w:tc>
        <w:tc>
          <w:tcPr>
            <w:tcW w:w="673" w:type="dxa"/>
            <w:tcBorders>
              <w:top w:val="doub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8</w:t>
            </w:r>
          </w:p>
        </w:tc>
        <w:tc>
          <w:tcPr>
            <w:tcW w:w="672" w:type="dxa"/>
            <w:tcBorders>
              <w:top w:val="doub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2</w:t>
            </w:r>
          </w:p>
        </w:tc>
        <w:tc>
          <w:tcPr>
            <w:tcW w:w="673" w:type="dxa"/>
            <w:tcBorders>
              <w:top w:val="doub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45</w:t>
            </w:r>
          </w:p>
        </w:tc>
      </w:tr>
      <w:tr>
        <w:trPr>
          <w:cantSplit/>
          <w:trHeight w:val="397" w:hRule="atLeast"/>
        </w:trPr>
        <w:tc>
          <w:tcPr>
            <w:tcW w:w="850" w:type="dxa"/>
            <w:vMerge w:val="restart"/>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1" w:themeFillTint="33" w:themeFillShade="FF"/>
            <w:textDirection w:val="tbRlV"/>
            <w:vAlign w:val="center"/>
          </w:tcPr>
          <w:p>
            <w:pPr>
              <w:pStyle w:val="0"/>
              <w:ind w:left="-44" w:leftChars="-20" w:right="-44" w:rightChars="-2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施設サービス</w:t>
            </w:r>
          </w:p>
        </w:tc>
        <w:tc>
          <w:tcPr>
            <w:tcW w:w="2410" w:type="dxa"/>
            <w:tcBorders>
              <w:top w:val="nil"/>
              <w:left w:val="nil"/>
              <w:bottom w:val="single" w:color="000000" w:sz="4" w:space="0"/>
              <w:right w:val="single" w:color="000000" w:sz="4" w:space="0"/>
              <w:tl2br w:val="none" w:color="auto" w:sz="0" w:space="0"/>
              <w:tr2bl w:val="none" w:color="auto" w:sz="0" w:space="0"/>
            </w:tcBorders>
            <w:shd w:val="clear" w:color="auto" w:themeFill="accent1" w:themeFillTint="33" w:themeFillShade="FF"/>
            <w:vAlign w:val="center"/>
          </w:tcPr>
          <w:p>
            <w:pPr>
              <w:pStyle w:val="0"/>
              <w:spacing w:line="260" w:lineRule="exact"/>
              <w:ind w:left="-44" w:leftChars="-2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介護老人福祉施設</w:t>
            </w:r>
          </w:p>
        </w:tc>
        <w:tc>
          <w:tcPr>
            <w:tcW w:w="672"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3</w:t>
            </w:r>
          </w:p>
        </w:tc>
        <w:tc>
          <w:tcPr>
            <w:tcW w:w="702"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43"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73"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72"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72"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7</w:t>
            </w:r>
          </w:p>
        </w:tc>
      </w:tr>
      <w:tr>
        <w:trPr>
          <w:cantSplit/>
          <w:trHeight w:val="397" w:hRule="atLeast"/>
        </w:trPr>
        <w:tc>
          <w:tcPr>
            <w:tcW w:w="850" w:type="dxa"/>
            <w:vMerge w:val="continue"/>
            <w:shd w:val="clear" w:color="auto" w:themeFill="accent1" w:themeFillTint="33" w:themeFillShade="FF"/>
            <w:vAlign w:val="top"/>
          </w:tcPr>
          <w:p>
            <w:pPr>
              <w:pStyle w:val="0"/>
              <w:rPr>
                <w:rFonts w:hint="default" w:ascii="ＭＳ Ｐゴシック" w:hAnsi="ＭＳ Ｐゴシック" w:eastAsia="ＭＳ Ｐゴシック"/>
              </w:rPr>
            </w:pPr>
          </w:p>
        </w:tc>
        <w:tc>
          <w:tcPr>
            <w:tcW w:w="2410" w:type="dxa"/>
            <w:tcBorders>
              <w:top w:val="nil"/>
              <w:left w:val="nil"/>
              <w:bottom w:val="single" w:color="000000" w:sz="4" w:space="0"/>
              <w:right w:val="single" w:color="000000" w:sz="4" w:space="0"/>
              <w:tl2br w:val="none" w:color="auto" w:sz="0" w:space="0"/>
              <w:tr2bl w:val="none" w:color="auto" w:sz="0" w:space="0"/>
            </w:tcBorders>
            <w:shd w:val="clear" w:color="auto" w:themeFill="accent1" w:themeFillTint="33" w:themeFillShade="FF"/>
            <w:vAlign w:val="center"/>
          </w:tcPr>
          <w:p>
            <w:pPr>
              <w:pStyle w:val="0"/>
              <w:spacing w:line="260" w:lineRule="exact"/>
              <w:ind w:left="-44" w:leftChars="-2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介護老人保健施設</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70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4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4</w:t>
            </w:r>
          </w:p>
        </w:tc>
      </w:tr>
      <w:tr>
        <w:trPr>
          <w:cantSplit/>
          <w:trHeight w:val="397" w:hRule="atLeast"/>
        </w:trPr>
        <w:tc>
          <w:tcPr>
            <w:tcW w:w="850" w:type="dxa"/>
            <w:vMerge w:val="continue"/>
            <w:shd w:val="clear" w:color="auto" w:themeFill="accent1" w:themeFillTint="33" w:themeFillShade="FF"/>
            <w:vAlign w:val="top"/>
          </w:tcPr>
          <w:p>
            <w:pPr>
              <w:pStyle w:val="0"/>
              <w:rPr>
                <w:rFonts w:hint="default" w:ascii="ＭＳ Ｐゴシック" w:hAnsi="ＭＳ Ｐゴシック" w:eastAsia="ＭＳ Ｐゴシック"/>
              </w:rPr>
            </w:pPr>
          </w:p>
        </w:tc>
        <w:tc>
          <w:tcPr>
            <w:tcW w:w="2410" w:type="dxa"/>
            <w:tcBorders>
              <w:top w:val="nil"/>
              <w:left w:val="nil"/>
              <w:bottom w:val="single" w:color="000000" w:sz="4" w:space="0"/>
              <w:right w:val="single" w:color="000000" w:sz="4" w:space="0"/>
              <w:tl2br w:val="none" w:color="auto" w:sz="0" w:space="0"/>
              <w:tr2bl w:val="none" w:color="auto" w:sz="0" w:space="0"/>
            </w:tcBorders>
            <w:shd w:val="clear" w:color="auto" w:themeFill="accent1" w:themeFillTint="33" w:themeFillShade="FF"/>
            <w:vAlign w:val="center"/>
          </w:tcPr>
          <w:p>
            <w:pPr>
              <w:pStyle w:val="0"/>
              <w:spacing w:line="260" w:lineRule="exact"/>
              <w:ind w:left="-44" w:leftChars="-2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介護医療院</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70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4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tc>
        <w:tc>
          <w:tcPr>
            <w:tcW w:w="672"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single" w:color="000000"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w:t>
            </w:r>
          </w:p>
        </w:tc>
      </w:tr>
      <w:tr>
        <w:trPr>
          <w:cantSplit/>
          <w:trHeight w:val="397" w:hRule="atLeast"/>
        </w:trPr>
        <w:tc>
          <w:tcPr>
            <w:tcW w:w="850" w:type="dxa"/>
            <w:vMerge w:val="continue"/>
            <w:shd w:val="clear" w:color="auto" w:themeFill="accent1" w:themeFillTint="33" w:themeFillShade="FF"/>
            <w:vAlign w:val="top"/>
          </w:tcPr>
          <w:p>
            <w:pPr>
              <w:pStyle w:val="0"/>
              <w:rPr>
                <w:rFonts w:hint="default" w:ascii="ＭＳ Ｐゴシック" w:hAnsi="ＭＳ Ｐゴシック" w:eastAsia="ＭＳ Ｐゴシック"/>
              </w:rPr>
            </w:pPr>
          </w:p>
        </w:tc>
        <w:tc>
          <w:tcPr>
            <w:tcW w:w="2410" w:type="dxa"/>
            <w:tcBorders>
              <w:top w:val="nil"/>
              <w:left w:val="nil"/>
              <w:bottom w:val="double" w:color="auto" w:sz="4" w:space="0"/>
              <w:right w:val="single" w:color="000000" w:sz="4" w:space="0"/>
              <w:tl2br w:val="none" w:color="auto" w:sz="0" w:space="0"/>
              <w:tr2bl w:val="none" w:color="auto" w:sz="0" w:space="0"/>
            </w:tcBorders>
            <w:shd w:val="clear" w:color="auto" w:themeFill="accent1" w:themeFillTint="33" w:themeFillShade="FF"/>
            <w:vAlign w:val="center"/>
          </w:tcPr>
          <w:p>
            <w:pPr>
              <w:pStyle w:val="0"/>
              <w:spacing w:line="260" w:lineRule="exact"/>
              <w:ind w:left="-44" w:leftChars="-2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介護療養型医療施設</w:t>
            </w:r>
          </w:p>
        </w:tc>
        <w:tc>
          <w:tcPr>
            <w:tcW w:w="672" w:type="dxa"/>
            <w:tcBorders>
              <w:top w:val="nil"/>
              <w:left w:val="nil"/>
              <w:bottom w:val="double" w:color="auto"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702" w:type="dxa"/>
            <w:tcBorders>
              <w:top w:val="nil"/>
              <w:left w:val="nil"/>
              <w:bottom w:val="double" w:color="auto"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43" w:type="dxa"/>
            <w:tcBorders>
              <w:top w:val="nil"/>
              <w:left w:val="nil"/>
              <w:bottom w:val="double" w:color="auto"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double" w:color="auto"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2" w:type="dxa"/>
            <w:tcBorders>
              <w:top w:val="nil"/>
              <w:left w:val="nil"/>
              <w:bottom w:val="double" w:color="auto"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double" w:color="auto"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2" w:type="dxa"/>
            <w:tcBorders>
              <w:top w:val="nil"/>
              <w:left w:val="nil"/>
              <w:bottom w:val="double" w:color="auto"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673" w:type="dxa"/>
            <w:tcBorders>
              <w:top w:val="nil"/>
              <w:left w:val="nil"/>
              <w:bottom w:val="double" w:color="auto" w:sz="4" w:space="0"/>
              <w:right w:val="single" w:color="000000" w:sz="4" w:space="0"/>
              <w:tl2br w:val="none" w:color="auto" w:sz="0" w:space="0"/>
              <w:tr2bl w:val="none" w:color="auto" w:sz="0" w:space="0"/>
            </w:tcBorders>
            <w:shd w:val="clear" w:color="auto" w:fill="auto"/>
            <w:vAlign w:val="center"/>
          </w:tcPr>
          <w:p>
            <w:pPr>
              <w:pStyle w:val="0"/>
              <w:spacing w:line="260" w:lineRule="exact"/>
              <w:ind w:left="-44" w:leftChars="-20" w:right="-44" w:rightChars="-2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r>
      <w:tr>
        <w:trPr>
          <w:cantSplit/>
          <w:trHeight w:val="397" w:hRule="atLeast"/>
        </w:trPr>
        <w:tc>
          <w:tcPr>
            <w:tcW w:w="850" w:type="dxa"/>
            <w:vMerge w:val="continue"/>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1" w:themeFillTint="33" w:themeFillShade="FF"/>
            <w:vAlign w:val="top"/>
          </w:tcPr>
          <w:p>
            <w:pPr>
              <w:pStyle w:val="0"/>
              <w:rPr>
                <w:rFonts w:hint="default" w:ascii="ＭＳ Ｐゴシック" w:hAnsi="ＭＳ Ｐゴシック" w:eastAsia="ＭＳ Ｐゴシック"/>
              </w:rPr>
            </w:pPr>
          </w:p>
        </w:tc>
        <w:tc>
          <w:tcPr>
            <w:tcW w:w="2410" w:type="dxa"/>
            <w:tcBorders>
              <w:top w:val="double" w:color="auto" w:sz="4" w:space="0"/>
              <w:left w:val="nil"/>
              <w:bottom w:val="double" w:color="auto" w:sz="4" w:space="0"/>
              <w:right w:val="single" w:color="000000"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計</w:t>
            </w:r>
          </w:p>
        </w:tc>
        <w:tc>
          <w:tcPr>
            <w:tcW w:w="672" w:type="dxa"/>
            <w:tcBorders>
              <w:top w:val="double" w:color="auto" w:sz="4" w:space="0"/>
              <w:left w:val="nil"/>
              <w:bottom w:val="double" w:color="auto"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4</w:t>
            </w:r>
          </w:p>
        </w:tc>
        <w:tc>
          <w:tcPr>
            <w:tcW w:w="702" w:type="dxa"/>
            <w:tcBorders>
              <w:top w:val="double" w:color="auto" w:sz="4" w:space="0"/>
              <w:left w:val="nil"/>
              <w:bottom w:val="double" w:color="auto"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2</w:t>
            </w:r>
          </w:p>
        </w:tc>
        <w:tc>
          <w:tcPr>
            <w:tcW w:w="643" w:type="dxa"/>
            <w:tcBorders>
              <w:top w:val="double" w:color="auto" w:sz="4" w:space="0"/>
              <w:left w:val="nil"/>
              <w:bottom w:val="double" w:color="auto"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2</w:t>
            </w:r>
          </w:p>
        </w:tc>
        <w:tc>
          <w:tcPr>
            <w:tcW w:w="673" w:type="dxa"/>
            <w:tcBorders>
              <w:top w:val="double" w:color="auto" w:sz="4" w:space="0"/>
              <w:left w:val="nil"/>
              <w:bottom w:val="double" w:color="auto"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2</w:t>
            </w:r>
          </w:p>
        </w:tc>
        <w:tc>
          <w:tcPr>
            <w:tcW w:w="672" w:type="dxa"/>
            <w:tcBorders>
              <w:top w:val="double" w:color="auto" w:sz="4" w:space="0"/>
              <w:left w:val="nil"/>
              <w:bottom w:val="double" w:color="auto"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0</w:t>
            </w:r>
          </w:p>
        </w:tc>
        <w:tc>
          <w:tcPr>
            <w:tcW w:w="673" w:type="dxa"/>
            <w:tcBorders>
              <w:top w:val="double" w:color="auto" w:sz="4" w:space="0"/>
              <w:left w:val="nil"/>
              <w:bottom w:val="double" w:color="auto"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3</w:t>
            </w:r>
          </w:p>
        </w:tc>
        <w:tc>
          <w:tcPr>
            <w:tcW w:w="672" w:type="dxa"/>
            <w:tcBorders>
              <w:top w:val="double" w:color="auto" w:sz="4" w:space="0"/>
              <w:left w:val="nil"/>
              <w:bottom w:val="double" w:color="auto"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0</w:t>
            </w:r>
          </w:p>
        </w:tc>
        <w:tc>
          <w:tcPr>
            <w:tcW w:w="673" w:type="dxa"/>
            <w:tcBorders>
              <w:top w:val="double" w:color="auto" w:sz="4" w:space="0"/>
              <w:left w:val="nil"/>
              <w:bottom w:val="double" w:color="auto"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13</w:t>
            </w:r>
          </w:p>
        </w:tc>
      </w:tr>
      <w:tr>
        <w:trPr>
          <w:cantSplit/>
          <w:trHeight w:val="397" w:hRule="atLeast"/>
        </w:trPr>
        <w:tc>
          <w:tcPr>
            <w:tcW w:w="3260" w:type="dxa"/>
            <w:gridSpan w:val="2"/>
            <w:tcBorders>
              <w:top w:val="double" w:color="auto" w:sz="4" w:space="0"/>
              <w:left w:val="none" w:color="auto" w:sz="0" w:space="0"/>
              <w:bottom w:val="none" w:color="auto" w:sz="0" w:space="0"/>
              <w:right w:val="single" w:color="000000"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合計</w:t>
            </w:r>
          </w:p>
        </w:tc>
        <w:tc>
          <w:tcPr>
            <w:tcW w:w="672" w:type="dxa"/>
            <w:tcBorders>
              <w:top w:val="doub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62</w:t>
            </w:r>
          </w:p>
        </w:tc>
        <w:tc>
          <w:tcPr>
            <w:tcW w:w="702" w:type="dxa"/>
            <w:tcBorders>
              <w:top w:val="doub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42</w:t>
            </w:r>
          </w:p>
        </w:tc>
        <w:tc>
          <w:tcPr>
            <w:tcW w:w="643" w:type="dxa"/>
            <w:tcBorders>
              <w:top w:val="doub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38</w:t>
            </w:r>
          </w:p>
        </w:tc>
        <w:tc>
          <w:tcPr>
            <w:tcW w:w="673" w:type="dxa"/>
            <w:tcBorders>
              <w:top w:val="doub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17</w:t>
            </w:r>
          </w:p>
        </w:tc>
        <w:tc>
          <w:tcPr>
            <w:tcW w:w="672" w:type="dxa"/>
            <w:tcBorders>
              <w:top w:val="doub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1</w:t>
            </w:r>
          </w:p>
        </w:tc>
        <w:tc>
          <w:tcPr>
            <w:tcW w:w="673" w:type="dxa"/>
            <w:tcBorders>
              <w:top w:val="doub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39</w:t>
            </w:r>
          </w:p>
        </w:tc>
        <w:tc>
          <w:tcPr>
            <w:tcW w:w="672" w:type="dxa"/>
            <w:tcBorders>
              <w:top w:val="doub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4</w:t>
            </w:r>
          </w:p>
        </w:tc>
        <w:tc>
          <w:tcPr>
            <w:tcW w:w="673" w:type="dxa"/>
            <w:tcBorders>
              <w:top w:val="doub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203</w:t>
            </w:r>
          </w:p>
        </w:tc>
      </w:tr>
    </w:tbl>
    <w:p>
      <w:pPr>
        <w:pStyle w:val="41"/>
        <w:rPr>
          <w:rFonts w:hint="default"/>
          <w:color w:val="auto"/>
          <w:highlight w:val="none"/>
        </w:rPr>
      </w:pPr>
      <w:bookmarkStart w:id="40" w:name="_Toc150813511"/>
    </w:p>
    <w:p>
      <w:pPr>
        <w:pStyle w:val="0"/>
        <w:widowControl w:val="1"/>
        <w:jc w:val="left"/>
        <w:rPr>
          <w:rFonts w:hint="default"/>
          <w:color w:val="auto"/>
          <w:highlight w:val="none"/>
        </w:rPr>
      </w:pPr>
      <w:r>
        <w:rPr>
          <w:rFonts w:hint="default"/>
          <w:b w:val="1"/>
          <w:color w:val="auto"/>
          <w:highlight w:val="none"/>
        </w:rPr>
        <w:br w:type="page"/>
      </w:r>
    </w:p>
    <w:p>
      <w:pPr>
        <w:pStyle w:val="26"/>
        <w:spacing w:after="76" w:afterLines="0" w:afterAutospacing="0"/>
        <w:rPr>
          <w:rFonts w:hint="default"/>
          <w:color w:val="auto"/>
          <w:highlight w:val="none"/>
        </w:rPr>
      </w:pPr>
      <w:bookmarkStart w:id="41" w:name="_Toc152160625"/>
      <w:r>
        <w:rPr>
          <w:rFonts w:hint="default"/>
          <w:color w:val="auto"/>
          <w:highlight w:val="none"/>
        </w:rPr>
        <w:t>（</w:t>
      </w:r>
      <w:r>
        <w:rPr>
          <w:rFonts w:hint="eastAsia"/>
          <w:color w:val="auto"/>
          <w:highlight w:val="none"/>
        </w:rPr>
        <w:t>４</w:t>
      </w:r>
      <w:r>
        <w:rPr>
          <w:rFonts w:hint="default"/>
          <w:color w:val="auto"/>
          <w:highlight w:val="none"/>
        </w:rPr>
        <w:t>）</w:t>
      </w:r>
      <w:r>
        <w:rPr>
          <w:rFonts w:hint="eastAsia"/>
          <w:color w:val="auto"/>
          <w:highlight w:val="none"/>
        </w:rPr>
        <w:t>日常生活圏域別の特徴</w:t>
      </w:r>
      <w:bookmarkEnd w:id="40"/>
      <w:bookmarkEnd w:id="41"/>
    </w:p>
    <w:p>
      <w:pPr>
        <w:pStyle w:val="0"/>
        <w:tabs>
          <w:tab w:val="left" w:leader="none" w:pos="3255"/>
        </w:tabs>
        <w:spacing w:before="111" w:beforeLines="30" w:beforeAutospacing="0"/>
        <w:jc w:val="center"/>
        <w:rPr>
          <w:rFonts w:hint="default" w:ascii="BIZ UDPゴシック" w:hAnsi="BIZ UDPゴシック" w:eastAsia="BIZ UDPゴシック"/>
          <w:color w:val="auto"/>
          <w:sz w:val="28"/>
          <w:highlight w:val="none"/>
        </w:rPr>
      </w:pPr>
      <w:r>
        <w:rPr>
          <w:rFonts w:hint="eastAsia" w:ascii="BIZ UDPゴシック" w:hAnsi="BIZ UDPゴシック" w:eastAsia="BIZ UDPゴシック"/>
          <w:color w:val="auto"/>
          <w:sz w:val="28"/>
          <w:highlight w:val="none"/>
        </w:rPr>
        <w:t>≪廿日市東部圏域≫</w:t>
      </w:r>
    </w:p>
    <w:tbl>
      <w:tblPr>
        <w:tblStyle w:val="81"/>
        <w:tblW w:w="9302" w:type="dxa"/>
        <w:jc w:val="center"/>
        <w:tblInd w:w="0" w:type="dxa"/>
        <w:tblLayout w:type="fixed"/>
        <w:tblLook w:firstRow="1" w:lastRow="0" w:firstColumn="1" w:lastColumn="0" w:noHBand="0" w:noVBand="1" w:val="04A0"/>
      </w:tblPr>
      <w:tblGrid>
        <w:gridCol w:w="1860"/>
        <w:gridCol w:w="1860"/>
        <w:gridCol w:w="1861"/>
        <w:gridCol w:w="1860"/>
        <w:gridCol w:w="1861"/>
      </w:tblGrid>
      <w:tr>
        <w:trPr>
          <w:trHeight w:val="1191" w:hRule="atLeast"/>
        </w:trPr>
        <w:tc>
          <w:tcPr>
            <w:tcW w:w="1860" w:type="dxa"/>
            <w:shd w:val="clear" w:color="auto" w:themeFill="accent5" w:themeFillTint="66" w:themeFillShade="FF"/>
            <w:vAlign w:val="center"/>
          </w:tcPr>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総人口</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8"/>
                <w:highlight w:val="none"/>
              </w:rPr>
              <w:t>（Ｒ</w:t>
            </w:r>
            <w:r>
              <w:rPr>
                <w:rFonts w:hint="eastAsia" w:ascii="BIZ UDPゴシック" w:hAnsi="BIZ UDPゴシック" w:eastAsia="BIZ UDPゴシック"/>
                <w:color w:val="auto"/>
                <w:sz w:val="18"/>
                <w:highlight w:val="none"/>
              </w:rPr>
              <w:t>5.9</w:t>
            </w:r>
            <w:r>
              <w:rPr>
                <w:rFonts w:hint="eastAsia" w:ascii="BIZ UDPゴシック" w:hAnsi="BIZ UDPゴシック" w:eastAsia="BIZ UDPゴシック"/>
                <w:color w:val="auto"/>
                <w:sz w:val="18"/>
                <w:highlight w:val="none"/>
              </w:rPr>
              <w:t>月末現在）</w:t>
            </w:r>
          </w:p>
        </w:tc>
        <w:tc>
          <w:tcPr>
            <w:tcW w:w="1860" w:type="dxa"/>
            <w:shd w:val="clear" w:color="auto" w:themeFill="accent5" w:themeFillTint="66" w:themeFillShade="FF"/>
            <w:vAlign w:val="center"/>
          </w:tcPr>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高齢者数</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高齢化率</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6"/>
                <w:highlight w:val="none"/>
              </w:rPr>
              <w:t>（Ｒ</w:t>
            </w:r>
            <w:r>
              <w:rPr>
                <w:rFonts w:hint="eastAsia" w:ascii="BIZ UDPゴシック" w:hAnsi="BIZ UDPゴシック" w:eastAsia="BIZ UDPゴシック"/>
                <w:color w:val="auto"/>
                <w:sz w:val="16"/>
                <w:highlight w:val="none"/>
              </w:rPr>
              <w:t>5.9</w:t>
            </w:r>
            <w:r>
              <w:rPr>
                <w:rFonts w:hint="eastAsia" w:ascii="BIZ UDPゴシック" w:hAnsi="BIZ UDPゴシック" w:eastAsia="BIZ UDPゴシック"/>
                <w:color w:val="auto"/>
                <w:sz w:val="16"/>
                <w:highlight w:val="none"/>
              </w:rPr>
              <w:t>月末現在）</w:t>
            </w:r>
          </w:p>
        </w:tc>
        <w:tc>
          <w:tcPr>
            <w:tcW w:w="1861" w:type="dxa"/>
            <w:shd w:val="clear" w:color="auto" w:themeFill="accent5" w:themeFillTint="66" w:themeFillShade="FF"/>
            <w:vAlign w:val="center"/>
          </w:tcPr>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後期高齢者数</w:t>
            </w:r>
          </w:p>
          <w:p>
            <w:pPr>
              <w:pStyle w:val="0"/>
              <w:ind w:left="-110" w:leftChars="-50" w:right="-110" w:rightChars="-50"/>
              <w:jc w:val="center"/>
              <w:rPr>
                <w:rFonts w:hint="default" w:ascii="BIZ UDPゴシック" w:hAnsi="BIZ UDPゴシック" w:eastAsia="BIZ UDPゴシック"/>
                <w:color w:val="auto"/>
                <w:sz w:val="20"/>
                <w:highlight w:val="none"/>
              </w:rPr>
            </w:pPr>
            <w:r>
              <w:rPr>
                <w:rFonts w:hint="eastAsia" w:ascii="BIZ UDPゴシック" w:hAnsi="BIZ UDPゴシック" w:eastAsia="BIZ UDPゴシック"/>
                <w:color w:val="auto"/>
                <w:sz w:val="20"/>
                <w:highlight w:val="none"/>
              </w:rPr>
              <w:t>後期高齢者数割合</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6"/>
                <w:highlight w:val="none"/>
              </w:rPr>
              <w:t>（Ｒ</w:t>
            </w:r>
            <w:r>
              <w:rPr>
                <w:rFonts w:hint="eastAsia" w:ascii="BIZ UDPゴシック" w:hAnsi="BIZ UDPゴシック" w:eastAsia="BIZ UDPゴシック"/>
                <w:color w:val="auto"/>
                <w:sz w:val="16"/>
                <w:highlight w:val="none"/>
              </w:rPr>
              <w:t>5.9</w:t>
            </w:r>
            <w:r>
              <w:rPr>
                <w:rFonts w:hint="eastAsia" w:ascii="BIZ UDPゴシック" w:hAnsi="BIZ UDPゴシック" w:eastAsia="BIZ UDPゴシック"/>
                <w:color w:val="auto"/>
                <w:sz w:val="16"/>
                <w:highlight w:val="none"/>
              </w:rPr>
              <w:t>月末現在）</w:t>
            </w:r>
          </w:p>
        </w:tc>
        <w:tc>
          <w:tcPr>
            <w:tcW w:w="1860" w:type="dxa"/>
            <w:shd w:val="clear" w:color="auto" w:themeFill="accent5" w:themeFillTint="66" w:themeFillShade="FF"/>
            <w:vAlign w:val="center"/>
          </w:tcPr>
          <w:p>
            <w:pPr>
              <w:pStyle w:val="0"/>
              <w:spacing w:line="220" w:lineRule="exact"/>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要支援・要介護</w:t>
            </w:r>
          </w:p>
          <w:p>
            <w:pPr>
              <w:pStyle w:val="0"/>
              <w:spacing w:line="220" w:lineRule="exact"/>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認定者数</w:t>
            </w:r>
          </w:p>
          <w:p>
            <w:pPr>
              <w:pStyle w:val="0"/>
              <w:spacing w:line="220" w:lineRule="exact"/>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認定率</w:t>
            </w:r>
          </w:p>
          <w:p>
            <w:pPr>
              <w:pStyle w:val="0"/>
              <w:jc w:val="center"/>
              <w:rPr>
                <w:rFonts w:hint="default" w:ascii="BIZ UDPゴシック" w:hAnsi="BIZ UDPゴシック" w:eastAsia="BIZ UDPゴシック"/>
                <w:color w:val="auto"/>
                <w:sz w:val="16"/>
                <w:highlight w:val="none"/>
              </w:rPr>
            </w:pPr>
            <w:r>
              <w:rPr>
                <w:rFonts w:hint="eastAsia" w:ascii="BIZ UDPゴシック" w:hAnsi="BIZ UDPゴシック" w:eastAsia="BIZ UDPゴシック"/>
                <w:color w:val="auto"/>
                <w:sz w:val="16"/>
                <w:highlight w:val="none"/>
              </w:rPr>
              <w:t>（第</w:t>
            </w:r>
            <w:r>
              <w:rPr>
                <w:rFonts w:hint="eastAsia" w:ascii="BIZ UDPゴシック" w:hAnsi="BIZ UDPゴシック" w:eastAsia="BIZ UDPゴシック"/>
                <w:color w:val="auto"/>
                <w:sz w:val="16"/>
                <w:highlight w:val="none"/>
              </w:rPr>
              <w:t>1</w:t>
            </w:r>
            <w:r>
              <w:rPr>
                <w:rFonts w:hint="eastAsia" w:ascii="BIZ UDPゴシック" w:hAnsi="BIZ UDPゴシック" w:eastAsia="BIZ UDPゴシック"/>
                <w:color w:val="auto"/>
                <w:sz w:val="16"/>
                <w:highlight w:val="none"/>
              </w:rPr>
              <w:t>号被保険者）</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6"/>
                <w:highlight w:val="none"/>
              </w:rPr>
              <w:t>（Ｒ</w:t>
            </w:r>
            <w:r>
              <w:rPr>
                <w:rFonts w:hint="eastAsia" w:ascii="BIZ UDPゴシック" w:hAnsi="BIZ UDPゴシック" w:eastAsia="BIZ UDPゴシック"/>
                <w:color w:val="auto"/>
                <w:sz w:val="16"/>
                <w:highlight w:val="none"/>
              </w:rPr>
              <w:t>5.9</w:t>
            </w:r>
            <w:r>
              <w:rPr>
                <w:rFonts w:hint="eastAsia" w:ascii="BIZ UDPゴシック" w:hAnsi="BIZ UDPゴシック" w:eastAsia="BIZ UDPゴシック"/>
                <w:color w:val="auto"/>
                <w:sz w:val="16"/>
                <w:highlight w:val="none"/>
              </w:rPr>
              <w:t>月末現在）</w:t>
            </w:r>
          </w:p>
        </w:tc>
        <w:tc>
          <w:tcPr>
            <w:tcW w:w="1861" w:type="dxa"/>
            <w:shd w:val="clear" w:color="auto" w:themeFill="accent5" w:themeFillTint="66" w:themeFillShade="FF"/>
            <w:vAlign w:val="center"/>
          </w:tcPr>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認知症高齢者数</w:t>
            </w:r>
          </w:p>
          <w:p>
            <w:pPr>
              <w:pStyle w:val="0"/>
              <w:ind w:left="-110" w:leftChars="-50" w:right="-110" w:rightChars="-50"/>
              <w:jc w:val="center"/>
              <w:rPr>
                <w:rFonts w:hint="default" w:ascii="BIZ UDPゴシック" w:hAnsi="BIZ UDPゴシック" w:eastAsia="BIZ UDPゴシック"/>
                <w:color w:val="auto"/>
                <w:sz w:val="18"/>
                <w:highlight w:val="none"/>
              </w:rPr>
            </w:pPr>
            <w:r>
              <w:rPr>
                <w:rFonts w:hint="eastAsia" w:ascii="BIZ UDPゴシック" w:hAnsi="BIZ UDPゴシック" w:eastAsia="BIZ UDPゴシック"/>
                <w:color w:val="auto"/>
                <w:sz w:val="18"/>
                <w:highlight w:val="none"/>
              </w:rPr>
              <w:t>高齢者数に占める割合</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6"/>
                <w:highlight w:val="none"/>
              </w:rPr>
              <w:t>（Ｒ</w:t>
            </w:r>
            <w:r>
              <w:rPr>
                <w:rFonts w:hint="eastAsia" w:ascii="BIZ UDPゴシック" w:hAnsi="BIZ UDPゴシック" w:eastAsia="BIZ UDPゴシック"/>
                <w:color w:val="auto"/>
                <w:sz w:val="16"/>
                <w:highlight w:val="none"/>
              </w:rPr>
              <w:t>5.9</w:t>
            </w:r>
            <w:r>
              <w:rPr>
                <w:rFonts w:hint="eastAsia" w:ascii="BIZ UDPゴシック" w:hAnsi="BIZ UDPゴシック" w:eastAsia="BIZ UDPゴシック"/>
                <w:color w:val="auto"/>
                <w:sz w:val="16"/>
                <w:highlight w:val="none"/>
              </w:rPr>
              <w:t>月末現在）</w:t>
            </w:r>
          </w:p>
        </w:tc>
      </w:tr>
      <w:tr>
        <w:trPr>
          <w:trHeight w:val="624" w:hRule="atLeast"/>
        </w:trPr>
        <w:tc>
          <w:tcPr>
            <w:tcW w:w="1860" w:type="dxa"/>
            <w:vAlign w:val="center"/>
          </w:tcPr>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31,55</w:t>
            </w:r>
            <w:r>
              <w:rPr>
                <w:rFonts w:hint="eastAsia" w:ascii="BIZ UDPゴシック" w:hAnsi="BIZ UDPゴシック" w:eastAsia="BIZ UDPゴシック"/>
                <w:color w:val="auto"/>
                <w:sz w:val="21"/>
                <w:highlight w:val="none"/>
              </w:rPr>
              <w:t>4</w:t>
            </w:r>
            <w:r>
              <w:rPr>
                <w:rFonts w:hint="eastAsia" w:ascii="BIZ UDPゴシック" w:hAnsi="BIZ UDPゴシック" w:eastAsia="BIZ UDPゴシック"/>
                <w:color w:val="auto"/>
                <w:sz w:val="21"/>
                <w:highlight w:val="none"/>
              </w:rPr>
              <w:t>人</w:t>
            </w:r>
          </w:p>
        </w:tc>
        <w:tc>
          <w:tcPr>
            <w:tcW w:w="1860" w:type="dxa"/>
            <w:vAlign w:val="center"/>
          </w:tcPr>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7,7</w:t>
            </w:r>
            <w:r>
              <w:rPr>
                <w:rFonts w:hint="eastAsia" w:ascii="BIZ UDPゴシック" w:hAnsi="BIZ UDPゴシック" w:eastAsia="BIZ UDPゴシック"/>
                <w:color w:val="auto"/>
                <w:sz w:val="21"/>
                <w:highlight w:val="none"/>
              </w:rPr>
              <w:t>19</w:t>
            </w:r>
            <w:r>
              <w:rPr>
                <w:rFonts w:hint="eastAsia" w:ascii="BIZ UDPゴシック" w:hAnsi="BIZ UDPゴシック" w:eastAsia="BIZ UDPゴシック"/>
                <w:color w:val="auto"/>
                <w:sz w:val="21"/>
                <w:highlight w:val="none"/>
              </w:rPr>
              <w:t>人</w:t>
            </w:r>
          </w:p>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24.</w:t>
            </w:r>
            <w:r>
              <w:rPr>
                <w:rFonts w:hint="eastAsia" w:ascii="BIZ UDPゴシック" w:hAnsi="BIZ UDPゴシック" w:eastAsia="BIZ UDPゴシック"/>
                <w:color w:val="auto"/>
                <w:sz w:val="21"/>
                <w:highlight w:val="none"/>
              </w:rPr>
              <w:t>5</w:t>
            </w:r>
            <w:r>
              <w:rPr>
                <w:rFonts w:hint="eastAsia" w:ascii="BIZ UDPゴシック" w:hAnsi="BIZ UDPゴシック" w:eastAsia="BIZ UDPゴシック"/>
                <w:color w:val="auto"/>
                <w:sz w:val="21"/>
                <w:highlight w:val="none"/>
              </w:rPr>
              <w:t>％</w:t>
            </w:r>
          </w:p>
        </w:tc>
        <w:tc>
          <w:tcPr>
            <w:tcW w:w="1861" w:type="dxa"/>
            <w:vAlign w:val="center"/>
          </w:tcPr>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4,</w:t>
            </w:r>
            <w:r>
              <w:rPr>
                <w:rFonts w:hint="eastAsia" w:ascii="BIZ UDPゴシック" w:hAnsi="BIZ UDPゴシック" w:eastAsia="BIZ UDPゴシック"/>
                <w:color w:val="auto"/>
                <w:sz w:val="21"/>
                <w:highlight w:val="none"/>
              </w:rPr>
              <w:t>292</w:t>
            </w:r>
            <w:r>
              <w:rPr>
                <w:rFonts w:hint="eastAsia" w:ascii="BIZ UDPゴシック" w:hAnsi="BIZ UDPゴシック" w:eastAsia="BIZ UDPゴシック"/>
                <w:color w:val="auto"/>
                <w:sz w:val="21"/>
                <w:highlight w:val="none"/>
              </w:rPr>
              <w:t>人</w:t>
            </w:r>
          </w:p>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13.</w:t>
            </w:r>
            <w:r>
              <w:rPr>
                <w:rFonts w:hint="eastAsia" w:ascii="BIZ UDPゴシック" w:hAnsi="BIZ UDPゴシック" w:eastAsia="BIZ UDPゴシック"/>
                <w:color w:val="auto"/>
                <w:sz w:val="21"/>
                <w:highlight w:val="none"/>
              </w:rPr>
              <w:t>6</w:t>
            </w:r>
            <w:r>
              <w:rPr>
                <w:rFonts w:hint="eastAsia" w:ascii="BIZ UDPゴシック" w:hAnsi="BIZ UDPゴシック" w:eastAsia="BIZ UDPゴシック"/>
                <w:color w:val="auto"/>
                <w:sz w:val="21"/>
                <w:highlight w:val="none"/>
              </w:rPr>
              <w:t>％</w:t>
            </w:r>
          </w:p>
        </w:tc>
        <w:tc>
          <w:tcPr>
            <w:tcW w:w="1860" w:type="dxa"/>
            <w:vAlign w:val="center"/>
          </w:tcPr>
          <w:p>
            <w:pPr>
              <w:pStyle w:val="0"/>
              <w:jc w:val="righ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1,425</w:t>
            </w:r>
            <w:r>
              <w:rPr>
                <w:rFonts w:hint="eastAsia" w:ascii="BIZ UDPゴシック" w:hAnsi="BIZ UDPゴシック" w:eastAsia="BIZ UDPゴシック"/>
                <w:color w:val="auto"/>
                <w:sz w:val="21"/>
                <w:highlight w:val="none"/>
              </w:rPr>
              <w:t>人</w:t>
            </w:r>
          </w:p>
          <w:p>
            <w:pPr>
              <w:pStyle w:val="0"/>
              <w:jc w:val="righ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18.5</w:t>
            </w:r>
            <w:r>
              <w:rPr>
                <w:rFonts w:hint="eastAsia" w:ascii="BIZ UDPゴシック" w:hAnsi="BIZ UDPゴシック" w:eastAsia="BIZ UDPゴシック"/>
                <w:color w:val="auto"/>
                <w:sz w:val="21"/>
                <w:highlight w:val="none"/>
              </w:rPr>
              <w:t>％</w:t>
            </w:r>
          </w:p>
        </w:tc>
        <w:tc>
          <w:tcPr>
            <w:tcW w:w="1861" w:type="dxa"/>
            <w:vAlign w:val="center"/>
          </w:tcPr>
          <w:p>
            <w:pPr>
              <w:pStyle w:val="0"/>
              <w:jc w:val="righ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784</w:t>
            </w:r>
            <w:r>
              <w:rPr>
                <w:rFonts w:hint="eastAsia" w:ascii="BIZ UDPゴシック" w:hAnsi="BIZ UDPゴシック" w:eastAsia="BIZ UDPゴシック"/>
                <w:color w:val="auto"/>
                <w:sz w:val="21"/>
                <w:highlight w:val="none"/>
              </w:rPr>
              <w:t>人</w:t>
            </w:r>
          </w:p>
          <w:p>
            <w:pPr>
              <w:pStyle w:val="0"/>
              <w:jc w:val="righ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10.2</w:t>
            </w:r>
            <w:r>
              <w:rPr>
                <w:rFonts w:hint="eastAsia" w:ascii="BIZ UDPゴシック" w:hAnsi="BIZ UDPゴシック" w:eastAsia="BIZ UDPゴシック"/>
                <w:color w:val="auto"/>
                <w:sz w:val="21"/>
                <w:highlight w:val="none"/>
              </w:rPr>
              <w:t>％</w:t>
            </w:r>
          </w:p>
        </w:tc>
      </w:tr>
    </w:tbl>
    <w:tbl>
      <w:tblPr>
        <w:tblStyle w:val="90"/>
        <w:tblpPr w:leftFromText="142" w:rightFromText="142" w:topFromText="0" w:bottomFromText="0" w:vertAnchor="text" w:horzAnchor="text" w:tblpX="3219" w:tblpY="149"/>
        <w:tblW w:w="0" w:type="auto"/>
        <w:tblLayout w:type="fixed"/>
        <w:tblLook w:firstRow="1" w:lastRow="0" w:firstColumn="1" w:lastColumn="0" w:noHBand="0" w:noVBand="1" w:val="04A0"/>
      </w:tblPr>
      <w:tblGrid>
        <w:gridCol w:w="1843"/>
        <w:gridCol w:w="4069"/>
      </w:tblGrid>
      <w:tr>
        <w:trPr/>
        <w:tc>
          <w:tcPr>
            <w:tcW w:w="1843" w:type="dxa"/>
            <w:vAlign w:val="center"/>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小学校</w:t>
            </w:r>
          </w:p>
        </w:tc>
        <w:tc>
          <w:tcPr>
            <w:tcW w:w="4069" w:type="dxa"/>
            <w:vAlign w:val="center"/>
          </w:tcPr>
          <w:p>
            <w:pPr>
              <w:pStyle w:val="0"/>
              <w:spacing w:line="260" w:lineRule="exac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佐方、廿日市、平良、原</w:t>
            </w:r>
          </w:p>
        </w:tc>
      </w:tr>
      <w:tr>
        <w:trPr/>
        <w:tc>
          <w:tcPr>
            <w:tcW w:w="1843" w:type="dxa"/>
            <w:vAlign w:val="center"/>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中学校</w:t>
            </w:r>
          </w:p>
        </w:tc>
        <w:tc>
          <w:tcPr>
            <w:tcW w:w="4069" w:type="dxa"/>
            <w:vAlign w:val="center"/>
          </w:tcPr>
          <w:p>
            <w:pPr>
              <w:pStyle w:val="0"/>
              <w:spacing w:line="260" w:lineRule="exac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廿日市、七尾</w:t>
            </w:r>
          </w:p>
        </w:tc>
      </w:tr>
      <w:tr>
        <w:trPr/>
        <w:tc>
          <w:tcPr>
            <w:tcW w:w="1843" w:type="dxa"/>
            <w:vAlign w:val="center"/>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交通機関</w:t>
            </w:r>
          </w:p>
        </w:tc>
        <w:tc>
          <w:tcPr>
            <w:tcW w:w="4069" w:type="dxa"/>
            <w:vAlign w:val="center"/>
          </w:tcPr>
          <w:p>
            <w:pPr>
              <w:pStyle w:val="0"/>
              <w:spacing w:line="260" w:lineRule="exac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鉄道：ＪＲ山陽線、広島電鉄宮島線</w:t>
            </w:r>
          </w:p>
          <w:p>
            <w:pPr>
              <w:pStyle w:val="0"/>
              <w:spacing w:line="260" w:lineRule="exac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バス：広島電鉄（四季が丘団地線、津田線）、廿日市さくらバス（佐方ルート、原ルート）</w:t>
            </w:r>
          </w:p>
        </w:tc>
      </w:tr>
      <w:tr>
        <w:trPr/>
        <w:tc>
          <w:tcPr>
            <w:tcW w:w="1843" w:type="dxa"/>
            <w:vAlign w:val="center"/>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市営住宅</w:t>
            </w:r>
          </w:p>
        </w:tc>
        <w:tc>
          <w:tcPr>
            <w:tcW w:w="4069" w:type="dxa"/>
            <w:vAlign w:val="center"/>
          </w:tcPr>
          <w:p>
            <w:pPr>
              <w:pStyle w:val="0"/>
              <w:spacing w:line="260" w:lineRule="exac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大東、住吉、桜尾、樫原、長橋</w:t>
            </w:r>
          </w:p>
        </w:tc>
      </w:tr>
      <w:tr>
        <w:trPr>
          <w:trHeight w:val="460" w:hRule="atLeast"/>
        </w:trPr>
        <w:tc>
          <w:tcPr>
            <w:tcW w:w="1843" w:type="dxa"/>
            <w:vAlign w:val="center"/>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市民センター等</w:t>
            </w:r>
          </w:p>
        </w:tc>
        <w:tc>
          <w:tcPr>
            <w:tcW w:w="4069" w:type="dxa"/>
            <w:vAlign w:val="center"/>
          </w:tcPr>
          <w:p>
            <w:pPr>
              <w:pStyle w:val="0"/>
              <w:spacing w:line="260" w:lineRule="exac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中央、佐方、平良、原、佐方会館</w:t>
            </w:r>
          </w:p>
        </w:tc>
      </w:tr>
      <w:tr>
        <w:trPr>
          <w:trHeight w:val="926" w:hRule="atLeast"/>
        </w:trPr>
        <w:tc>
          <w:tcPr>
            <w:tcW w:w="1843"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集会所</w:t>
            </w:r>
          </w:p>
        </w:tc>
        <w:tc>
          <w:tcPr>
            <w:tcW w:w="4069" w:type="dxa"/>
            <w:vAlign w:val="top"/>
          </w:tcPr>
          <w:p>
            <w:pPr>
              <w:pStyle w:val="0"/>
              <w:spacing w:line="260" w:lineRule="exac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佐方三丁目、佐方四丁目、佐方上、佐方西、佐方本町、大東、桜尾一丁目、桜尾二丁目、廿日市一丁目、城内、須賀、本町、可愛、平良山手、新宮二丁目、下平良一丁目、中平良、上平良、速谷、橋本、国実、川末、後畑、平良一丁目、天神、長野、陽光台、住吉住宅（市営）</w:t>
            </w:r>
          </w:p>
        </w:tc>
      </w:tr>
      <w:tr>
        <w:trPr>
          <w:trHeight w:val="500" w:hRule="atLeast"/>
        </w:trPr>
        <w:tc>
          <w:tcPr>
            <w:tcW w:w="1843"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その他</w:t>
            </w:r>
          </w:p>
        </w:tc>
        <w:tc>
          <w:tcPr>
            <w:tcW w:w="4069" w:type="dxa"/>
            <w:vAlign w:val="top"/>
          </w:tcPr>
          <w:p>
            <w:pPr>
              <w:pStyle w:val="0"/>
              <w:spacing w:line="260" w:lineRule="exac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市民活動センター、総合健康福祉センター、市民図書館、文化ホール、スポーツセンター、県立廿日市高等学校、山陽女学園中等部・高等部、山陽女子短期大学</w:t>
            </w:r>
          </w:p>
        </w:tc>
      </w:tr>
    </w:tbl>
    <w:p>
      <w:pPr>
        <w:pStyle w:val="0"/>
        <w:rPr>
          <w:rFonts w:hint="default" w:ascii="BIZ UDPゴシック" w:hAnsi="BIZ UDPゴシック" w:eastAsia="BIZ UDPゴシック"/>
          <w:color w:val="auto"/>
          <w:highlight w:val="none"/>
        </w:rPr>
      </w:pPr>
      <w:r>
        <w:rPr>
          <w:rFonts w:hint="eastAsia"/>
          <w:color w:val="auto"/>
          <w:highlight w:val="none"/>
        </w:rPr>
        <w:drawing>
          <wp:anchor distT="0" distB="0" distL="203200" distR="203200" simplePos="0" relativeHeight="102" behindDoc="0" locked="0" layoutInCell="1" hidden="0" allowOverlap="1">
            <wp:simplePos x="0" y="0"/>
            <wp:positionH relativeFrom="column">
              <wp:posOffset>-105410</wp:posOffset>
            </wp:positionH>
            <wp:positionV relativeFrom="paragraph">
              <wp:posOffset>276225</wp:posOffset>
            </wp:positionV>
            <wp:extent cx="1960245" cy="2325370"/>
            <wp:effectExtent l="0" t="0" r="0" b="0"/>
            <wp:wrapNone/>
            <wp:docPr id="1081" name="オブジェクト 0" descr="座る, 鳥 が含まれている画像&#10;&#10;自動的に生成された説明"/>
            <a:graphic xmlns:a="http://schemas.openxmlformats.org/drawingml/2006/main">
              <a:graphicData uri="http://schemas.openxmlformats.org/drawingml/2006/picture">
                <pic:pic xmlns:pic="http://schemas.openxmlformats.org/drawingml/2006/picture">
                  <pic:nvPicPr>
                    <pic:cNvPr id="1081" name="オブジェクト 0" descr="座る, 鳥 が含まれている画像&#10;&#10;自動的に生成された説明"/>
                    <pic:cNvPicPr>
                      <a:picLocks noChangeAspect="1"/>
                    </pic:cNvPicPr>
                  </pic:nvPicPr>
                  <pic:blipFill>
                    <a:blip r:embed="rId25"/>
                    <a:stretch>
                      <a:fillRect/>
                    </a:stretch>
                  </pic:blipFill>
                  <pic:spPr>
                    <a:xfrm>
                      <a:off x="0" y="0"/>
                      <a:ext cx="1960245" cy="2325370"/>
                    </a:xfrm>
                    <a:prstGeom prst="rect">
                      <a:avLst/>
                    </a:prstGeom>
                  </pic:spPr>
                </pic:pic>
              </a:graphicData>
            </a:graphic>
          </wp:anchor>
        </w:drawing>
      </w:r>
      <w:r>
        <w:rPr>
          <w:rFonts w:hint="eastAsia" w:ascii="BIZ UDPゴシック" w:hAnsi="BIZ UDPゴシック" w:eastAsia="BIZ UDPゴシック"/>
          <w:color w:val="auto"/>
          <w:highlight w:val="none"/>
        </w:rPr>
        <w:t>〔地理的特徴〕</w:t>
      </w: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〔地域資源〕</w:t>
      </w:r>
    </w:p>
    <w:tbl>
      <w:tblPr>
        <w:tblStyle w:val="81"/>
        <w:tblW w:w="9180" w:type="dxa"/>
        <w:tblInd w:w="0" w:type="dxa"/>
        <w:tblLayout w:type="fixed"/>
        <w:tblLook w:firstRow="1" w:lastRow="0" w:firstColumn="1" w:lastColumn="0" w:noHBand="0" w:noVBand="1" w:val="04A0"/>
      </w:tblPr>
      <w:tblGrid>
        <w:gridCol w:w="2410"/>
        <w:gridCol w:w="525"/>
        <w:gridCol w:w="2730"/>
        <w:gridCol w:w="455"/>
        <w:gridCol w:w="2493"/>
        <w:gridCol w:w="567"/>
      </w:tblGrid>
      <w:tr>
        <w:trPr/>
        <w:tc>
          <w:tcPr>
            <w:tcW w:w="9180" w:type="dxa"/>
            <w:gridSpan w:val="6"/>
            <w:shd w:val="clear" w:color="auto" w:fill="0070C0"/>
            <w:vAlign w:val="top"/>
          </w:tcPr>
          <w:p>
            <w:pPr>
              <w:pStyle w:val="0"/>
              <w:jc w:val="center"/>
              <w:rPr>
                <w:rFonts w:hint="default"/>
                <w:color w:val="auto"/>
                <w:sz w:val="20"/>
                <w:highlight w:val="none"/>
              </w:rPr>
            </w:pPr>
            <w:r>
              <w:rPr>
                <w:rFonts w:hint="eastAsia"/>
                <w:color w:val="auto"/>
                <w:sz w:val="20"/>
                <w:highlight w:val="none"/>
              </w:rPr>
              <w:t>生活関連（令和</w:t>
            </w:r>
            <w:r>
              <w:rPr>
                <w:rFonts w:hint="eastAsia"/>
                <w:color w:val="auto"/>
                <w:sz w:val="20"/>
                <w:highlight w:val="none"/>
              </w:rPr>
              <w:t>5</w:t>
            </w:r>
            <w:r>
              <w:rPr>
                <w:rFonts w:hint="eastAsia"/>
                <w:color w:val="auto"/>
                <w:sz w:val="20"/>
                <w:highlight w:val="none"/>
              </w:rPr>
              <w:t>年</w:t>
            </w:r>
            <w:r>
              <w:rPr>
                <w:rFonts w:hint="eastAsia"/>
                <w:color w:val="auto"/>
                <w:sz w:val="20"/>
                <w:highlight w:val="none"/>
              </w:rPr>
              <w:t>8</w:t>
            </w:r>
            <w:r>
              <w:rPr>
                <w:rFonts w:hint="eastAsia"/>
                <w:color w:val="auto"/>
                <w:sz w:val="20"/>
                <w:highlight w:val="none"/>
              </w:rPr>
              <w:t>月末現在）</w:t>
            </w:r>
          </w:p>
        </w:tc>
      </w:tr>
      <w:tr>
        <w:trPr/>
        <w:tc>
          <w:tcPr>
            <w:tcW w:w="2410" w:type="dxa"/>
            <w:vAlign w:val="top"/>
          </w:tcPr>
          <w:p>
            <w:pPr>
              <w:pStyle w:val="0"/>
              <w:rPr>
                <w:rFonts w:hint="default"/>
                <w:color w:val="auto"/>
                <w:sz w:val="20"/>
                <w:highlight w:val="none"/>
              </w:rPr>
            </w:pPr>
            <w:r>
              <w:rPr>
                <w:rFonts w:hint="eastAsia"/>
                <w:color w:val="auto"/>
                <w:sz w:val="20"/>
                <w:highlight w:val="none"/>
              </w:rPr>
              <w:t>地域包括支援センター</w:t>
            </w:r>
          </w:p>
        </w:tc>
        <w:tc>
          <w:tcPr>
            <w:tcW w:w="525" w:type="dxa"/>
            <w:vAlign w:val="top"/>
          </w:tcPr>
          <w:p>
            <w:pPr>
              <w:pStyle w:val="0"/>
              <w:jc w:val="right"/>
              <w:rPr>
                <w:rFonts w:hint="default"/>
                <w:color w:val="auto"/>
                <w:sz w:val="20"/>
                <w:highlight w:val="none"/>
              </w:rPr>
            </w:pPr>
            <w:r>
              <w:rPr>
                <w:rFonts w:hint="eastAsia"/>
                <w:color w:val="auto"/>
                <w:sz w:val="20"/>
                <w:highlight w:val="none"/>
              </w:rPr>
              <w:t>1</w:t>
            </w:r>
          </w:p>
        </w:tc>
        <w:tc>
          <w:tcPr>
            <w:tcW w:w="2730" w:type="dxa"/>
            <w:vAlign w:val="top"/>
          </w:tcPr>
          <w:p>
            <w:pPr>
              <w:pStyle w:val="0"/>
              <w:rPr>
                <w:rFonts w:hint="default"/>
                <w:color w:val="auto"/>
                <w:sz w:val="20"/>
                <w:highlight w:val="none"/>
              </w:rPr>
            </w:pPr>
            <w:r>
              <w:rPr>
                <w:rFonts w:hint="eastAsia"/>
                <w:color w:val="auto"/>
                <w:sz w:val="20"/>
                <w:highlight w:val="none"/>
              </w:rPr>
              <w:t>病院・診療所・歯科・薬局</w:t>
            </w:r>
          </w:p>
        </w:tc>
        <w:tc>
          <w:tcPr>
            <w:tcW w:w="455" w:type="dxa"/>
            <w:vAlign w:val="top"/>
          </w:tcPr>
          <w:p>
            <w:pPr>
              <w:pStyle w:val="0"/>
              <w:jc w:val="right"/>
              <w:rPr>
                <w:rFonts w:hint="default"/>
                <w:color w:val="auto"/>
                <w:sz w:val="20"/>
                <w:highlight w:val="none"/>
              </w:rPr>
            </w:pPr>
            <w:r>
              <w:rPr>
                <w:rFonts w:hint="eastAsia"/>
                <w:color w:val="auto"/>
                <w:sz w:val="20"/>
                <w:highlight w:val="none"/>
              </w:rPr>
              <w:t>67</w:t>
            </w:r>
          </w:p>
        </w:tc>
        <w:tc>
          <w:tcPr>
            <w:tcW w:w="2493" w:type="dxa"/>
            <w:vAlign w:val="top"/>
          </w:tcPr>
          <w:p>
            <w:pPr>
              <w:pStyle w:val="0"/>
              <w:rPr>
                <w:rFonts w:hint="default"/>
                <w:color w:val="auto"/>
                <w:sz w:val="20"/>
                <w:highlight w:val="none"/>
              </w:rPr>
            </w:pPr>
            <w:r>
              <w:rPr>
                <w:rFonts w:hint="eastAsia"/>
                <w:color w:val="auto"/>
                <w:sz w:val="20"/>
                <w:highlight w:val="none"/>
              </w:rPr>
              <w:t>シルバー人材センター</w:t>
            </w:r>
          </w:p>
        </w:tc>
        <w:tc>
          <w:tcPr>
            <w:tcW w:w="567" w:type="dxa"/>
            <w:vAlign w:val="top"/>
          </w:tcPr>
          <w:p>
            <w:pPr>
              <w:pStyle w:val="0"/>
              <w:jc w:val="right"/>
              <w:rPr>
                <w:rFonts w:hint="default"/>
                <w:color w:val="auto"/>
                <w:sz w:val="20"/>
                <w:highlight w:val="none"/>
              </w:rPr>
            </w:pPr>
            <w:r>
              <w:rPr>
                <w:rFonts w:hint="eastAsia"/>
                <w:color w:val="auto"/>
                <w:sz w:val="20"/>
                <w:highlight w:val="none"/>
              </w:rPr>
              <w:t>1</w:t>
            </w:r>
          </w:p>
        </w:tc>
      </w:tr>
      <w:tr>
        <w:trPr/>
        <w:tc>
          <w:tcPr>
            <w:tcW w:w="2410" w:type="dxa"/>
            <w:vAlign w:val="top"/>
          </w:tcPr>
          <w:p>
            <w:pPr>
              <w:pStyle w:val="0"/>
              <w:rPr>
                <w:rFonts w:hint="default"/>
                <w:color w:val="auto"/>
                <w:sz w:val="20"/>
                <w:highlight w:val="none"/>
              </w:rPr>
            </w:pPr>
            <w:r>
              <w:rPr>
                <w:rFonts w:hint="eastAsia"/>
                <w:color w:val="auto"/>
                <w:sz w:val="20"/>
                <w:highlight w:val="none"/>
              </w:rPr>
              <w:t>コミュニティ</w:t>
            </w:r>
          </w:p>
        </w:tc>
        <w:tc>
          <w:tcPr>
            <w:tcW w:w="525" w:type="dxa"/>
            <w:vAlign w:val="top"/>
          </w:tcPr>
          <w:p>
            <w:pPr>
              <w:pStyle w:val="0"/>
              <w:jc w:val="right"/>
              <w:rPr>
                <w:rFonts w:hint="default"/>
                <w:color w:val="auto"/>
                <w:sz w:val="20"/>
                <w:highlight w:val="none"/>
              </w:rPr>
            </w:pPr>
            <w:r>
              <w:rPr>
                <w:rFonts w:hint="eastAsia"/>
                <w:color w:val="auto"/>
                <w:sz w:val="20"/>
                <w:highlight w:val="none"/>
              </w:rPr>
              <w:t>4</w:t>
            </w:r>
          </w:p>
        </w:tc>
        <w:tc>
          <w:tcPr>
            <w:tcW w:w="2730" w:type="dxa"/>
            <w:vAlign w:val="top"/>
          </w:tcPr>
          <w:p>
            <w:pPr>
              <w:pStyle w:val="0"/>
              <w:rPr>
                <w:rFonts w:hint="default"/>
                <w:color w:val="auto"/>
                <w:sz w:val="20"/>
                <w:highlight w:val="none"/>
              </w:rPr>
            </w:pPr>
            <w:r>
              <w:rPr>
                <w:rFonts w:hint="eastAsia"/>
                <w:color w:val="auto"/>
                <w:sz w:val="20"/>
                <w:highlight w:val="none"/>
              </w:rPr>
              <w:t>認知症の人と家族の会</w:t>
            </w:r>
          </w:p>
        </w:tc>
        <w:tc>
          <w:tcPr>
            <w:tcW w:w="455" w:type="dxa"/>
            <w:vAlign w:val="top"/>
          </w:tcPr>
          <w:p>
            <w:pPr>
              <w:pStyle w:val="0"/>
              <w:jc w:val="right"/>
              <w:rPr>
                <w:rFonts w:hint="default"/>
                <w:color w:val="auto"/>
                <w:sz w:val="20"/>
                <w:highlight w:val="none"/>
              </w:rPr>
            </w:pPr>
            <w:r>
              <w:rPr>
                <w:rFonts w:hint="eastAsia"/>
                <w:color w:val="auto"/>
                <w:sz w:val="20"/>
                <w:highlight w:val="none"/>
              </w:rPr>
              <w:t>1</w:t>
            </w:r>
          </w:p>
        </w:tc>
        <w:tc>
          <w:tcPr>
            <w:tcW w:w="2493" w:type="dxa"/>
            <w:vAlign w:val="top"/>
          </w:tcPr>
          <w:p>
            <w:pPr>
              <w:pStyle w:val="0"/>
              <w:rPr>
                <w:rFonts w:hint="default"/>
                <w:color w:val="auto"/>
                <w:sz w:val="20"/>
                <w:highlight w:val="none"/>
              </w:rPr>
            </w:pPr>
            <w:r>
              <w:rPr>
                <w:rFonts w:hint="eastAsia"/>
                <w:color w:val="auto"/>
                <w:sz w:val="20"/>
                <w:highlight w:val="none"/>
              </w:rPr>
              <w:t>民生委員</w:t>
            </w:r>
          </w:p>
        </w:tc>
        <w:tc>
          <w:tcPr>
            <w:tcW w:w="567" w:type="dxa"/>
            <w:vAlign w:val="top"/>
          </w:tcPr>
          <w:p>
            <w:pPr>
              <w:pStyle w:val="0"/>
              <w:jc w:val="right"/>
              <w:rPr>
                <w:rFonts w:hint="default"/>
                <w:color w:val="auto"/>
                <w:sz w:val="20"/>
                <w:highlight w:val="none"/>
              </w:rPr>
            </w:pPr>
            <w:r>
              <w:rPr>
                <w:rFonts w:hint="eastAsia"/>
                <w:color w:val="auto"/>
                <w:sz w:val="20"/>
                <w:highlight w:val="none"/>
              </w:rPr>
              <w:t>43</w:t>
            </w:r>
          </w:p>
        </w:tc>
      </w:tr>
      <w:tr>
        <w:trPr>
          <w:trHeight w:val="133" w:hRule="atLeast"/>
        </w:trPr>
        <w:tc>
          <w:tcPr>
            <w:tcW w:w="2410" w:type="dxa"/>
            <w:vAlign w:val="top"/>
          </w:tcPr>
          <w:p>
            <w:pPr>
              <w:pStyle w:val="0"/>
              <w:rPr>
                <w:rFonts w:hint="default"/>
                <w:color w:val="auto"/>
                <w:sz w:val="20"/>
                <w:highlight w:val="none"/>
              </w:rPr>
            </w:pPr>
            <w:r>
              <w:rPr>
                <w:rFonts w:hint="eastAsia"/>
                <w:color w:val="auto"/>
                <w:sz w:val="20"/>
                <w:highlight w:val="none"/>
              </w:rPr>
              <w:t>協議体</w:t>
            </w:r>
          </w:p>
        </w:tc>
        <w:tc>
          <w:tcPr>
            <w:tcW w:w="525" w:type="dxa"/>
            <w:vAlign w:val="top"/>
          </w:tcPr>
          <w:p>
            <w:pPr>
              <w:pStyle w:val="0"/>
              <w:jc w:val="right"/>
              <w:rPr>
                <w:rFonts w:hint="default"/>
                <w:color w:val="auto"/>
                <w:sz w:val="20"/>
                <w:highlight w:val="none"/>
              </w:rPr>
            </w:pPr>
            <w:r>
              <w:rPr>
                <w:rFonts w:hint="eastAsia"/>
                <w:color w:val="auto"/>
                <w:sz w:val="20"/>
                <w:highlight w:val="none"/>
              </w:rPr>
              <w:t>2</w:t>
            </w:r>
          </w:p>
        </w:tc>
        <w:tc>
          <w:tcPr>
            <w:tcW w:w="2730" w:type="dxa"/>
            <w:vAlign w:val="top"/>
          </w:tcPr>
          <w:p>
            <w:pPr>
              <w:pStyle w:val="0"/>
              <w:rPr>
                <w:rFonts w:hint="default"/>
                <w:color w:val="auto"/>
                <w:sz w:val="20"/>
                <w:highlight w:val="none"/>
              </w:rPr>
            </w:pPr>
            <w:r>
              <w:rPr>
                <w:rFonts w:hint="eastAsia"/>
                <w:color w:val="auto"/>
                <w:sz w:val="20"/>
                <w:highlight w:val="none"/>
              </w:rPr>
              <w:t>チームオレンジ</w:t>
            </w:r>
          </w:p>
        </w:tc>
        <w:tc>
          <w:tcPr>
            <w:tcW w:w="455" w:type="dxa"/>
            <w:vAlign w:val="top"/>
          </w:tcPr>
          <w:p>
            <w:pPr>
              <w:pStyle w:val="0"/>
              <w:jc w:val="right"/>
              <w:rPr>
                <w:rFonts w:hint="default"/>
                <w:color w:val="auto"/>
                <w:sz w:val="20"/>
                <w:highlight w:val="none"/>
              </w:rPr>
            </w:pPr>
            <w:r>
              <w:rPr>
                <w:rFonts w:hint="eastAsia"/>
                <w:color w:val="auto"/>
                <w:sz w:val="20"/>
                <w:highlight w:val="none"/>
              </w:rPr>
              <w:t>2</w:t>
            </w:r>
          </w:p>
        </w:tc>
        <w:tc>
          <w:tcPr>
            <w:tcW w:w="2493" w:type="dxa"/>
            <w:vAlign w:val="top"/>
          </w:tcPr>
          <w:p>
            <w:pPr>
              <w:pStyle w:val="0"/>
              <w:rPr>
                <w:rFonts w:hint="default"/>
                <w:color w:val="auto"/>
                <w:sz w:val="20"/>
                <w:highlight w:val="none"/>
              </w:rPr>
            </w:pPr>
            <w:r>
              <w:rPr>
                <w:rFonts w:hint="eastAsia"/>
                <w:color w:val="auto"/>
                <w:sz w:val="20"/>
                <w:highlight w:val="none"/>
              </w:rPr>
              <w:t>健康づくり応援団</w:t>
            </w:r>
          </w:p>
        </w:tc>
        <w:tc>
          <w:tcPr>
            <w:tcW w:w="567" w:type="dxa"/>
            <w:vAlign w:val="top"/>
          </w:tcPr>
          <w:p>
            <w:pPr>
              <w:pStyle w:val="0"/>
              <w:jc w:val="right"/>
              <w:rPr>
                <w:rFonts w:hint="default"/>
                <w:color w:val="auto"/>
                <w:sz w:val="20"/>
                <w:highlight w:val="none"/>
              </w:rPr>
            </w:pPr>
            <w:r>
              <w:rPr>
                <w:rFonts w:hint="eastAsia"/>
                <w:color w:val="auto"/>
                <w:sz w:val="20"/>
                <w:highlight w:val="none"/>
              </w:rPr>
              <w:t>29</w:t>
            </w:r>
          </w:p>
        </w:tc>
      </w:tr>
      <w:tr>
        <w:trPr>
          <w:trHeight w:val="133" w:hRule="atLeast"/>
        </w:trPr>
        <w:tc>
          <w:tcPr>
            <w:tcW w:w="2410" w:type="dxa"/>
            <w:vAlign w:val="top"/>
          </w:tcPr>
          <w:p>
            <w:pPr>
              <w:pStyle w:val="0"/>
              <w:rPr>
                <w:rFonts w:hint="default"/>
                <w:color w:val="auto"/>
                <w:sz w:val="20"/>
                <w:highlight w:val="none"/>
              </w:rPr>
            </w:pPr>
            <w:r>
              <w:rPr>
                <w:rFonts w:hint="eastAsia"/>
                <w:color w:val="auto"/>
                <w:sz w:val="20"/>
                <w:highlight w:val="none"/>
              </w:rPr>
              <w:t>単位老人クラブ</w:t>
            </w:r>
          </w:p>
        </w:tc>
        <w:tc>
          <w:tcPr>
            <w:tcW w:w="525" w:type="dxa"/>
            <w:vAlign w:val="top"/>
          </w:tcPr>
          <w:p>
            <w:pPr>
              <w:pStyle w:val="0"/>
              <w:jc w:val="right"/>
              <w:rPr>
                <w:rFonts w:hint="default"/>
                <w:color w:val="auto"/>
                <w:sz w:val="20"/>
                <w:highlight w:val="none"/>
              </w:rPr>
            </w:pPr>
            <w:r>
              <w:rPr>
                <w:rFonts w:hint="eastAsia"/>
                <w:color w:val="auto"/>
                <w:sz w:val="20"/>
                <w:highlight w:val="none"/>
              </w:rPr>
              <w:t>12</w:t>
            </w:r>
          </w:p>
        </w:tc>
        <w:tc>
          <w:tcPr>
            <w:tcW w:w="2730" w:type="dxa"/>
            <w:vAlign w:val="top"/>
          </w:tcPr>
          <w:p>
            <w:pPr>
              <w:pStyle w:val="0"/>
              <w:rPr>
                <w:rFonts w:hint="default"/>
                <w:color w:val="auto"/>
                <w:sz w:val="20"/>
                <w:highlight w:val="none"/>
              </w:rPr>
            </w:pPr>
            <w:r>
              <w:rPr>
                <w:rFonts w:hint="eastAsia"/>
                <w:color w:val="auto"/>
                <w:sz w:val="20"/>
                <w:highlight w:val="none"/>
              </w:rPr>
              <w:t>移動支援</w:t>
            </w:r>
          </w:p>
        </w:tc>
        <w:tc>
          <w:tcPr>
            <w:tcW w:w="455" w:type="dxa"/>
            <w:vAlign w:val="top"/>
          </w:tcPr>
          <w:p>
            <w:pPr>
              <w:pStyle w:val="0"/>
              <w:jc w:val="right"/>
              <w:rPr>
                <w:rFonts w:hint="default"/>
                <w:color w:val="auto"/>
                <w:sz w:val="20"/>
                <w:highlight w:val="none"/>
              </w:rPr>
            </w:pPr>
            <w:r>
              <w:rPr>
                <w:rFonts w:hint="eastAsia"/>
                <w:color w:val="auto"/>
                <w:sz w:val="20"/>
                <w:highlight w:val="none"/>
              </w:rPr>
              <w:t>1</w:t>
            </w:r>
          </w:p>
        </w:tc>
        <w:tc>
          <w:tcPr>
            <w:tcW w:w="2493" w:type="dxa"/>
            <w:vAlign w:val="top"/>
          </w:tcPr>
          <w:p>
            <w:pPr>
              <w:pStyle w:val="0"/>
              <w:rPr>
                <w:rFonts w:hint="default"/>
                <w:color w:val="auto"/>
                <w:sz w:val="20"/>
                <w:highlight w:val="none"/>
              </w:rPr>
            </w:pPr>
            <w:r>
              <w:rPr>
                <w:rFonts w:hint="eastAsia"/>
                <w:color w:val="auto"/>
                <w:sz w:val="20"/>
                <w:highlight w:val="none"/>
              </w:rPr>
              <w:t>オレンジドクター</w:t>
            </w:r>
          </w:p>
        </w:tc>
        <w:tc>
          <w:tcPr>
            <w:tcW w:w="567" w:type="dxa"/>
            <w:vAlign w:val="top"/>
          </w:tcPr>
          <w:p>
            <w:pPr>
              <w:pStyle w:val="0"/>
              <w:jc w:val="right"/>
              <w:rPr>
                <w:rFonts w:hint="default"/>
                <w:color w:val="auto"/>
                <w:sz w:val="20"/>
                <w:highlight w:val="none"/>
              </w:rPr>
            </w:pPr>
            <w:r>
              <w:rPr>
                <w:rFonts w:hint="eastAsia"/>
                <w:color w:val="auto"/>
                <w:sz w:val="20"/>
                <w:highlight w:val="none"/>
              </w:rPr>
              <w:t>11</w:t>
            </w:r>
          </w:p>
        </w:tc>
      </w:tr>
      <w:tr>
        <w:trPr/>
        <w:tc>
          <w:tcPr>
            <w:tcW w:w="2410" w:type="dxa"/>
            <w:vAlign w:val="top"/>
          </w:tcPr>
          <w:p>
            <w:pPr>
              <w:pStyle w:val="0"/>
              <w:rPr>
                <w:rFonts w:hint="default"/>
                <w:color w:val="auto"/>
                <w:sz w:val="20"/>
                <w:highlight w:val="none"/>
              </w:rPr>
            </w:pPr>
            <w:r>
              <w:rPr>
                <w:rFonts w:hint="eastAsia"/>
                <w:color w:val="auto"/>
                <w:sz w:val="20"/>
                <w:highlight w:val="none"/>
              </w:rPr>
              <w:t>サロン</w:t>
            </w:r>
          </w:p>
        </w:tc>
        <w:tc>
          <w:tcPr>
            <w:tcW w:w="525" w:type="dxa"/>
            <w:vAlign w:val="top"/>
          </w:tcPr>
          <w:p>
            <w:pPr>
              <w:pStyle w:val="0"/>
              <w:jc w:val="right"/>
              <w:rPr>
                <w:rFonts w:hint="default"/>
                <w:color w:val="auto"/>
                <w:sz w:val="20"/>
                <w:highlight w:val="none"/>
              </w:rPr>
            </w:pPr>
            <w:r>
              <w:rPr>
                <w:rFonts w:hint="eastAsia"/>
                <w:color w:val="auto"/>
                <w:sz w:val="20"/>
                <w:highlight w:val="none"/>
              </w:rPr>
              <w:t>20</w:t>
            </w:r>
          </w:p>
        </w:tc>
        <w:tc>
          <w:tcPr>
            <w:tcW w:w="2730" w:type="dxa"/>
            <w:vAlign w:val="top"/>
          </w:tcPr>
          <w:p>
            <w:pPr>
              <w:pStyle w:val="0"/>
              <w:rPr>
                <w:rFonts w:hint="default"/>
                <w:color w:val="auto"/>
                <w:sz w:val="20"/>
                <w:highlight w:val="none"/>
              </w:rPr>
            </w:pPr>
            <w:r>
              <w:rPr>
                <w:rFonts w:hint="eastAsia"/>
                <w:color w:val="auto"/>
                <w:sz w:val="20"/>
                <w:highlight w:val="none"/>
              </w:rPr>
              <w:t>スーパーマーケット</w:t>
            </w:r>
          </w:p>
        </w:tc>
        <w:tc>
          <w:tcPr>
            <w:tcW w:w="455" w:type="dxa"/>
            <w:vAlign w:val="top"/>
          </w:tcPr>
          <w:p>
            <w:pPr>
              <w:pStyle w:val="0"/>
              <w:jc w:val="right"/>
              <w:rPr>
                <w:rFonts w:hint="default"/>
                <w:color w:val="auto"/>
                <w:sz w:val="20"/>
                <w:highlight w:val="none"/>
              </w:rPr>
            </w:pPr>
            <w:r>
              <w:rPr>
                <w:rFonts w:hint="eastAsia"/>
                <w:color w:val="auto"/>
                <w:sz w:val="20"/>
                <w:highlight w:val="none"/>
              </w:rPr>
              <w:t>9</w:t>
            </w:r>
          </w:p>
        </w:tc>
        <w:tc>
          <w:tcPr>
            <w:tcW w:w="2493" w:type="dxa"/>
            <w:vAlign w:val="top"/>
          </w:tcPr>
          <w:p>
            <w:pPr>
              <w:pStyle w:val="0"/>
              <w:rPr>
                <w:rFonts w:hint="default"/>
                <w:color w:val="auto"/>
                <w:sz w:val="20"/>
                <w:highlight w:val="none"/>
              </w:rPr>
            </w:pPr>
            <w:r>
              <w:rPr>
                <w:rFonts w:hint="eastAsia"/>
                <w:color w:val="auto"/>
                <w:sz w:val="20"/>
                <w:highlight w:val="none"/>
              </w:rPr>
              <w:t>生活支援ｺｰﾃﾞｨﾈｰﾀｰ</w:t>
            </w:r>
          </w:p>
        </w:tc>
        <w:tc>
          <w:tcPr>
            <w:tcW w:w="567" w:type="dxa"/>
            <w:vAlign w:val="top"/>
          </w:tcPr>
          <w:p>
            <w:pPr>
              <w:pStyle w:val="0"/>
              <w:jc w:val="right"/>
              <w:rPr>
                <w:rFonts w:hint="default"/>
                <w:color w:val="auto"/>
                <w:sz w:val="20"/>
                <w:highlight w:val="none"/>
              </w:rPr>
            </w:pPr>
            <w:r>
              <w:rPr>
                <w:rFonts w:hint="eastAsia"/>
                <w:color w:val="auto"/>
                <w:sz w:val="20"/>
                <w:highlight w:val="none"/>
              </w:rPr>
              <w:t>1</w:t>
            </w:r>
          </w:p>
        </w:tc>
      </w:tr>
      <w:tr>
        <w:trPr/>
        <w:tc>
          <w:tcPr>
            <w:tcW w:w="2410" w:type="dxa"/>
            <w:vAlign w:val="top"/>
          </w:tcPr>
          <w:p>
            <w:pPr>
              <w:pStyle w:val="0"/>
              <w:rPr>
                <w:rFonts w:hint="default"/>
                <w:color w:val="auto"/>
                <w:sz w:val="20"/>
                <w:highlight w:val="none"/>
              </w:rPr>
            </w:pPr>
            <w:r>
              <w:rPr>
                <w:rFonts w:hint="eastAsia"/>
                <w:color w:val="auto"/>
                <w:sz w:val="20"/>
                <w:highlight w:val="none"/>
              </w:rPr>
              <w:t>百歳体操</w:t>
            </w:r>
          </w:p>
        </w:tc>
        <w:tc>
          <w:tcPr>
            <w:tcW w:w="525" w:type="dxa"/>
            <w:vAlign w:val="top"/>
          </w:tcPr>
          <w:p>
            <w:pPr>
              <w:pStyle w:val="0"/>
              <w:jc w:val="right"/>
              <w:rPr>
                <w:rFonts w:hint="default"/>
                <w:color w:val="auto"/>
                <w:sz w:val="20"/>
                <w:highlight w:val="none"/>
              </w:rPr>
            </w:pPr>
            <w:r>
              <w:rPr>
                <w:rFonts w:hint="eastAsia"/>
                <w:color w:val="auto"/>
                <w:sz w:val="20"/>
                <w:highlight w:val="none"/>
              </w:rPr>
              <w:t>15</w:t>
            </w:r>
          </w:p>
        </w:tc>
        <w:tc>
          <w:tcPr>
            <w:tcW w:w="2730" w:type="dxa"/>
            <w:vAlign w:val="top"/>
          </w:tcPr>
          <w:p>
            <w:pPr>
              <w:pStyle w:val="0"/>
              <w:rPr>
                <w:rFonts w:hint="default"/>
                <w:color w:val="auto"/>
                <w:sz w:val="20"/>
                <w:highlight w:val="none"/>
              </w:rPr>
            </w:pPr>
            <w:r>
              <w:rPr>
                <w:rFonts w:hint="eastAsia"/>
                <w:color w:val="auto"/>
                <w:sz w:val="20"/>
                <w:highlight w:val="none"/>
              </w:rPr>
              <w:t>コンビニエンスストア</w:t>
            </w:r>
          </w:p>
        </w:tc>
        <w:tc>
          <w:tcPr>
            <w:tcW w:w="455" w:type="dxa"/>
            <w:vAlign w:val="top"/>
          </w:tcPr>
          <w:p>
            <w:pPr>
              <w:pStyle w:val="0"/>
              <w:jc w:val="right"/>
              <w:rPr>
                <w:rFonts w:hint="default"/>
                <w:color w:val="auto"/>
                <w:sz w:val="20"/>
                <w:highlight w:val="none"/>
              </w:rPr>
            </w:pPr>
            <w:r>
              <w:rPr>
                <w:rFonts w:hint="eastAsia"/>
                <w:color w:val="auto"/>
                <w:sz w:val="20"/>
                <w:highlight w:val="none"/>
              </w:rPr>
              <w:t>13</w:t>
            </w:r>
          </w:p>
        </w:tc>
        <w:tc>
          <w:tcPr>
            <w:tcW w:w="2493" w:type="dxa"/>
            <w:vAlign w:val="top"/>
          </w:tcPr>
          <w:p>
            <w:pPr>
              <w:pStyle w:val="0"/>
              <w:rPr>
                <w:rFonts w:hint="default"/>
                <w:color w:val="auto"/>
                <w:sz w:val="20"/>
                <w:highlight w:val="none"/>
              </w:rPr>
            </w:pPr>
          </w:p>
        </w:tc>
        <w:tc>
          <w:tcPr>
            <w:tcW w:w="567" w:type="dxa"/>
            <w:vAlign w:val="top"/>
          </w:tcPr>
          <w:p>
            <w:pPr>
              <w:pStyle w:val="0"/>
              <w:rPr>
                <w:rFonts w:hint="default"/>
                <w:color w:val="auto"/>
                <w:sz w:val="20"/>
                <w:highlight w:val="none"/>
              </w:rPr>
            </w:pPr>
          </w:p>
        </w:tc>
      </w:tr>
    </w:tbl>
    <w:p>
      <w:pPr>
        <w:pStyle w:val="0"/>
        <w:spacing w:before="74" w:beforeLines="20" w:beforeAutospacing="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〔介護サービス資源等〕</w:t>
      </w:r>
    </w:p>
    <w:tbl>
      <w:tblPr>
        <w:tblStyle w:val="81"/>
        <w:tblW w:w="9180" w:type="dxa"/>
        <w:tblInd w:w="0" w:type="dxa"/>
        <w:tblLayout w:type="fixed"/>
        <w:tblLook w:firstRow="1" w:lastRow="0" w:firstColumn="1" w:lastColumn="0" w:noHBand="0" w:noVBand="1" w:val="04A0"/>
      </w:tblPr>
      <w:tblGrid>
        <w:gridCol w:w="2410"/>
        <w:gridCol w:w="630"/>
        <w:gridCol w:w="2455"/>
        <w:gridCol w:w="625"/>
        <w:gridCol w:w="2493"/>
        <w:gridCol w:w="567"/>
      </w:tblGrid>
      <w:tr>
        <w:trPr/>
        <w:tc>
          <w:tcPr>
            <w:tcW w:w="9180" w:type="dxa"/>
            <w:gridSpan w:val="6"/>
            <w:shd w:val="clear" w:color="auto" w:fill="0070C0"/>
            <w:vAlign w:val="top"/>
          </w:tcPr>
          <w:p>
            <w:pPr>
              <w:pStyle w:val="0"/>
              <w:jc w:val="center"/>
              <w:rPr>
                <w:rFonts w:hint="default"/>
                <w:color w:val="auto"/>
                <w:sz w:val="20"/>
                <w:highlight w:val="none"/>
              </w:rPr>
            </w:pPr>
            <w:r>
              <w:rPr>
                <w:rFonts w:hint="eastAsia"/>
                <w:color w:val="auto"/>
                <w:sz w:val="20"/>
                <w:highlight w:val="none"/>
              </w:rPr>
              <w:t>介護サービス事業所等数（令和</w:t>
            </w:r>
            <w:r>
              <w:rPr>
                <w:rFonts w:hint="eastAsia"/>
                <w:color w:val="auto"/>
                <w:sz w:val="20"/>
                <w:highlight w:val="none"/>
              </w:rPr>
              <w:t>5</w:t>
            </w:r>
            <w:r>
              <w:rPr>
                <w:rFonts w:hint="eastAsia"/>
                <w:color w:val="auto"/>
                <w:sz w:val="20"/>
                <w:highlight w:val="none"/>
              </w:rPr>
              <w:t>年</w:t>
            </w:r>
            <w:r>
              <w:rPr>
                <w:rFonts w:hint="eastAsia"/>
                <w:color w:val="auto"/>
                <w:sz w:val="20"/>
                <w:highlight w:val="none"/>
              </w:rPr>
              <w:t>8</w:t>
            </w:r>
            <w:r>
              <w:rPr>
                <w:rFonts w:hint="eastAsia"/>
                <w:color w:val="auto"/>
                <w:sz w:val="20"/>
                <w:highlight w:val="none"/>
              </w:rPr>
              <w:t>月現在）</w:t>
            </w:r>
          </w:p>
        </w:tc>
      </w:tr>
      <w:tr>
        <w:trPr>
          <w:trHeight w:val="194" w:hRule="atLeast"/>
        </w:trPr>
        <w:tc>
          <w:tcPr>
            <w:tcW w:w="3040" w:type="dxa"/>
            <w:gridSpan w:val="2"/>
            <w:shd w:val="clear" w:color="auto" w:themeFill="accent5" w:themeFillTint="33" w:themeFillShade="FF"/>
            <w:vAlign w:val="top"/>
          </w:tcPr>
          <w:p>
            <w:pPr>
              <w:pStyle w:val="0"/>
              <w:jc w:val="left"/>
              <w:rPr>
                <w:rFonts w:hint="default"/>
                <w:b w:val="1"/>
                <w:color w:val="auto"/>
                <w:sz w:val="20"/>
                <w:highlight w:val="none"/>
              </w:rPr>
            </w:pPr>
            <w:r>
              <w:rPr>
                <w:rFonts w:hint="eastAsia"/>
                <w:b w:val="1"/>
                <w:color w:val="auto"/>
                <w:sz w:val="20"/>
                <w:highlight w:val="none"/>
              </w:rPr>
              <w:t>居宅サービス</w:t>
            </w:r>
          </w:p>
        </w:tc>
        <w:tc>
          <w:tcPr>
            <w:tcW w:w="3080" w:type="dxa"/>
            <w:gridSpan w:val="2"/>
            <w:shd w:val="clear" w:color="auto" w:themeFill="accent5" w:themeFillTint="33" w:themeFillShade="FF"/>
            <w:vAlign w:val="top"/>
          </w:tcPr>
          <w:p>
            <w:pPr>
              <w:pStyle w:val="0"/>
              <w:jc w:val="left"/>
              <w:rPr>
                <w:rFonts w:hint="default"/>
                <w:b w:val="1"/>
                <w:color w:val="auto"/>
                <w:sz w:val="20"/>
                <w:highlight w:val="none"/>
              </w:rPr>
            </w:pPr>
            <w:r>
              <w:rPr>
                <w:rFonts w:hint="eastAsia"/>
                <w:b w:val="1"/>
                <w:color w:val="auto"/>
                <w:sz w:val="20"/>
                <w:highlight w:val="none"/>
              </w:rPr>
              <w:t>地域密着型サービス</w:t>
            </w:r>
          </w:p>
        </w:tc>
        <w:tc>
          <w:tcPr>
            <w:tcW w:w="3060" w:type="dxa"/>
            <w:gridSpan w:val="2"/>
            <w:shd w:val="clear" w:color="auto" w:themeFill="accent5" w:themeFillTint="33" w:themeFillShade="FF"/>
            <w:vAlign w:val="top"/>
          </w:tcPr>
          <w:p>
            <w:pPr>
              <w:pStyle w:val="0"/>
              <w:jc w:val="left"/>
              <w:rPr>
                <w:rFonts w:hint="default"/>
                <w:b w:val="1"/>
                <w:color w:val="auto"/>
                <w:sz w:val="20"/>
                <w:highlight w:val="none"/>
              </w:rPr>
            </w:pPr>
            <w:r>
              <w:rPr>
                <w:rFonts w:hint="eastAsia"/>
                <w:b w:val="1"/>
                <w:color w:val="auto"/>
                <w:sz w:val="20"/>
                <w:highlight w:val="none"/>
              </w:rPr>
              <w:t>施設サービス</w:t>
            </w:r>
          </w:p>
        </w:tc>
      </w:tr>
      <w:tr>
        <w:trPr/>
        <w:tc>
          <w:tcPr>
            <w:tcW w:w="2410" w:type="dxa"/>
            <w:vAlign w:val="center"/>
          </w:tcPr>
          <w:p>
            <w:pPr>
              <w:pStyle w:val="0"/>
              <w:ind w:left="220" w:leftChars="100"/>
              <w:jc w:val="left"/>
              <w:rPr>
                <w:rFonts w:hint="default"/>
                <w:color w:val="auto"/>
                <w:sz w:val="20"/>
                <w:highlight w:val="none"/>
              </w:rPr>
            </w:pPr>
            <w:r>
              <w:rPr>
                <w:rFonts w:hint="eastAsia"/>
                <w:color w:val="auto"/>
                <w:sz w:val="20"/>
                <w:highlight w:val="none"/>
              </w:rPr>
              <w:t>居宅介護支援</w:t>
            </w:r>
          </w:p>
        </w:tc>
        <w:tc>
          <w:tcPr>
            <w:tcW w:w="630" w:type="dxa"/>
            <w:vAlign w:val="center"/>
          </w:tcPr>
          <w:p>
            <w:pPr>
              <w:pStyle w:val="0"/>
              <w:jc w:val="right"/>
              <w:rPr>
                <w:rFonts w:hint="default"/>
                <w:color w:val="auto"/>
                <w:sz w:val="20"/>
                <w:highlight w:val="none"/>
              </w:rPr>
            </w:pPr>
            <w:r>
              <w:rPr>
                <w:rFonts w:hint="eastAsia"/>
                <w:color w:val="auto"/>
                <w:sz w:val="20"/>
                <w:highlight w:val="none"/>
              </w:rPr>
              <w:t>10</w:t>
            </w:r>
          </w:p>
        </w:tc>
        <w:tc>
          <w:tcPr>
            <w:tcW w:w="2455" w:type="dxa"/>
            <w:vAlign w:val="center"/>
          </w:tcPr>
          <w:p>
            <w:pPr>
              <w:pStyle w:val="0"/>
              <w:ind w:left="220" w:leftChars="100"/>
              <w:jc w:val="left"/>
              <w:rPr>
                <w:rFonts w:hint="default"/>
                <w:color w:val="auto"/>
                <w:sz w:val="20"/>
                <w:highlight w:val="none"/>
              </w:rPr>
            </w:pPr>
            <w:r>
              <w:rPr>
                <w:rFonts w:hint="eastAsia"/>
                <w:color w:val="auto"/>
                <w:sz w:val="20"/>
                <w:highlight w:val="none"/>
              </w:rPr>
              <w:t>定期巡回</w:t>
            </w:r>
          </w:p>
        </w:tc>
        <w:tc>
          <w:tcPr>
            <w:tcW w:w="625" w:type="dxa"/>
            <w:vAlign w:val="center"/>
          </w:tcPr>
          <w:p>
            <w:pPr>
              <w:pStyle w:val="0"/>
              <w:jc w:val="right"/>
              <w:rPr>
                <w:rFonts w:hint="default"/>
                <w:color w:val="auto"/>
                <w:sz w:val="20"/>
                <w:highlight w:val="none"/>
              </w:rPr>
            </w:pPr>
            <w:r>
              <w:rPr>
                <w:rFonts w:hint="eastAsia"/>
                <w:color w:val="auto"/>
                <w:sz w:val="20"/>
                <w:highlight w:val="none"/>
              </w:rPr>
              <w:t>0</w:t>
            </w:r>
          </w:p>
        </w:tc>
        <w:tc>
          <w:tcPr>
            <w:tcW w:w="2493" w:type="dxa"/>
            <w:vAlign w:val="center"/>
          </w:tcPr>
          <w:p>
            <w:pPr>
              <w:pStyle w:val="0"/>
              <w:ind w:left="220" w:leftChars="100" w:right="-110" w:rightChars="-50"/>
              <w:jc w:val="left"/>
              <w:rPr>
                <w:rFonts w:hint="default"/>
                <w:color w:val="auto"/>
                <w:sz w:val="20"/>
                <w:highlight w:val="none"/>
              </w:rPr>
            </w:pPr>
            <w:r>
              <w:rPr>
                <w:rFonts w:hint="eastAsia"/>
                <w:color w:val="auto"/>
                <w:sz w:val="20"/>
                <w:highlight w:val="none"/>
              </w:rPr>
              <w:t>介護老人福祉施設</w:t>
            </w:r>
          </w:p>
        </w:tc>
        <w:tc>
          <w:tcPr>
            <w:tcW w:w="567" w:type="dxa"/>
            <w:vAlign w:val="center"/>
          </w:tcPr>
          <w:p>
            <w:pPr>
              <w:pStyle w:val="0"/>
              <w:jc w:val="right"/>
              <w:rPr>
                <w:rFonts w:hint="default"/>
                <w:color w:val="auto"/>
                <w:sz w:val="20"/>
                <w:highlight w:val="none"/>
              </w:rPr>
            </w:pPr>
            <w:r>
              <w:rPr>
                <w:rFonts w:hint="eastAsia"/>
                <w:color w:val="auto"/>
                <w:sz w:val="20"/>
                <w:highlight w:val="none"/>
              </w:rPr>
              <w:t>3</w:t>
            </w:r>
          </w:p>
        </w:tc>
      </w:tr>
      <w:tr>
        <w:trPr/>
        <w:tc>
          <w:tcPr>
            <w:tcW w:w="2410" w:type="dxa"/>
            <w:vAlign w:val="center"/>
          </w:tcPr>
          <w:p>
            <w:pPr>
              <w:pStyle w:val="0"/>
              <w:ind w:left="220" w:leftChars="100"/>
              <w:jc w:val="left"/>
              <w:rPr>
                <w:rFonts w:hint="default"/>
                <w:color w:val="auto"/>
                <w:sz w:val="20"/>
                <w:highlight w:val="none"/>
              </w:rPr>
            </w:pPr>
            <w:r>
              <w:rPr>
                <w:rFonts w:hint="eastAsia"/>
                <w:color w:val="auto"/>
                <w:sz w:val="20"/>
                <w:highlight w:val="none"/>
              </w:rPr>
              <w:t>訪問介護</w:t>
            </w:r>
          </w:p>
        </w:tc>
        <w:tc>
          <w:tcPr>
            <w:tcW w:w="630" w:type="dxa"/>
            <w:vAlign w:val="center"/>
          </w:tcPr>
          <w:p>
            <w:pPr>
              <w:pStyle w:val="0"/>
              <w:jc w:val="right"/>
              <w:rPr>
                <w:rFonts w:hint="default"/>
                <w:color w:val="auto"/>
                <w:sz w:val="20"/>
                <w:highlight w:val="none"/>
              </w:rPr>
            </w:pPr>
            <w:r>
              <w:rPr>
                <w:rFonts w:hint="eastAsia"/>
                <w:color w:val="auto"/>
                <w:sz w:val="20"/>
                <w:highlight w:val="none"/>
              </w:rPr>
              <w:t>10</w:t>
            </w:r>
          </w:p>
        </w:tc>
        <w:tc>
          <w:tcPr>
            <w:tcW w:w="2455" w:type="dxa"/>
            <w:vAlign w:val="center"/>
          </w:tcPr>
          <w:p>
            <w:pPr>
              <w:pStyle w:val="0"/>
              <w:ind w:left="220" w:leftChars="100"/>
              <w:jc w:val="left"/>
              <w:rPr>
                <w:rFonts w:hint="default"/>
                <w:color w:val="auto"/>
                <w:sz w:val="20"/>
                <w:highlight w:val="none"/>
              </w:rPr>
            </w:pPr>
            <w:r>
              <w:rPr>
                <w:rFonts w:hint="eastAsia"/>
                <w:color w:val="auto"/>
                <w:sz w:val="20"/>
                <w:highlight w:val="none"/>
              </w:rPr>
              <w:t>認知症対応型通所</w:t>
            </w:r>
          </w:p>
        </w:tc>
        <w:tc>
          <w:tcPr>
            <w:tcW w:w="625" w:type="dxa"/>
            <w:vAlign w:val="center"/>
          </w:tcPr>
          <w:p>
            <w:pPr>
              <w:pStyle w:val="0"/>
              <w:jc w:val="right"/>
              <w:rPr>
                <w:rFonts w:hint="default"/>
                <w:color w:val="auto"/>
                <w:sz w:val="20"/>
                <w:highlight w:val="none"/>
              </w:rPr>
            </w:pPr>
            <w:r>
              <w:rPr>
                <w:rFonts w:hint="eastAsia"/>
                <w:color w:val="auto"/>
                <w:sz w:val="20"/>
                <w:highlight w:val="none"/>
              </w:rPr>
              <w:t>2</w:t>
            </w:r>
          </w:p>
        </w:tc>
        <w:tc>
          <w:tcPr>
            <w:tcW w:w="2493" w:type="dxa"/>
            <w:vAlign w:val="center"/>
          </w:tcPr>
          <w:p>
            <w:pPr>
              <w:pStyle w:val="0"/>
              <w:ind w:left="220" w:leftChars="100" w:right="-110" w:rightChars="-50"/>
              <w:jc w:val="left"/>
              <w:rPr>
                <w:rFonts w:hint="default"/>
                <w:color w:val="auto"/>
                <w:sz w:val="20"/>
                <w:highlight w:val="none"/>
              </w:rPr>
            </w:pPr>
            <w:r>
              <w:rPr>
                <w:rFonts w:hint="eastAsia"/>
                <w:color w:val="auto"/>
                <w:sz w:val="20"/>
                <w:highlight w:val="none"/>
              </w:rPr>
              <w:t>介護老人保健施設</w:t>
            </w:r>
          </w:p>
        </w:tc>
        <w:tc>
          <w:tcPr>
            <w:tcW w:w="567" w:type="dxa"/>
            <w:vAlign w:val="center"/>
          </w:tcPr>
          <w:p>
            <w:pPr>
              <w:pStyle w:val="0"/>
              <w:jc w:val="right"/>
              <w:rPr>
                <w:rFonts w:hint="default"/>
                <w:color w:val="auto"/>
                <w:sz w:val="20"/>
                <w:highlight w:val="none"/>
              </w:rPr>
            </w:pPr>
            <w:r>
              <w:rPr>
                <w:rFonts w:hint="eastAsia"/>
                <w:color w:val="auto"/>
                <w:sz w:val="20"/>
                <w:highlight w:val="none"/>
              </w:rPr>
              <w:t>1</w:t>
            </w:r>
          </w:p>
        </w:tc>
      </w:tr>
      <w:tr>
        <w:trPr/>
        <w:tc>
          <w:tcPr>
            <w:tcW w:w="2410" w:type="dxa"/>
            <w:vAlign w:val="center"/>
          </w:tcPr>
          <w:p>
            <w:pPr>
              <w:pStyle w:val="0"/>
              <w:ind w:left="220" w:leftChars="100"/>
              <w:jc w:val="left"/>
              <w:rPr>
                <w:rFonts w:hint="default"/>
                <w:color w:val="auto"/>
                <w:sz w:val="20"/>
                <w:highlight w:val="none"/>
              </w:rPr>
            </w:pPr>
            <w:r>
              <w:rPr>
                <w:rFonts w:hint="eastAsia"/>
                <w:color w:val="auto"/>
                <w:sz w:val="20"/>
                <w:highlight w:val="none"/>
              </w:rPr>
              <w:t>訪問入浴介護</w:t>
            </w:r>
          </w:p>
        </w:tc>
        <w:tc>
          <w:tcPr>
            <w:tcW w:w="630" w:type="dxa"/>
            <w:vAlign w:val="center"/>
          </w:tcPr>
          <w:p>
            <w:pPr>
              <w:pStyle w:val="0"/>
              <w:jc w:val="right"/>
              <w:rPr>
                <w:rFonts w:hint="default"/>
                <w:color w:val="auto"/>
                <w:sz w:val="20"/>
                <w:highlight w:val="none"/>
              </w:rPr>
            </w:pPr>
            <w:r>
              <w:rPr>
                <w:rFonts w:hint="eastAsia"/>
                <w:color w:val="auto"/>
                <w:sz w:val="20"/>
                <w:highlight w:val="none"/>
              </w:rPr>
              <w:t>1</w:t>
            </w:r>
          </w:p>
        </w:tc>
        <w:tc>
          <w:tcPr>
            <w:tcW w:w="2455" w:type="dxa"/>
            <w:vAlign w:val="center"/>
          </w:tcPr>
          <w:p>
            <w:pPr>
              <w:pStyle w:val="0"/>
              <w:ind w:left="220" w:leftChars="100"/>
              <w:jc w:val="left"/>
              <w:rPr>
                <w:rFonts w:hint="default"/>
                <w:color w:val="auto"/>
                <w:sz w:val="20"/>
                <w:highlight w:val="none"/>
              </w:rPr>
            </w:pPr>
            <w:r>
              <w:rPr>
                <w:rFonts w:hint="eastAsia"/>
                <w:color w:val="auto"/>
                <w:sz w:val="20"/>
                <w:highlight w:val="none"/>
              </w:rPr>
              <w:t>地域密着型通所</w:t>
            </w:r>
          </w:p>
        </w:tc>
        <w:tc>
          <w:tcPr>
            <w:tcW w:w="625" w:type="dxa"/>
            <w:vAlign w:val="center"/>
          </w:tcPr>
          <w:p>
            <w:pPr>
              <w:pStyle w:val="0"/>
              <w:jc w:val="right"/>
              <w:rPr>
                <w:rFonts w:hint="default"/>
                <w:color w:val="auto"/>
                <w:sz w:val="20"/>
                <w:highlight w:val="none"/>
              </w:rPr>
            </w:pPr>
            <w:r>
              <w:rPr>
                <w:rFonts w:hint="eastAsia"/>
                <w:color w:val="auto"/>
                <w:sz w:val="20"/>
                <w:highlight w:val="none"/>
              </w:rPr>
              <w:t>4</w:t>
            </w:r>
          </w:p>
        </w:tc>
        <w:tc>
          <w:tcPr>
            <w:tcW w:w="2493" w:type="dxa"/>
            <w:vAlign w:val="center"/>
          </w:tcPr>
          <w:p>
            <w:pPr>
              <w:pStyle w:val="0"/>
              <w:ind w:firstLine="200" w:firstLineChars="100"/>
              <w:jc w:val="left"/>
              <w:rPr>
                <w:rFonts w:hint="default"/>
                <w:color w:val="auto"/>
                <w:sz w:val="20"/>
                <w:highlight w:val="none"/>
              </w:rPr>
            </w:pPr>
            <w:r>
              <w:rPr>
                <w:rFonts w:hint="eastAsia"/>
                <w:color w:val="auto"/>
                <w:sz w:val="20"/>
                <w:highlight w:val="none"/>
              </w:rPr>
              <w:t>介護医療院</w:t>
            </w:r>
          </w:p>
        </w:tc>
        <w:tc>
          <w:tcPr>
            <w:tcW w:w="567" w:type="dxa"/>
            <w:vAlign w:val="center"/>
          </w:tcPr>
          <w:p>
            <w:pPr>
              <w:pStyle w:val="0"/>
              <w:jc w:val="right"/>
              <w:rPr>
                <w:rFonts w:hint="default"/>
                <w:color w:val="auto"/>
                <w:sz w:val="20"/>
                <w:highlight w:val="none"/>
              </w:rPr>
            </w:pPr>
            <w:r>
              <w:rPr>
                <w:rFonts w:hint="eastAsia"/>
                <w:color w:val="auto"/>
                <w:sz w:val="20"/>
                <w:highlight w:val="none"/>
              </w:rPr>
              <w:t>0</w:t>
            </w:r>
          </w:p>
        </w:tc>
      </w:tr>
      <w:tr>
        <w:trPr/>
        <w:tc>
          <w:tcPr>
            <w:tcW w:w="2410" w:type="dxa"/>
            <w:vAlign w:val="center"/>
          </w:tcPr>
          <w:p>
            <w:pPr>
              <w:pStyle w:val="0"/>
              <w:ind w:left="220" w:leftChars="100"/>
              <w:jc w:val="left"/>
              <w:rPr>
                <w:rFonts w:hint="default"/>
                <w:color w:val="auto"/>
                <w:sz w:val="20"/>
                <w:highlight w:val="none"/>
              </w:rPr>
            </w:pPr>
            <w:r>
              <w:rPr>
                <w:rFonts w:hint="eastAsia"/>
                <w:color w:val="auto"/>
                <w:sz w:val="20"/>
                <w:highlight w:val="none"/>
              </w:rPr>
              <w:t>訪問看護</w:t>
            </w:r>
          </w:p>
        </w:tc>
        <w:tc>
          <w:tcPr>
            <w:tcW w:w="630" w:type="dxa"/>
            <w:vAlign w:val="center"/>
          </w:tcPr>
          <w:p>
            <w:pPr>
              <w:pStyle w:val="0"/>
              <w:jc w:val="right"/>
              <w:rPr>
                <w:rFonts w:hint="default"/>
                <w:color w:val="auto"/>
                <w:sz w:val="20"/>
                <w:highlight w:val="none"/>
              </w:rPr>
            </w:pPr>
            <w:r>
              <w:rPr>
                <w:rFonts w:hint="eastAsia"/>
                <w:color w:val="auto"/>
                <w:sz w:val="20"/>
                <w:highlight w:val="none"/>
              </w:rPr>
              <w:t>5</w:t>
            </w:r>
          </w:p>
        </w:tc>
        <w:tc>
          <w:tcPr>
            <w:tcW w:w="2455" w:type="dxa"/>
            <w:vAlign w:val="center"/>
          </w:tcPr>
          <w:p>
            <w:pPr>
              <w:pStyle w:val="0"/>
              <w:ind w:left="220" w:leftChars="100"/>
              <w:jc w:val="left"/>
              <w:rPr>
                <w:rFonts w:hint="default"/>
                <w:color w:val="auto"/>
                <w:sz w:val="20"/>
                <w:highlight w:val="none"/>
              </w:rPr>
            </w:pPr>
            <w:r>
              <w:rPr>
                <w:rFonts w:hint="eastAsia"/>
                <w:color w:val="auto"/>
                <w:sz w:val="20"/>
                <w:highlight w:val="none"/>
              </w:rPr>
              <w:t>グループホーム</w:t>
            </w:r>
          </w:p>
        </w:tc>
        <w:tc>
          <w:tcPr>
            <w:tcW w:w="625" w:type="dxa"/>
            <w:vAlign w:val="center"/>
          </w:tcPr>
          <w:p>
            <w:pPr>
              <w:pStyle w:val="0"/>
              <w:jc w:val="right"/>
              <w:rPr>
                <w:rFonts w:hint="default"/>
                <w:color w:val="auto"/>
                <w:sz w:val="20"/>
                <w:highlight w:val="none"/>
              </w:rPr>
            </w:pPr>
            <w:r>
              <w:rPr>
                <w:rFonts w:hint="eastAsia"/>
                <w:color w:val="auto"/>
                <w:sz w:val="20"/>
                <w:highlight w:val="none"/>
              </w:rPr>
              <w:t>2</w:t>
            </w:r>
          </w:p>
        </w:tc>
        <w:tc>
          <w:tcPr>
            <w:tcW w:w="2493" w:type="dxa"/>
            <w:shd w:val="clear" w:color="auto" w:themeFill="text2" w:themeFillTint="33" w:themeFillShade="FF"/>
            <w:vAlign w:val="center"/>
          </w:tcPr>
          <w:p>
            <w:pPr>
              <w:pStyle w:val="0"/>
              <w:jc w:val="left"/>
              <w:rPr>
                <w:rFonts w:hint="default"/>
                <w:b w:val="1"/>
                <w:color w:val="auto"/>
                <w:sz w:val="20"/>
                <w:highlight w:val="none"/>
              </w:rPr>
            </w:pPr>
            <w:r>
              <w:rPr>
                <w:rFonts w:hint="eastAsia"/>
                <w:b w:val="1"/>
                <w:color w:val="auto"/>
                <w:sz w:val="20"/>
                <w:highlight w:val="none"/>
              </w:rPr>
              <w:t>総合事業</w:t>
            </w:r>
          </w:p>
        </w:tc>
        <w:tc>
          <w:tcPr>
            <w:tcW w:w="567" w:type="dxa"/>
            <w:shd w:val="clear" w:color="auto" w:themeFill="text2" w:themeFillTint="33" w:themeFillShade="FF"/>
            <w:vAlign w:val="center"/>
          </w:tcPr>
          <w:p>
            <w:pPr>
              <w:pStyle w:val="0"/>
              <w:jc w:val="right"/>
              <w:rPr>
                <w:rFonts w:hint="default"/>
                <w:color w:val="auto"/>
                <w:sz w:val="20"/>
                <w:highlight w:val="none"/>
              </w:rPr>
            </w:pPr>
            <w:r>
              <w:rPr>
                <w:rFonts w:hint="eastAsia"/>
                <w:color w:val="auto"/>
                <w:sz w:val="20"/>
                <w:highlight w:val="none"/>
              </w:rPr>
              <w:t>18</w:t>
            </w:r>
          </w:p>
        </w:tc>
      </w:tr>
      <w:tr>
        <w:trPr/>
        <w:tc>
          <w:tcPr>
            <w:tcW w:w="2410" w:type="dxa"/>
            <w:vAlign w:val="center"/>
          </w:tcPr>
          <w:p>
            <w:pPr>
              <w:pStyle w:val="0"/>
              <w:ind w:left="220" w:leftChars="100"/>
              <w:jc w:val="left"/>
              <w:rPr>
                <w:rFonts w:hint="default"/>
                <w:color w:val="auto"/>
                <w:sz w:val="20"/>
                <w:highlight w:val="none"/>
              </w:rPr>
            </w:pPr>
            <w:r>
              <w:rPr>
                <w:rFonts w:hint="eastAsia"/>
                <w:color w:val="auto"/>
                <w:sz w:val="20"/>
                <w:highlight w:val="none"/>
              </w:rPr>
              <w:t>訪問ﾘﾊﾋﾞﾘﾃｰｼｮﾝ</w:t>
            </w:r>
          </w:p>
        </w:tc>
        <w:tc>
          <w:tcPr>
            <w:tcW w:w="630" w:type="dxa"/>
            <w:vAlign w:val="center"/>
          </w:tcPr>
          <w:p>
            <w:pPr>
              <w:pStyle w:val="0"/>
              <w:jc w:val="right"/>
              <w:rPr>
                <w:rFonts w:hint="default"/>
                <w:color w:val="auto"/>
                <w:sz w:val="20"/>
                <w:highlight w:val="none"/>
              </w:rPr>
            </w:pPr>
            <w:r>
              <w:rPr>
                <w:rFonts w:hint="eastAsia"/>
                <w:color w:val="auto"/>
                <w:sz w:val="20"/>
                <w:highlight w:val="none"/>
              </w:rPr>
              <w:t>1</w:t>
            </w:r>
          </w:p>
        </w:tc>
        <w:tc>
          <w:tcPr>
            <w:tcW w:w="2455" w:type="dxa"/>
            <w:vAlign w:val="center"/>
          </w:tcPr>
          <w:p>
            <w:pPr>
              <w:pStyle w:val="0"/>
              <w:ind w:firstLine="200" w:firstLineChars="100"/>
              <w:jc w:val="left"/>
              <w:rPr>
                <w:rFonts w:hint="default"/>
                <w:color w:val="auto"/>
                <w:sz w:val="20"/>
                <w:highlight w:val="none"/>
              </w:rPr>
            </w:pPr>
            <w:r>
              <w:rPr>
                <w:rFonts w:hint="eastAsia"/>
                <w:color w:val="auto"/>
                <w:sz w:val="20"/>
                <w:highlight w:val="none"/>
              </w:rPr>
              <w:t>小規模多機能</w:t>
            </w:r>
          </w:p>
        </w:tc>
        <w:tc>
          <w:tcPr>
            <w:tcW w:w="625" w:type="dxa"/>
            <w:vAlign w:val="center"/>
          </w:tcPr>
          <w:p>
            <w:pPr>
              <w:pStyle w:val="0"/>
              <w:jc w:val="right"/>
              <w:rPr>
                <w:rFonts w:hint="default"/>
                <w:color w:val="auto"/>
                <w:sz w:val="20"/>
                <w:highlight w:val="none"/>
              </w:rPr>
            </w:pPr>
            <w:r>
              <w:rPr>
                <w:rFonts w:hint="eastAsia"/>
                <w:color w:val="auto"/>
                <w:sz w:val="20"/>
                <w:highlight w:val="none"/>
              </w:rPr>
              <w:t>2</w:t>
            </w:r>
          </w:p>
        </w:tc>
        <w:tc>
          <w:tcPr>
            <w:tcW w:w="3060" w:type="dxa"/>
            <w:gridSpan w:val="2"/>
            <w:shd w:val="clear" w:color="auto" w:themeFill="text2" w:themeFillTint="33" w:themeFillShade="FF"/>
            <w:vAlign w:val="center"/>
          </w:tcPr>
          <w:p>
            <w:pPr>
              <w:pStyle w:val="0"/>
              <w:jc w:val="left"/>
              <w:rPr>
                <w:rFonts w:hint="default"/>
                <w:color w:val="auto"/>
                <w:sz w:val="20"/>
                <w:highlight w:val="none"/>
              </w:rPr>
            </w:pPr>
            <w:r>
              <w:rPr>
                <w:rFonts w:hint="eastAsia"/>
                <w:b w:val="1"/>
                <w:color w:val="auto"/>
                <w:sz w:val="20"/>
                <w:highlight w:val="none"/>
              </w:rPr>
              <w:t>その他</w:t>
            </w:r>
          </w:p>
        </w:tc>
      </w:tr>
      <w:tr>
        <w:trPr>
          <w:trHeight w:val="122" w:hRule="atLeast"/>
        </w:trPr>
        <w:tc>
          <w:tcPr>
            <w:tcW w:w="2410" w:type="dxa"/>
            <w:vAlign w:val="center"/>
          </w:tcPr>
          <w:p>
            <w:pPr>
              <w:pStyle w:val="0"/>
              <w:ind w:left="220" w:leftChars="100"/>
              <w:jc w:val="left"/>
              <w:rPr>
                <w:rFonts w:hint="default"/>
                <w:color w:val="auto"/>
                <w:sz w:val="20"/>
                <w:highlight w:val="none"/>
              </w:rPr>
            </w:pPr>
            <w:r>
              <w:rPr>
                <w:rFonts w:hint="eastAsia"/>
                <w:color w:val="auto"/>
                <w:sz w:val="20"/>
                <w:highlight w:val="none"/>
              </w:rPr>
              <w:t>通所介護</w:t>
            </w:r>
          </w:p>
        </w:tc>
        <w:tc>
          <w:tcPr>
            <w:tcW w:w="630" w:type="dxa"/>
            <w:vAlign w:val="center"/>
          </w:tcPr>
          <w:p>
            <w:pPr>
              <w:pStyle w:val="0"/>
              <w:jc w:val="right"/>
              <w:rPr>
                <w:rFonts w:hint="default"/>
                <w:color w:val="auto"/>
                <w:sz w:val="20"/>
                <w:highlight w:val="none"/>
              </w:rPr>
            </w:pPr>
            <w:r>
              <w:rPr>
                <w:rFonts w:hint="eastAsia"/>
                <w:color w:val="auto"/>
                <w:sz w:val="20"/>
                <w:highlight w:val="none"/>
              </w:rPr>
              <w:t>6</w:t>
            </w:r>
          </w:p>
        </w:tc>
        <w:tc>
          <w:tcPr>
            <w:tcW w:w="2455" w:type="dxa"/>
            <w:vAlign w:val="center"/>
          </w:tcPr>
          <w:p>
            <w:pPr>
              <w:pStyle w:val="0"/>
              <w:ind w:firstLine="200" w:firstLineChars="100"/>
              <w:jc w:val="left"/>
              <w:rPr>
                <w:rFonts w:hint="default"/>
                <w:color w:val="auto"/>
                <w:sz w:val="20"/>
                <w:highlight w:val="none"/>
              </w:rPr>
            </w:pPr>
            <w:r>
              <w:rPr>
                <w:rFonts w:hint="eastAsia"/>
                <w:color w:val="auto"/>
                <w:sz w:val="20"/>
                <w:highlight w:val="none"/>
              </w:rPr>
              <w:t>看護小規模多機能</w:t>
            </w:r>
          </w:p>
        </w:tc>
        <w:tc>
          <w:tcPr>
            <w:tcW w:w="625" w:type="dxa"/>
            <w:vAlign w:val="center"/>
          </w:tcPr>
          <w:p>
            <w:pPr>
              <w:pStyle w:val="0"/>
              <w:jc w:val="right"/>
              <w:rPr>
                <w:rFonts w:hint="default"/>
                <w:color w:val="auto"/>
                <w:sz w:val="20"/>
                <w:highlight w:val="none"/>
              </w:rPr>
            </w:pPr>
            <w:r>
              <w:rPr>
                <w:rFonts w:hint="eastAsia"/>
                <w:color w:val="auto"/>
                <w:sz w:val="20"/>
                <w:highlight w:val="none"/>
              </w:rPr>
              <w:t>0</w:t>
            </w:r>
          </w:p>
        </w:tc>
        <w:tc>
          <w:tcPr>
            <w:tcW w:w="2493" w:type="dxa"/>
            <w:shd w:val="clear" w:color="auto" w:fill="auto"/>
            <w:vAlign w:val="center"/>
          </w:tcPr>
          <w:p>
            <w:pPr>
              <w:pStyle w:val="0"/>
              <w:ind w:firstLine="200" w:firstLineChars="100"/>
              <w:jc w:val="left"/>
              <w:rPr>
                <w:rFonts w:hint="default"/>
                <w:color w:val="auto"/>
                <w:sz w:val="20"/>
                <w:highlight w:val="none"/>
              </w:rPr>
            </w:pPr>
            <w:r>
              <w:rPr>
                <w:rFonts w:hint="eastAsia"/>
                <w:color w:val="auto"/>
                <w:sz w:val="20"/>
                <w:highlight w:val="none"/>
              </w:rPr>
              <w:t>ｹｱﾊｳｽ</w:t>
            </w:r>
            <w:r>
              <w:rPr>
                <w:rFonts w:hint="eastAsia"/>
                <w:color w:val="auto"/>
                <w:sz w:val="20"/>
                <w:highlight w:val="none"/>
              </w:rPr>
              <w:t>(</w:t>
            </w:r>
            <w:r>
              <w:rPr>
                <w:rFonts w:hint="eastAsia"/>
                <w:color w:val="auto"/>
                <w:sz w:val="20"/>
                <w:highlight w:val="none"/>
              </w:rPr>
              <w:t>軽費老人ﾎｰﾑ</w:t>
            </w:r>
            <w:r>
              <w:rPr>
                <w:rFonts w:hint="eastAsia"/>
                <w:color w:val="auto"/>
                <w:sz w:val="20"/>
                <w:highlight w:val="none"/>
              </w:rPr>
              <w:t>)</w:t>
            </w:r>
          </w:p>
        </w:tc>
        <w:tc>
          <w:tcPr>
            <w:tcW w:w="567" w:type="dxa"/>
            <w:shd w:val="clear" w:color="auto" w:fill="auto"/>
            <w:vAlign w:val="center"/>
          </w:tcPr>
          <w:p>
            <w:pPr>
              <w:pStyle w:val="0"/>
              <w:jc w:val="right"/>
              <w:rPr>
                <w:rFonts w:hint="default"/>
                <w:color w:val="auto"/>
                <w:sz w:val="20"/>
                <w:highlight w:val="none"/>
              </w:rPr>
            </w:pPr>
            <w:r>
              <w:rPr>
                <w:rFonts w:hint="eastAsia"/>
                <w:color w:val="auto"/>
                <w:sz w:val="20"/>
                <w:highlight w:val="none"/>
              </w:rPr>
              <w:t>1</w:t>
            </w:r>
          </w:p>
        </w:tc>
      </w:tr>
      <w:tr>
        <w:trPr/>
        <w:tc>
          <w:tcPr>
            <w:tcW w:w="2410" w:type="dxa"/>
            <w:vAlign w:val="center"/>
          </w:tcPr>
          <w:p>
            <w:pPr>
              <w:pStyle w:val="0"/>
              <w:ind w:left="220" w:leftChars="100"/>
              <w:jc w:val="left"/>
              <w:rPr>
                <w:rFonts w:hint="default"/>
                <w:color w:val="auto"/>
                <w:sz w:val="20"/>
                <w:highlight w:val="none"/>
              </w:rPr>
            </w:pPr>
            <w:r>
              <w:rPr>
                <w:rFonts w:hint="eastAsia"/>
                <w:color w:val="auto"/>
                <w:sz w:val="20"/>
                <w:highlight w:val="none"/>
              </w:rPr>
              <w:t>通所ﾘﾊﾋﾞﾘﾃｰｼｮﾝ</w:t>
            </w:r>
          </w:p>
        </w:tc>
        <w:tc>
          <w:tcPr>
            <w:tcW w:w="630" w:type="dxa"/>
            <w:vAlign w:val="center"/>
          </w:tcPr>
          <w:p>
            <w:pPr>
              <w:pStyle w:val="0"/>
              <w:jc w:val="right"/>
              <w:rPr>
                <w:rFonts w:hint="default"/>
                <w:color w:val="auto"/>
                <w:sz w:val="20"/>
                <w:highlight w:val="none"/>
              </w:rPr>
            </w:pPr>
            <w:r>
              <w:rPr>
                <w:rFonts w:hint="eastAsia"/>
                <w:color w:val="auto"/>
                <w:sz w:val="20"/>
                <w:highlight w:val="none"/>
              </w:rPr>
              <w:t>4</w:t>
            </w:r>
          </w:p>
        </w:tc>
        <w:tc>
          <w:tcPr>
            <w:tcW w:w="2455" w:type="dxa"/>
            <w:vAlign w:val="center"/>
          </w:tcPr>
          <w:p>
            <w:pPr>
              <w:pStyle w:val="0"/>
              <w:ind w:firstLine="200" w:firstLineChars="100"/>
              <w:jc w:val="left"/>
              <w:rPr>
                <w:rFonts w:hint="default"/>
                <w:color w:val="auto"/>
                <w:sz w:val="20"/>
                <w:highlight w:val="none"/>
              </w:rPr>
            </w:pPr>
            <w:r>
              <w:rPr>
                <w:rFonts w:hint="eastAsia"/>
                <w:color w:val="auto"/>
                <w:sz w:val="20"/>
                <w:highlight w:val="none"/>
              </w:rPr>
              <w:t>地域密着型特養</w:t>
            </w:r>
          </w:p>
        </w:tc>
        <w:tc>
          <w:tcPr>
            <w:tcW w:w="625" w:type="dxa"/>
            <w:vAlign w:val="center"/>
          </w:tcPr>
          <w:p>
            <w:pPr>
              <w:pStyle w:val="0"/>
              <w:jc w:val="right"/>
              <w:rPr>
                <w:rFonts w:hint="default"/>
                <w:color w:val="auto"/>
                <w:sz w:val="20"/>
                <w:highlight w:val="none"/>
              </w:rPr>
            </w:pPr>
            <w:r>
              <w:rPr>
                <w:rFonts w:hint="eastAsia"/>
                <w:color w:val="auto"/>
                <w:sz w:val="20"/>
                <w:highlight w:val="none"/>
              </w:rPr>
              <w:t>1</w:t>
            </w:r>
          </w:p>
        </w:tc>
        <w:tc>
          <w:tcPr>
            <w:tcW w:w="2493" w:type="dxa"/>
            <w:shd w:val="clear" w:color="auto" w:fill="auto"/>
            <w:vAlign w:val="center"/>
          </w:tcPr>
          <w:p>
            <w:pPr>
              <w:pStyle w:val="0"/>
              <w:ind w:right="-110" w:rightChars="-50" w:firstLine="200" w:firstLineChars="100"/>
              <w:jc w:val="left"/>
              <w:rPr>
                <w:rFonts w:hint="default"/>
                <w:color w:val="auto"/>
                <w:sz w:val="20"/>
                <w:highlight w:val="none"/>
              </w:rPr>
            </w:pPr>
            <w:r>
              <w:rPr>
                <w:rFonts w:hint="eastAsia"/>
                <w:color w:val="auto"/>
                <w:sz w:val="20"/>
                <w:highlight w:val="none"/>
              </w:rPr>
              <w:t>サ高住</w:t>
            </w:r>
          </w:p>
        </w:tc>
        <w:tc>
          <w:tcPr>
            <w:tcW w:w="567" w:type="dxa"/>
            <w:shd w:val="clear" w:color="auto" w:fill="auto"/>
            <w:vAlign w:val="center"/>
          </w:tcPr>
          <w:p>
            <w:pPr>
              <w:pStyle w:val="0"/>
              <w:jc w:val="right"/>
              <w:rPr>
                <w:rFonts w:hint="default"/>
                <w:color w:val="auto"/>
                <w:sz w:val="20"/>
                <w:highlight w:val="none"/>
              </w:rPr>
            </w:pPr>
            <w:r>
              <w:rPr>
                <w:rFonts w:hint="eastAsia"/>
                <w:color w:val="auto"/>
                <w:sz w:val="20"/>
                <w:highlight w:val="none"/>
              </w:rPr>
              <w:t>3</w:t>
            </w:r>
          </w:p>
        </w:tc>
      </w:tr>
      <w:tr>
        <w:trPr/>
        <w:tc>
          <w:tcPr>
            <w:tcW w:w="2410" w:type="dxa"/>
            <w:vAlign w:val="center"/>
          </w:tcPr>
          <w:p>
            <w:pPr>
              <w:pStyle w:val="0"/>
              <w:ind w:left="220" w:leftChars="100"/>
              <w:jc w:val="left"/>
              <w:rPr>
                <w:rFonts w:hint="default"/>
                <w:color w:val="auto"/>
                <w:sz w:val="20"/>
                <w:highlight w:val="none"/>
              </w:rPr>
            </w:pPr>
            <w:r>
              <w:rPr>
                <w:rFonts w:hint="eastAsia"/>
                <w:color w:val="auto"/>
                <w:sz w:val="20"/>
                <w:highlight w:val="none"/>
              </w:rPr>
              <w:t>ショートステイ</w:t>
            </w:r>
          </w:p>
        </w:tc>
        <w:tc>
          <w:tcPr>
            <w:tcW w:w="630" w:type="dxa"/>
            <w:vAlign w:val="center"/>
          </w:tcPr>
          <w:p>
            <w:pPr>
              <w:pStyle w:val="0"/>
              <w:jc w:val="right"/>
              <w:rPr>
                <w:rFonts w:hint="default"/>
                <w:color w:val="auto"/>
                <w:sz w:val="20"/>
                <w:highlight w:val="none"/>
              </w:rPr>
            </w:pPr>
            <w:r>
              <w:rPr>
                <w:rFonts w:hint="eastAsia"/>
                <w:color w:val="auto"/>
                <w:sz w:val="20"/>
                <w:highlight w:val="none"/>
              </w:rPr>
              <w:t>8</w:t>
            </w:r>
          </w:p>
        </w:tc>
        <w:tc>
          <w:tcPr>
            <w:tcW w:w="2455" w:type="dxa"/>
            <w:vAlign w:val="center"/>
          </w:tcPr>
          <w:p>
            <w:pPr>
              <w:pStyle w:val="0"/>
              <w:ind w:left="220" w:leftChars="100"/>
              <w:jc w:val="left"/>
              <w:rPr>
                <w:rFonts w:hint="default"/>
                <w:color w:val="auto"/>
                <w:sz w:val="20"/>
                <w:highlight w:val="none"/>
              </w:rPr>
            </w:pPr>
            <w:r>
              <w:rPr>
                <w:rFonts w:hint="eastAsia"/>
                <w:color w:val="auto"/>
                <w:sz w:val="20"/>
                <w:highlight w:val="none"/>
              </w:rPr>
              <w:t>地域密着型特定入居</w:t>
            </w:r>
          </w:p>
        </w:tc>
        <w:tc>
          <w:tcPr>
            <w:tcW w:w="625" w:type="dxa"/>
            <w:vAlign w:val="center"/>
          </w:tcPr>
          <w:p>
            <w:pPr>
              <w:pStyle w:val="0"/>
              <w:jc w:val="right"/>
              <w:rPr>
                <w:rFonts w:hint="default"/>
                <w:color w:val="auto"/>
                <w:sz w:val="20"/>
                <w:highlight w:val="none"/>
              </w:rPr>
            </w:pPr>
            <w:r>
              <w:rPr>
                <w:rFonts w:hint="eastAsia"/>
                <w:color w:val="auto"/>
                <w:sz w:val="20"/>
                <w:highlight w:val="none"/>
              </w:rPr>
              <w:t>1</w:t>
            </w:r>
          </w:p>
        </w:tc>
        <w:tc>
          <w:tcPr>
            <w:tcW w:w="2493" w:type="dxa"/>
            <w:shd w:val="clear" w:color="auto" w:fill="auto"/>
            <w:vAlign w:val="center"/>
          </w:tcPr>
          <w:p>
            <w:pPr>
              <w:pStyle w:val="0"/>
              <w:ind w:right="-110" w:rightChars="-50" w:firstLine="200" w:firstLineChars="100"/>
              <w:jc w:val="left"/>
              <w:rPr>
                <w:rFonts w:hint="default"/>
                <w:color w:val="auto"/>
                <w:sz w:val="20"/>
                <w:highlight w:val="none"/>
              </w:rPr>
            </w:pPr>
            <w:r>
              <w:rPr>
                <w:rFonts w:hint="eastAsia"/>
                <w:color w:val="auto"/>
                <w:sz w:val="20"/>
                <w:highlight w:val="none"/>
              </w:rPr>
              <w:t>有料老人ホーム</w:t>
            </w:r>
          </w:p>
        </w:tc>
        <w:tc>
          <w:tcPr>
            <w:tcW w:w="567" w:type="dxa"/>
            <w:shd w:val="clear" w:color="auto" w:fill="auto"/>
            <w:vAlign w:val="center"/>
          </w:tcPr>
          <w:p>
            <w:pPr>
              <w:pStyle w:val="0"/>
              <w:jc w:val="right"/>
              <w:rPr>
                <w:rFonts w:hint="default"/>
                <w:color w:val="auto"/>
                <w:sz w:val="20"/>
                <w:highlight w:val="none"/>
              </w:rPr>
            </w:pPr>
            <w:r>
              <w:rPr>
                <w:rFonts w:hint="eastAsia"/>
                <w:color w:val="auto"/>
                <w:sz w:val="20"/>
                <w:highlight w:val="none"/>
              </w:rPr>
              <w:t>1</w:t>
            </w:r>
          </w:p>
        </w:tc>
      </w:tr>
      <w:tr>
        <w:trPr/>
        <w:tc>
          <w:tcPr>
            <w:tcW w:w="2410" w:type="dxa"/>
            <w:vAlign w:val="center"/>
          </w:tcPr>
          <w:p>
            <w:pPr>
              <w:pStyle w:val="0"/>
              <w:ind w:left="220" w:leftChars="100"/>
              <w:jc w:val="left"/>
              <w:rPr>
                <w:rFonts w:hint="default"/>
                <w:color w:val="auto"/>
                <w:sz w:val="20"/>
                <w:highlight w:val="none"/>
              </w:rPr>
            </w:pPr>
            <w:r>
              <w:rPr>
                <w:rFonts w:hint="eastAsia"/>
                <w:color w:val="auto"/>
                <w:sz w:val="20"/>
                <w:highlight w:val="none"/>
              </w:rPr>
              <w:t>特定入居</w:t>
            </w:r>
            <w:r>
              <w:rPr>
                <w:rFonts w:hint="eastAsia"/>
                <w:color w:val="auto"/>
                <w:sz w:val="20"/>
                <w:highlight w:val="none"/>
              </w:rPr>
              <w:t>(</w:t>
            </w:r>
            <w:r>
              <w:rPr>
                <w:rFonts w:hint="eastAsia"/>
                <w:color w:val="auto"/>
                <w:sz w:val="20"/>
                <w:highlight w:val="none"/>
              </w:rPr>
              <w:t>生・療</w:t>
            </w:r>
            <w:r>
              <w:rPr>
                <w:rFonts w:hint="eastAsia"/>
                <w:color w:val="auto"/>
                <w:sz w:val="20"/>
                <w:highlight w:val="none"/>
              </w:rPr>
              <w:t>)</w:t>
            </w:r>
          </w:p>
        </w:tc>
        <w:tc>
          <w:tcPr>
            <w:tcW w:w="630" w:type="dxa"/>
            <w:vAlign w:val="center"/>
          </w:tcPr>
          <w:p>
            <w:pPr>
              <w:pStyle w:val="0"/>
              <w:jc w:val="right"/>
              <w:rPr>
                <w:rFonts w:hint="default"/>
                <w:color w:val="auto"/>
                <w:sz w:val="20"/>
                <w:highlight w:val="none"/>
              </w:rPr>
            </w:pPr>
            <w:r>
              <w:rPr>
                <w:rFonts w:hint="eastAsia"/>
                <w:color w:val="auto"/>
                <w:sz w:val="20"/>
                <w:highlight w:val="none"/>
              </w:rPr>
              <w:t>0</w:t>
            </w:r>
          </w:p>
        </w:tc>
        <w:tc>
          <w:tcPr>
            <w:tcW w:w="2455" w:type="dxa"/>
            <w:vAlign w:val="center"/>
          </w:tcPr>
          <w:p>
            <w:pPr>
              <w:pStyle w:val="0"/>
              <w:ind w:left="220" w:leftChars="100"/>
              <w:jc w:val="left"/>
              <w:rPr>
                <w:rFonts w:hint="default"/>
                <w:color w:val="auto"/>
                <w:sz w:val="20"/>
                <w:highlight w:val="none"/>
              </w:rPr>
            </w:pPr>
          </w:p>
        </w:tc>
        <w:tc>
          <w:tcPr>
            <w:tcW w:w="625" w:type="dxa"/>
            <w:vAlign w:val="center"/>
          </w:tcPr>
          <w:p>
            <w:pPr>
              <w:pStyle w:val="0"/>
              <w:jc w:val="left"/>
              <w:rPr>
                <w:rFonts w:hint="default"/>
                <w:color w:val="auto"/>
                <w:sz w:val="20"/>
                <w:highlight w:val="none"/>
              </w:rPr>
            </w:pPr>
          </w:p>
        </w:tc>
        <w:tc>
          <w:tcPr>
            <w:tcW w:w="2493" w:type="dxa"/>
            <w:shd w:val="clear" w:color="auto" w:fill="auto"/>
            <w:vAlign w:val="center"/>
          </w:tcPr>
          <w:p>
            <w:pPr>
              <w:pStyle w:val="0"/>
              <w:ind w:right="-110" w:rightChars="-50" w:firstLine="200" w:firstLineChars="100"/>
              <w:jc w:val="left"/>
              <w:rPr>
                <w:rFonts w:hint="default"/>
                <w:color w:val="auto"/>
                <w:sz w:val="20"/>
                <w:highlight w:val="none"/>
              </w:rPr>
            </w:pPr>
          </w:p>
        </w:tc>
        <w:tc>
          <w:tcPr>
            <w:tcW w:w="567" w:type="dxa"/>
            <w:shd w:val="clear" w:color="auto" w:fill="auto"/>
            <w:vAlign w:val="center"/>
          </w:tcPr>
          <w:p>
            <w:pPr>
              <w:pStyle w:val="0"/>
              <w:jc w:val="left"/>
              <w:rPr>
                <w:rFonts w:hint="default"/>
                <w:color w:val="auto"/>
                <w:sz w:val="20"/>
                <w:highlight w:val="none"/>
              </w:rPr>
            </w:pPr>
          </w:p>
        </w:tc>
      </w:tr>
    </w:tbl>
    <w:p>
      <w:pPr>
        <w:pStyle w:val="0"/>
        <w:jc w:val="center"/>
        <w:rPr>
          <w:rFonts w:hint="default" w:ascii="BIZ UDPゴシック" w:hAnsi="BIZ UDPゴシック" w:eastAsia="BIZ UDPゴシック"/>
          <w:color w:val="auto"/>
          <w:highlight w:val="none"/>
        </w:rPr>
      </w:pPr>
    </w:p>
    <w:p>
      <w:pPr>
        <w:pStyle w:val="0"/>
        <w:jc w:val="center"/>
        <w:rPr>
          <w:rFonts w:hint="default" w:ascii="BIZ UDPゴシック" w:hAnsi="BIZ UDPゴシック" w:eastAsia="BIZ UDPゴシック"/>
          <w:color w:val="auto"/>
          <w:highlight w:val="none"/>
        </w:rPr>
      </w:pPr>
      <w:r>
        <w:rPr>
          <w:rFonts w:hint="default"/>
          <w:color w:val="auto"/>
          <w:highlight w:val="none"/>
        </w:rPr>
        <w:drawing>
          <wp:anchor distT="0" distB="0" distL="114300" distR="114300" simplePos="0" relativeHeight="148" behindDoc="0" locked="0" layoutInCell="1" hidden="0" allowOverlap="1">
            <wp:simplePos x="0" y="0"/>
            <wp:positionH relativeFrom="column">
              <wp:posOffset>360680</wp:posOffset>
            </wp:positionH>
            <wp:positionV relativeFrom="paragraph">
              <wp:posOffset>238760</wp:posOffset>
            </wp:positionV>
            <wp:extent cx="5534025" cy="2400300"/>
            <wp:effectExtent l="0" t="0" r="0" b="0"/>
            <wp:wrapNone/>
            <wp:docPr id="1082" name="Picture 6"/>
            <a:graphic xmlns:a="http://schemas.openxmlformats.org/drawingml/2006/main">
              <a:graphicData uri="http://schemas.openxmlformats.org/drawingml/2006/picture">
                <pic:pic xmlns:pic="http://schemas.openxmlformats.org/drawingml/2006/picture">
                  <pic:nvPicPr>
                    <pic:cNvPr id="1082" name="Picture 6"/>
                    <pic:cNvPicPr>
                      <a:picLocks noChangeAspect="1" noChangeArrowheads="1"/>
                    </pic:cNvPicPr>
                  </pic:nvPicPr>
                  <pic:blipFill>
                    <a:blip r:embed="rId26"/>
                    <a:stretch>
                      <a:fillRect/>
                    </a:stretch>
                  </pic:blipFill>
                  <pic:spPr>
                    <a:xfrm>
                      <a:off x="0" y="0"/>
                      <a:ext cx="5534025" cy="2400300"/>
                    </a:xfrm>
                    <a:prstGeom prst="rect">
                      <a:avLst/>
                    </a:prstGeom>
                    <a:noFill/>
                    <a:ln>
                      <a:noFill/>
                    </a:ln>
                  </pic:spPr>
                </pic:pic>
              </a:graphicData>
            </a:graphic>
          </wp:anchor>
        </w:drawing>
      </w:r>
      <w:r>
        <w:rPr>
          <w:rFonts w:hint="eastAsia" w:ascii="BIZ UDPゴシック" w:hAnsi="BIZ UDPゴシック" w:eastAsia="BIZ UDPゴシック"/>
          <w:color w:val="auto"/>
          <w:highlight w:val="none"/>
        </w:rPr>
        <w:t>〔図　廿日市東部圏域の人口の推計〕</w:t>
      </w: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jc w:val="right"/>
        <w:rPr>
          <w:rFonts w:hint="default" w:ascii="BIZ UDPゴシック" w:hAnsi="BIZ UDPゴシック" w:eastAsia="BIZ UDPゴシック"/>
          <w:color w:val="auto"/>
          <w:sz w:val="20"/>
          <w:highlight w:val="none"/>
        </w:rPr>
      </w:pPr>
      <w:r>
        <w:rPr>
          <w:rFonts w:hint="eastAsia" w:ascii="BIZ UDPゴシック" w:hAnsi="BIZ UDPゴシック" w:eastAsia="BIZ UDPゴシック"/>
          <w:color w:val="auto"/>
          <w:sz w:val="20"/>
          <w:highlight w:val="none"/>
        </w:rPr>
        <w:t>資料：住民基本台帳人口及び推計値</w:t>
      </w:r>
    </w:p>
    <w:p>
      <w:pPr>
        <w:pStyle w:val="0"/>
        <w:rPr>
          <w:rFonts w:hint="default" w:ascii="BIZ UDPゴシック" w:hAnsi="BIZ UDPゴシック" w:eastAsia="BIZ UDPゴシック"/>
          <w:color w:val="auto"/>
          <w:highlight w:val="none"/>
        </w:rPr>
      </w:pPr>
    </w:p>
    <w:p>
      <w:pPr>
        <w:pStyle w:val="0"/>
        <w:spacing w:line="240" w:lineRule="exact"/>
        <w:jc w:val="center"/>
        <w:rPr>
          <w:rFonts w:hint="default"/>
          <w:color w:val="auto"/>
          <w:highlight w:val="none"/>
        </w:rPr>
      </w:pPr>
      <w:r>
        <w:rPr>
          <w:rFonts w:hint="eastAsia" w:ascii="BIZ UDPゴシック" w:hAnsi="BIZ UDPゴシック" w:eastAsia="BIZ UDPゴシック"/>
          <w:color w:val="auto"/>
          <w:highlight w:val="none"/>
        </w:rPr>
        <w:t>〔廿日市東部圏域の要支援・要介護認定者数（第</w:t>
      </w:r>
      <w:r>
        <w:rPr>
          <w:rFonts w:hint="eastAsia" w:ascii="BIZ UDPゴシック" w:hAnsi="BIZ UDPゴシック" w:eastAsia="BIZ UDPゴシック"/>
          <w:color w:val="auto"/>
          <w:highlight w:val="none"/>
        </w:rPr>
        <w:t>1</w:t>
      </w:r>
      <w:r>
        <w:rPr>
          <w:rFonts w:hint="eastAsia" w:ascii="BIZ UDPゴシック" w:hAnsi="BIZ UDPゴシック" w:eastAsia="BIZ UDPゴシック"/>
          <w:color w:val="auto"/>
          <w:highlight w:val="none"/>
        </w:rPr>
        <w:t>号被保険者）の推計〕</w:t>
      </w:r>
    </w:p>
    <w:p>
      <w:pPr>
        <w:pStyle w:val="0"/>
        <w:rPr>
          <w:rFonts w:hint="default" w:ascii="BIZ UDPゴシック" w:hAnsi="BIZ UDPゴシック" w:eastAsia="BIZ UDPゴシック"/>
          <w:color w:val="auto"/>
          <w:highlight w:val="none"/>
        </w:rPr>
      </w:pPr>
      <w:r>
        <w:rPr>
          <w:rFonts w:hint="default"/>
          <w:color w:val="auto"/>
          <w:highlight w:val="none"/>
        </w:rPr>
        <w:drawing>
          <wp:anchor distT="0" distB="0" distL="114300" distR="114300" simplePos="0" relativeHeight="155" behindDoc="0" locked="0" layoutInCell="1" hidden="0" allowOverlap="1">
            <wp:simplePos x="0" y="0"/>
            <wp:positionH relativeFrom="column">
              <wp:posOffset>1412875</wp:posOffset>
            </wp:positionH>
            <wp:positionV relativeFrom="paragraph">
              <wp:posOffset>90805</wp:posOffset>
            </wp:positionV>
            <wp:extent cx="3686175" cy="2085975"/>
            <wp:effectExtent l="0" t="0" r="0" b="0"/>
            <wp:wrapNone/>
            <wp:docPr id="1083" name="Picture 1"/>
            <a:graphic xmlns:a="http://schemas.openxmlformats.org/drawingml/2006/main">
              <a:graphicData uri="http://schemas.openxmlformats.org/drawingml/2006/picture">
                <pic:pic xmlns:pic="http://schemas.openxmlformats.org/drawingml/2006/picture">
                  <pic:nvPicPr>
                    <pic:cNvPr id="1083" name="Picture 1"/>
                    <pic:cNvPicPr>
                      <a:picLocks noChangeAspect="1" noChangeArrowheads="1"/>
                    </pic:cNvPicPr>
                  </pic:nvPicPr>
                  <pic:blipFill>
                    <a:blip r:embed="rId27"/>
                    <a:stretch>
                      <a:fillRect/>
                    </a:stretch>
                  </pic:blipFill>
                  <pic:spPr>
                    <a:xfrm>
                      <a:off x="0" y="0"/>
                      <a:ext cx="3686175" cy="2085975"/>
                    </a:xfrm>
                    <a:prstGeom prst="rect">
                      <a:avLst/>
                    </a:prstGeom>
                    <a:noFill/>
                    <a:ln>
                      <a:noFill/>
                    </a:ln>
                  </pic:spPr>
                </pic:pic>
              </a:graphicData>
            </a:graphic>
          </wp:anchor>
        </w:drawing>
      </w: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〔地域の特徴〕</w:t>
      </w:r>
    </w:p>
    <w:p>
      <w:pPr>
        <w:pStyle w:val="34"/>
        <w:numPr>
          <w:ilvl w:val="0"/>
          <w:numId w:val="2"/>
        </w:numPr>
        <w:spacing w:before="185" w:beforeLines="50" w:beforeAutospacing="0"/>
        <w:ind w:left="652" w:leftChars="0" w:hanging="442"/>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７圏域の中で最も人口が多く、高齢化率は最も低くなっています。</w:t>
      </w:r>
    </w:p>
    <w:p>
      <w:pPr>
        <w:pStyle w:val="34"/>
        <w:numPr>
          <w:ilvl w:val="0"/>
          <w:numId w:val="2"/>
        </w:numPr>
        <w:ind w:left="650" w:leftChars="0" w:hanging="44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総人口は令和</w:t>
      </w:r>
      <w:r>
        <w:rPr>
          <w:rFonts w:hint="eastAsia" w:ascii="BIZ UDPゴシック" w:hAnsi="BIZ UDPゴシック" w:eastAsia="BIZ UDPゴシック"/>
          <w:color w:val="auto"/>
          <w:highlight w:val="none"/>
        </w:rPr>
        <w:t>12</w:t>
      </w:r>
      <w:r>
        <w:rPr>
          <w:rFonts w:hint="eastAsia" w:ascii="BIZ UDPゴシック" w:hAnsi="BIZ UDPゴシック" w:eastAsia="BIZ UDPゴシック"/>
          <w:color w:val="auto"/>
          <w:highlight w:val="none"/>
        </w:rPr>
        <w:t>（</w:t>
      </w:r>
      <w:r>
        <w:rPr>
          <w:rFonts w:hint="eastAsia" w:ascii="BIZ UDPゴシック" w:hAnsi="BIZ UDPゴシック" w:eastAsia="BIZ UDPゴシック"/>
          <w:color w:val="auto"/>
          <w:highlight w:val="none"/>
        </w:rPr>
        <w:t>2030</w:t>
      </w:r>
      <w:r>
        <w:rPr>
          <w:rFonts w:hint="eastAsia" w:ascii="BIZ UDPゴシック" w:hAnsi="BIZ UDPゴシック" w:eastAsia="BIZ UDPゴシック"/>
          <w:color w:val="auto"/>
          <w:highlight w:val="none"/>
        </w:rPr>
        <w:t>）年、</w:t>
      </w:r>
      <w:r>
        <w:rPr>
          <w:rFonts w:hint="default" w:ascii="BIZ UDPゴシック" w:hAnsi="BIZ UDPゴシック" w:eastAsia="BIZ UDPゴシック"/>
          <w:color w:val="auto"/>
          <w:highlight w:val="none"/>
        </w:rPr>
        <w:t>85</w:t>
      </w:r>
      <w:r>
        <w:rPr>
          <w:rFonts w:hint="default" w:ascii="BIZ UDPゴシック" w:hAnsi="BIZ UDPゴシック" w:eastAsia="BIZ UDPゴシック"/>
          <w:color w:val="auto"/>
          <w:highlight w:val="none"/>
        </w:rPr>
        <w:t>歳以上の高齢者数は</w:t>
      </w:r>
      <w:r>
        <w:rPr>
          <w:rFonts w:hint="eastAsia" w:ascii="BIZ UDPゴシック" w:hAnsi="BIZ UDPゴシック" w:eastAsia="BIZ UDPゴシック"/>
          <w:color w:val="auto"/>
          <w:highlight w:val="none"/>
        </w:rPr>
        <w:t>令和</w:t>
      </w:r>
      <w:r>
        <w:rPr>
          <w:rFonts w:hint="eastAsia" w:ascii="BIZ UDPゴシック" w:hAnsi="BIZ UDPゴシック" w:eastAsia="BIZ UDPゴシック"/>
          <w:color w:val="auto"/>
          <w:highlight w:val="none"/>
        </w:rPr>
        <w:t>19</w:t>
      </w:r>
      <w:r>
        <w:rPr>
          <w:rFonts w:hint="eastAsia" w:ascii="BIZ UDPゴシック" w:hAnsi="BIZ UDPゴシック" w:eastAsia="BIZ UDPゴシック"/>
          <w:color w:val="auto"/>
          <w:highlight w:val="none"/>
        </w:rPr>
        <w:t>（</w:t>
      </w:r>
      <w:r>
        <w:rPr>
          <w:rFonts w:hint="eastAsia" w:ascii="BIZ UDPゴシック" w:hAnsi="BIZ UDPゴシック" w:eastAsia="BIZ UDPゴシック"/>
          <w:color w:val="auto"/>
          <w:highlight w:val="none"/>
        </w:rPr>
        <w:t>2037</w:t>
      </w:r>
      <w:r>
        <w:rPr>
          <w:rFonts w:hint="eastAsia" w:ascii="BIZ UDPゴシック" w:hAnsi="BIZ UDPゴシック" w:eastAsia="BIZ UDPゴシック"/>
          <w:color w:val="auto"/>
          <w:highlight w:val="none"/>
        </w:rPr>
        <w:t>）年以降減少しますが、後期高齢数は令和</w:t>
      </w:r>
      <w:r>
        <w:rPr>
          <w:rFonts w:hint="eastAsia" w:ascii="BIZ UDPゴシック" w:hAnsi="BIZ UDPゴシック" w:eastAsia="BIZ UDPゴシック"/>
          <w:color w:val="auto"/>
          <w:highlight w:val="none"/>
        </w:rPr>
        <w:t>22</w:t>
      </w:r>
      <w:r>
        <w:rPr>
          <w:rFonts w:hint="eastAsia" w:ascii="BIZ UDPゴシック" w:hAnsi="BIZ UDPゴシック" w:eastAsia="BIZ UDPゴシック"/>
          <w:color w:val="auto"/>
          <w:highlight w:val="none"/>
        </w:rPr>
        <w:t>（</w:t>
      </w:r>
      <w:r>
        <w:rPr>
          <w:rFonts w:hint="eastAsia" w:ascii="BIZ UDPゴシック" w:hAnsi="BIZ UDPゴシック" w:eastAsia="BIZ UDPゴシック"/>
          <w:color w:val="auto"/>
          <w:highlight w:val="none"/>
        </w:rPr>
        <w:t>2040</w:t>
      </w:r>
      <w:r>
        <w:rPr>
          <w:rFonts w:hint="eastAsia" w:ascii="BIZ UDPゴシック" w:hAnsi="BIZ UDPゴシック" w:eastAsia="BIZ UDPゴシック"/>
          <w:color w:val="auto"/>
          <w:highlight w:val="none"/>
        </w:rPr>
        <w:t>）年まで、高齢者数は令和</w:t>
      </w:r>
      <w:r>
        <w:rPr>
          <w:rFonts w:hint="eastAsia" w:ascii="BIZ UDPゴシック" w:hAnsi="BIZ UDPゴシック" w:eastAsia="BIZ UDPゴシック"/>
          <w:color w:val="auto"/>
          <w:highlight w:val="none"/>
        </w:rPr>
        <w:t>22</w:t>
      </w:r>
      <w:r>
        <w:rPr>
          <w:rFonts w:hint="eastAsia" w:ascii="BIZ UDPゴシック" w:hAnsi="BIZ UDPゴシック" w:eastAsia="BIZ UDPゴシック"/>
          <w:color w:val="auto"/>
          <w:highlight w:val="none"/>
        </w:rPr>
        <w:t>（</w:t>
      </w:r>
      <w:r>
        <w:rPr>
          <w:rFonts w:hint="eastAsia" w:ascii="BIZ UDPゴシック" w:hAnsi="BIZ UDPゴシック" w:eastAsia="BIZ UDPゴシック"/>
          <w:color w:val="auto"/>
          <w:highlight w:val="none"/>
        </w:rPr>
        <w:t>2040</w:t>
      </w:r>
      <w:r>
        <w:rPr>
          <w:rFonts w:hint="eastAsia" w:ascii="BIZ UDPゴシック" w:hAnsi="BIZ UDPゴシック" w:eastAsia="BIZ UDPゴシック"/>
          <w:color w:val="auto"/>
          <w:highlight w:val="none"/>
        </w:rPr>
        <w:t>）年以降も増加する見込みです。</w:t>
      </w:r>
    </w:p>
    <w:p>
      <w:pPr>
        <w:pStyle w:val="34"/>
        <w:numPr>
          <w:ilvl w:val="0"/>
          <w:numId w:val="2"/>
        </w:numPr>
        <w:ind w:left="650" w:leftChars="0" w:hanging="44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要支援・要介護認定率は沿岸部地域の中ではやや高くなっており、今後、</w:t>
      </w:r>
      <w:r>
        <w:rPr>
          <w:rFonts w:hint="default" w:ascii="BIZ UDPゴシック" w:hAnsi="BIZ UDPゴシック" w:eastAsia="BIZ UDPゴシック"/>
          <w:color w:val="auto"/>
          <w:highlight w:val="none"/>
        </w:rPr>
        <w:t>85</w:t>
      </w:r>
      <w:r>
        <w:rPr>
          <w:rFonts w:hint="default" w:ascii="BIZ UDPゴシック" w:hAnsi="BIZ UDPゴシック" w:eastAsia="BIZ UDPゴシック"/>
          <w:color w:val="auto"/>
          <w:highlight w:val="none"/>
        </w:rPr>
        <w:t>歳以上の高齢者数</w:t>
      </w:r>
      <w:r>
        <w:rPr>
          <w:rFonts w:hint="eastAsia" w:ascii="BIZ UDPゴシック" w:hAnsi="BIZ UDPゴシック" w:eastAsia="BIZ UDPゴシック"/>
          <w:color w:val="auto"/>
          <w:highlight w:val="none"/>
        </w:rPr>
        <w:t>の増加に伴い、認定者数は増加し、認定率も上昇する見込みです。</w:t>
      </w:r>
    </w:p>
    <w:p>
      <w:pPr>
        <w:pStyle w:val="34"/>
        <w:numPr>
          <w:ilvl w:val="0"/>
          <w:numId w:val="2"/>
        </w:numPr>
        <w:ind w:left="650" w:leftChars="0" w:hanging="44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医療機関や介護保険サービスが充実している地域です。</w:t>
      </w:r>
    </w:p>
    <w:p>
      <w:pPr>
        <w:pStyle w:val="34"/>
        <w:widowControl w:val="1"/>
        <w:numPr>
          <w:ilvl w:val="0"/>
          <w:numId w:val="2"/>
        </w:numPr>
        <w:spacing w:line="380" w:lineRule="exact"/>
        <w:ind w:left="650" w:leftChars="0" w:hanging="440"/>
        <w:jc w:val="left"/>
        <w:rPr>
          <w:rFonts w:hint="default"/>
          <w:color w:val="auto"/>
          <w:highlight w:val="none"/>
        </w:rPr>
      </w:pPr>
      <w:r>
        <w:rPr>
          <w:rFonts w:hint="eastAsia" w:ascii="BIZ UDPゴシック" w:hAnsi="BIZ UDPゴシック" w:eastAsia="BIZ UDPゴシック"/>
          <w:color w:val="auto"/>
          <w:highlight w:val="none"/>
        </w:rPr>
        <w:t>ニーズ調査の結果では、「ひとり暮らし」、「民間賃貸住宅に住んでいる人」、「共食をする頻度が少ない」、「外出する際の移動手段が徒歩である」の割合が高くなっています。</w:t>
      </w:r>
      <w:r>
        <w:rPr>
          <w:rFonts w:hint="default"/>
          <w:color w:val="auto"/>
          <w:highlight w:val="none"/>
        </w:rPr>
        <w:br w:type="page"/>
      </w:r>
    </w:p>
    <w:p>
      <w:pPr>
        <w:pStyle w:val="0"/>
        <w:tabs>
          <w:tab w:val="left" w:leader="none" w:pos="3250"/>
        </w:tabs>
        <w:spacing w:before="111" w:beforeLines="30" w:beforeAutospacing="0"/>
        <w:jc w:val="center"/>
        <w:rPr>
          <w:rFonts w:hint="default" w:ascii="BIZ UDPゴシック" w:hAnsi="BIZ UDPゴシック" w:eastAsia="BIZ UDPゴシック"/>
          <w:color w:val="auto"/>
          <w:sz w:val="28"/>
          <w:highlight w:val="none"/>
        </w:rPr>
      </w:pPr>
      <w:r>
        <w:rPr>
          <w:rFonts w:hint="eastAsia" w:ascii="BIZ UDPゴシック" w:hAnsi="BIZ UDPゴシック" w:eastAsia="BIZ UDPゴシック"/>
          <w:color w:val="auto"/>
          <w:sz w:val="28"/>
          <w:highlight w:val="none"/>
        </w:rPr>
        <w:t>≪廿日市中部圏域≫</w:t>
      </w:r>
    </w:p>
    <w:tbl>
      <w:tblPr>
        <w:tblStyle w:val="81"/>
        <w:tblW w:w="9145" w:type="dxa"/>
        <w:jc w:val="center"/>
        <w:tblInd w:w="0" w:type="dxa"/>
        <w:tblLayout w:type="fixed"/>
        <w:tblLook w:firstRow="1" w:lastRow="0" w:firstColumn="1" w:lastColumn="0" w:noHBand="0" w:noVBand="1" w:val="04A0"/>
      </w:tblPr>
      <w:tblGrid>
        <w:gridCol w:w="1829"/>
        <w:gridCol w:w="1829"/>
        <w:gridCol w:w="1829"/>
        <w:gridCol w:w="1829"/>
        <w:gridCol w:w="1829"/>
      </w:tblGrid>
      <w:tr>
        <w:trPr>
          <w:trHeight w:val="1191" w:hRule="atLeast"/>
        </w:trPr>
        <w:tc>
          <w:tcPr>
            <w:tcW w:w="1829" w:type="dxa"/>
            <w:shd w:val="clear" w:color="auto" w:themeFill="accent5" w:themeFillTint="66" w:themeFillShade="FF"/>
            <w:vAlign w:val="center"/>
          </w:tcPr>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総人口</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8"/>
                <w:highlight w:val="none"/>
              </w:rPr>
              <w:t>（Ｒ</w:t>
            </w:r>
            <w:r>
              <w:rPr>
                <w:rFonts w:hint="eastAsia" w:ascii="BIZ UDPゴシック" w:hAnsi="BIZ UDPゴシック" w:eastAsia="BIZ UDPゴシック"/>
                <w:color w:val="auto"/>
                <w:sz w:val="18"/>
                <w:highlight w:val="none"/>
              </w:rPr>
              <w:t>5.9</w:t>
            </w:r>
            <w:r>
              <w:rPr>
                <w:rFonts w:hint="eastAsia" w:ascii="BIZ UDPゴシック" w:hAnsi="BIZ UDPゴシック" w:eastAsia="BIZ UDPゴシック"/>
                <w:color w:val="auto"/>
                <w:sz w:val="18"/>
                <w:highlight w:val="none"/>
              </w:rPr>
              <w:t>月末現在）</w:t>
            </w:r>
          </w:p>
        </w:tc>
        <w:tc>
          <w:tcPr>
            <w:tcW w:w="1829" w:type="dxa"/>
            <w:shd w:val="clear" w:color="auto" w:themeFill="accent5" w:themeFillTint="66" w:themeFillShade="FF"/>
            <w:vAlign w:val="center"/>
          </w:tcPr>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高齢者数</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高齢化率</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6"/>
                <w:highlight w:val="none"/>
              </w:rPr>
              <w:t>（Ｒ</w:t>
            </w:r>
            <w:r>
              <w:rPr>
                <w:rFonts w:hint="eastAsia" w:ascii="BIZ UDPゴシック" w:hAnsi="BIZ UDPゴシック" w:eastAsia="BIZ UDPゴシック"/>
                <w:color w:val="auto"/>
                <w:sz w:val="16"/>
                <w:highlight w:val="none"/>
              </w:rPr>
              <w:t>5.9</w:t>
            </w:r>
            <w:r>
              <w:rPr>
                <w:rFonts w:hint="eastAsia" w:ascii="BIZ UDPゴシック" w:hAnsi="BIZ UDPゴシック" w:eastAsia="BIZ UDPゴシック"/>
                <w:color w:val="auto"/>
                <w:sz w:val="16"/>
                <w:highlight w:val="none"/>
              </w:rPr>
              <w:t>月末現在）</w:t>
            </w:r>
          </w:p>
        </w:tc>
        <w:tc>
          <w:tcPr>
            <w:tcW w:w="1829" w:type="dxa"/>
            <w:shd w:val="clear" w:color="auto" w:themeFill="accent5" w:themeFillTint="66" w:themeFillShade="FF"/>
            <w:vAlign w:val="center"/>
          </w:tcPr>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後期高齢者数</w:t>
            </w:r>
          </w:p>
          <w:p>
            <w:pPr>
              <w:pStyle w:val="0"/>
              <w:ind w:left="-110" w:leftChars="-50" w:right="-110" w:rightChars="-50"/>
              <w:jc w:val="center"/>
              <w:rPr>
                <w:rFonts w:hint="default" w:ascii="BIZ UDPゴシック" w:hAnsi="BIZ UDPゴシック" w:eastAsia="BIZ UDPゴシック"/>
                <w:color w:val="auto"/>
                <w:sz w:val="20"/>
                <w:highlight w:val="none"/>
              </w:rPr>
            </w:pPr>
            <w:r>
              <w:rPr>
                <w:rFonts w:hint="eastAsia" w:ascii="BIZ UDPゴシック" w:hAnsi="BIZ UDPゴシック" w:eastAsia="BIZ UDPゴシック"/>
                <w:color w:val="auto"/>
                <w:sz w:val="20"/>
                <w:highlight w:val="none"/>
              </w:rPr>
              <w:t>後期高齢者数割合</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6"/>
                <w:highlight w:val="none"/>
              </w:rPr>
              <w:t>（Ｒ</w:t>
            </w:r>
            <w:r>
              <w:rPr>
                <w:rFonts w:hint="eastAsia" w:ascii="BIZ UDPゴシック" w:hAnsi="BIZ UDPゴシック" w:eastAsia="BIZ UDPゴシック"/>
                <w:color w:val="auto"/>
                <w:sz w:val="16"/>
                <w:highlight w:val="none"/>
              </w:rPr>
              <w:t>5.9</w:t>
            </w:r>
            <w:r>
              <w:rPr>
                <w:rFonts w:hint="eastAsia" w:ascii="BIZ UDPゴシック" w:hAnsi="BIZ UDPゴシック" w:eastAsia="BIZ UDPゴシック"/>
                <w:color w:val="auto"/>
                <w:sz w:val="16"/>
                <w:highlight w:val="none"/>
              </w:rPr>
              <w:t>月末現在）</w:t>
            </w:r>
          </w:p>
        </w:tc>
        <w:tc>
          <w:tcPr>
            <w:tcW w:w="1829" w:type="dxa"/>
            <w:shd w:val="clear" w:color="auto" w:themeFill="accent5" w:themeFillTint="66" w:themeFillShade="FF"/>
            <w:vAlign w:val="center"/>
          </w:tcPr>
          <w:p>
            <w:pPr>
              <w:pStyle w:val="0"/>
              <w:spacing w:line="220" w:lineRule="exact"/>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要支援・要介護</w:t>
            </w:r>
          </w:p>
          <w:p>
            <w:pPr>
              <w:pStyle w:val="0"/>
              <w:spacing w:line="220" w:lineRule="exact"/>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認定者数</w:t>
            </w:r>
          </w:p>
          <w:p>
            <w:pPr>
              <w:pStyle w:val="0"/>
              <w:spacing w:line="220" w:lineRule="exact"/>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認定率</w:t>
            </w:r>
          </w:p>
          <w:p>
            <w:pPr>
              <w:pStyle w:val="0"/>
              <w:jc w:val="center"/>
              <w:rPr>
                <w:rFonts w:hint="default" w:ascii="BIZ UDPゴシック" w:hAnsi="BIZ UDPゴシック" w:eastAsia="BIZ UDPゴシック"/>
                <w:color w:val="auto"/>
                <w:sz w:val="16"/>
                <w:highlight w:val="none"/>
              </w:rPr>
            </w:pPr>
            <w:r>
              <w:rPr>
                <w:rFonts w:hint="eastAsia" w:ascii="BIZ UDPゴシック" w:hAnsi="BIZ UDPゴシック" w:eastAsia="BIZ UDPゴシック"/>
                <w:color w:val="auto"/>
                <w:sz w:val="16"/>
                <w:highlight w:val="none"/>
              </w:rPr>
              <w:t>（第</w:t>
            </w:r>
            <w:r>
              <w:rPr>
                <w:rFonts w:hint="eastAsia" w:ascii="BIZ UDPゴシック" w:hAnsi="BIZ UDPゴシック" w:eastAsia="BIZ UDPゴシック"/>
                <w:color w:val="auto"/>
                <w:sz w:val="16"/>
                <w:highlight w:val="none"/>
              </w:rPr>
              <w:t>1</w:t>
            </w:r>
            <w:r>
              <w:rPr>
                <w:rFonts w:hint="eastAsia" w:ascii="BIZ UDPゴシック" w:hAnsi="BIZ UDPゴシック" w:eastAsia="BIZ UDPゴシック"/>
                <w:color w:val="auto"/>
                <w:sz w:val="16"/>
                <w:highlight w:val="none"/>
              </w:rPr>
              <w:t>号被保険者）</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6"/>
                <w:highlight w:val="none"/>
              </w:rPr>
              <w:t>（Ｒ</w:t>
            </w:r>
            <w:r>
              <w:rPr>
                <w:rFonts w:hint="eastAsia" w:ascii="BIZ UDPゴシック" w:hAnsi="BIZ UDPゴシック" w:eastAsia="BIZ UDPゴシック"/>
                <w:color w:val="auto"/>
                <w:sz w:val="16"/>
                <w:highlight w:val="none"/>
              </w:rPr>
              <w:t>5.9</w:t>
            </w:r>
            <w:r>
              <w:rPr>
                <w:rFonts w:hint="eastAsia" w:ascii="BIZ UDPゴシック" w:hAnsi="BIZ UDPゴシック" w:eastAsia="BIZ UDPゴシック"/>
                <w:color w:val="auto"/>
                <w:sz w:val="16"/>
                <w:highlight w:val="none"/>
              </w:rPr>
              <w:t>月末現在）</w:t>
            </w:r>
          </w:p>
        </w:tc>
        <w:tc>
          <w:tcPr>
            <w:tcW w:w="1829" w:type="dxa"/>
            <w:shd w:val="clear" w:color="auto" w:themeFill="accent5" w:themeFillTint="66" w:themeFillShade="FF"/>
            <w:vAlign w:val="center"/>
          </w:tcPr>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認知症高齢者数</w:t>
            </w:r>
          </w:p>
          <w:p>
            <w:pPr>
              <w:pStyle w:val="0"/>
              <w:ind w:left="-110" w:leftChars="-50" w:right="-110" w:rightChars="-50"/>
              <w:jc w:val="center"/>
              <w:rPr>
                <w:rFonts w:hint="default" w:ascii="BIZ UDPゴシック" w:hAnsi="BIZ UDPゴシック" w:eastAsia="BIZ UDPゴシック"/>
                <w:color w:val="auto"/>
                <w:sz w:val="18"/>
                <w:highlight w:val="none"/>
              </w:rPr>
            </w:pPr>
            <w:r>
              <w:rPr>
                <w:rFonts w:hint="eastAsia" w:ascii="BIZ UDPゴシック" w:hAnsi="BIZ UDPゴシック" w:eastAsia="BIZ UDPゴシック"/>
                <w:color w:val="auto"/>
                <w:sz w:val="18"/>
                <w:highlight w:val="none"/>
              </w:rPr>
              <w:t>高齢者数に占める割合</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6"/>
                <w:highlight w:val="none"/>
              </w:rPr>
              <w:t>（Ｒ</w:t>
            </w:r>
            <w:r>
              <w:rPr>
                <w:rFonts w:hint="eastAsia" w:ascii="BIZ UDPゴシック" w:hAnsi="BIZ UDPゴシック" w:eastAsia="BIZ UDPゴシック"/>
                <w:color w:val="auto"/>
                <w:sz w:val="16"/>
                <w:highlight w:val="none"/>
              </w:rPr>
              <w:t>5.9</w:t>
            </w:r>
            <w:r>
              <w:rPr>
                <w:rFonts w:hint="eastAsia" w:ascii="BIZ UDPゴシック" w:hAnsi="BIZ UDPゴシック" w:eastAsia="BIZ UDPゴシック"/>
                <w:color w:val="auto"/>
                <w:sz w:val="16"/>
                <w:highlight w:val="none"/>
              </w:rPr>
              <w:t>月末現在）</w:t>
            </w:r>
          </w:p>
        </w:tc>
      </w:tr>
      <w:tr>
        <w:trPr>
          <w:trHeight w:val="680" w:hRule="atLeast"/>
        </w:trPr>
        <w:tc>
          <w:tcPr>
            <w:tcW w:w="1829" w:type="dxa"/>
            <w:vAlign w:val="center"/>
          </w:tcPr>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2</w:t>
            </w:r>
            <w:r>
              <w:rPr>
                <w:rFonts w:hint="eastAsia" w:ascii="BIZ UDPゴシック" w:hAnsi="BIZ UDPゴシック" w:eastAsia="BIZ UDPゴシック"/>
                <w:color w:val="auto"/>
                <w:sz w:val="21"/>
                <w:highlight w:val="none"/>
              </w:rPr>
              <w:t>4</w:t>
            </w:r>
            <w:r>
              <w:rPr>
                <w:rFonts w:hint="default" w:ascii="BIZ UDPゴシック" w:hAnsi="BIZ UDPゴシック" w:eastAsia="BIZ UDPゴシック"/>
                <w:color w:val="auto"/>
                <w:sz w:val="21"/>
                <w:highlight w:val="none"/>
              </w:rPr>
              <w:t>,</w:t>
            </w:r>
            <w:r>
              <w:rPr>
                <w:rFonts w:hint="eastAsia" w:ascii="BIZ UDPゴシック" w:hAnsi="BIZ UDPゴシック" w:eastAsia="BIZ UDPゴシック"/>
                <w:color w:val="auto"/>
                <w:sz w:val="21"/>
                <w:highlight w:val="none"/>
              </w:rPr>
              <w:t>035</w:t>
            </w:r>
            <w:r>
              <w:rPr>
                <w:rFonts w:hint="eastAsia" w:ascii="BIZ UDPゴシック" w:hAnsi="BIZ UDPゴシック" w:eastAsia="BIZ UDPゴシック"/>
                <w:color w:val="auto"/>
                <w:sz w:val="21"/>
                <w:highlight w:val="none"/>
              </w:rPr>
              <w:t>人</w:t>
            </w:r>
          </w:p>
        </w:tc>
        <w:tc>
          <w:tcPr>
            <w:tcW w:w="1829" w:type="dxa"/>
            <w:vAlign w:val="center"/>
          </w:tcPr>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7,</w:t>
            </w:r>
            <w:r>
              <w:rPr>
                <w:rFonts w:hint="eastAsia" w:ascii="BIZ UDPゴシック" w:hAnsi="BIZ UDPゴシック" w:eastAsia="BIZ UDPゴシック"/>
                <w:color w:val="auto"/>
                <w:sz w:val="21"/>
                <w:highlight w:val="none"/>
              </w:rPr>
              <w:t>717</w:t>
            </w:r>
            <w:r>
              <w:rPr>
                <w:rFonts w:hint="eastAsia" w:ascii="BIZ UDPゴシック" w:hAnsi="BIZ UDPゴシック" w:eastAsia="BIZ UDPゴシック"/>
                <w:color w:val="auto"/>
                <w:sz w:val="21"/>
                <w:highlight w:val="none"/>
              </w:rPr>
              <w:t>人</w:t>
            </w:r>
          </w:p>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3</w:t>
            </w:r>
            <w:r>
              <w:rPr>
                <w:rFonts w:hint="eastAsia" w:ascii="BIZ UDPゴシック" w:hAnsi="BIZ UDPゴシック" w:eastAsia="BIZ UDPゴシック"/>
                <w:color w:val="auto"/>
                <w:sz w:val="21"/>
                <w:highlight w:val="none"/>
              </w:rPr>
              <w:t>2.1</w:t>
            </w:r>
            <w:r>
              <w:rPr>
                <w:rFonts w:hint="eastAsia" w:ascii="BIZ UDPゴシック" w:hAnsi="BIZ UDPゴシック" w:eastAsia="BIZ UDPゴシック"/>
                <w:color w:val="auto"/>
                <w:sz w:val="21"/>
                <w:highlight w:val="none"/>
              </w:rPr>
              <w:t>％</w:t>
            </w:r>
          </w:p>
        </w:tc>
        <w:tc>
          <w:tcPr>
            <w:tcW w:w="1829" w:type="dxa"/>
            <w:vAlign w:val="center"/>
          </w:tcPr>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3,</w:t>
            </w:r>
            <w:r>
              <w:rPr>
                <w:rFonts w:hint="eastAsia" w:ascii="BIZ UDPゴシック" w:hAnsi="BIZ UDPゴシック" w:eastAsia="BIZ UDPゴシック"/>
                <w:color w:val="auto"/>
                <w:sz w:val="21"/>
                <w:highlight w:val="none"/>
              </w:rPr>
              <w:t>363</w:t>
            </w:r>
            <w:r>
              <w:rPr>
                <w:rFonts w:hint="eastAsia" w:ascii="BIZ UDPゴシック" w:hAnsi="BIZ UDPゴシック" w:eastAsia="BIZ UDPゴシック"/>
                <w:color w:val="auto"/>
                <w:sz w:val="21"/>
                <w:highlight w:val="none"/>
              </w:rPr>
              <w:t>人</w:t>
            </w:r>
          </w:p>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1</w:t>
            </w:r>
            <w:r>
              <w:rPr>
                <w:rFonts w:hint="eastAsia" w:ascii="BIZ UDPゴシック" w:hAnsi="BIZ UDPゴシック" w:eastAsia="BIZ UDPゴシック"/>
                <w:color w:val="auto"/>
                <w:sz w:val="21"/>
                <w:highlight w:val="none"/>
              </w:rPr>
              <w:t>4.0</w:t>
            </w:r>
            <w:r>
              <w:rPr>
                <w:rFonts w:hint="eastAsia" w:ascii="BIZ UDPゴシック" w:hAnsi="BIZ UDPゴシック" w:eastAsia="BIZ UDPゴシック"/>
                <w:color w:val="auto"/>
                <w:sz w:val="21"/>
                <w:highlight w:val="none"/>
              </w:rPr>
              <w:t>％</w:t>
            </w:r>
          </w:p>
        </w:tc>
        <w:tc>
          <w:tcPr>
            <w:tcW w:w="1829" w:type="dxa"/>
            <w:vAlign w:val="center"/>
          </w:tcPr>
          <w:p>
            <w:pPr>
              <w:pStyle w:val="0"/>
              <w:jc w:val="righ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1,143</w:t>
            </w:r>
            <w:r>
              <w:rPr>
                <w:rFonts w:hint="eastAsia" w:ascii="BIZ UDPゴシック" w:hAnsi="BIZ UDPゴシック" w:eastAsia="BIZ UDPゴシック"/>
                <w:color w:val="auto"/>
                <w:sz w:val="21"/>
                <w:highlight w:val="none"/>
              </w:rPr>
              <w:t>人</w:t>
            </w:r>
          </w:p>
          <w:p>
            <w:pPr>
              <w:pStyle w:val="0"/>
              <w:jc w:val="righ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14.8</w:t>
            </w:r>
            <w:r>
              <w:rPr>
                <w:rFonts w:hint="eastAsia" w:ascii="BIZ UDPゴシック" w:hAnsi="BIZ UDPゴシック" w:eastAsia="BIZ UDPゴシック"/>
                <w:color w:val="auto"/>
                <w:sz w:val="21"/>
                <w:highlight w:val="none"/>
              </w:rPr>
              <w:t>％</w:t>
            </w:r>
          </w:p>
        </w:tc>
        <w:tc>
          <w:tcPr>
            <w:tcW w:w="1829" w:type="dxa"/>
            <w:vAlign w:val="center"/>
          </w:tcPr>
          <w:p>
            <w:pPr>
              <w:pStyle w:val="0"/>
              <w:jc w:val="righ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665</w:t>
            </w:r>
            <w:r>
              <w:rPr>
                <w:rFonts w:hint="eastAsia" w:ascii="BIZ UDPゴシック" w:hAnsi="BIZ UDPゴシック" w:eastAsia="BIZ UDPゴシック"/>
                <w:color w:val="auto"/>
                <w:sz w:val="21"/>
                <w:highlight w:val="none"/>
              </w:rPr>
              <w:t>人</w:t>
            </w:r>
          </w:p>
          <w:p>
            <w:pPr>
              <w:pStyle w:val="0"/>
              <w:jc w:val="righ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8.6</w:t>
            </w:r>
            <w:r>
              <w:rPr>
                <w:rFonts w:hint="eastAsia" w:ascii="BIZ UDPゴシック" w:hAnsi="BIZ UDPゴシック" w:eastAsia="BIZ UDPゴシック"/>
                <w:color w:val="auto"/>
                <w:sz w:val="21"/>
                <w:highlight w:val="none"/>
              </w:rPr>
              <w:t>％</w:t>
            </w:r>
          </w:p>
        </w:tc>
      </w:tr>
    </w:tbl>
    <w:tbl>
      <w:tblPr>
        <w:tblStyle w:val="90"/>
        <w:tblpPr w:leftFromText="142" w:rightFromText="142" w:topFromText="0" w:bottomFromText="0" w:vertAnchor="text" w:horzAnchor="text" w:tblpX="3217" w:tblpY="164"/>
        <w:tblW w:w="0" w:type="auto"/>
        <w:tblLayout w:type="fixed"/>
        <w:tblLook w:firstRow="1" w:lastRow="0" w:firstColumn="1" w:lastColumn="0" w:noHBand="0" w:noVBand="1" w:val="04A0"/>
      </w:tblPr>
      <w:tblGrid>
        <w:gridCol w:w="1843"/>
        <w:gridCol w:w="4071"/>
      </w:tblGrid>
      <w:tr>
        <w:trPr/>
        <w:tc>
          <w:tcPr>
            <w:tcW w:w="1843" w:type="dxa"/>
            <w:vAlign w:val="top"/>
          </w:tcPr>
          <w:p>
            <w:pPr>
              <w:pStyle w:val="0"/>
              <w:rPr>
                <w:rFonts w:hint="default"/>
                <w:color w:val="auto"/>
                <w:sz w:val="21"/>
                <w:highlight w:val="none"/>
              </w:rPr>
            </w:pPr>
            <w:r>
              <w:rPr>
                <w:rFonts w:hint="eastAsia"/>
                <w:color w:val="auto"/>
                <w:sz w:val="21"/>
                <w:highlight w:val="none"/>
              </w:rPr>
              <w:t>小学校</w:t>
            </w:r>
          </w:p>
        </w:tc>
        <w:tc>
          <w:tcPr>
            <w:tcW w:w="4071" w:type="dxa"/>
            <w:vAlign w:val="top"/>
          </w:tcPr>
          <w:p>
            <w:pPr>
              <w:pStyle w:val="0"/>
              <w:rPr>
                <w:rFonts w:hint="default"/>
                <w:color w:val="auto"/>
                <w:sz w:val="21"/>
                <w:highlight w:val="none"/>
              </w:rPr>
            </w:pPr>
            <w:r>
              <w:rPr>
                <w:rFonts w:hint="eastAsia"/>
                <w:color w:val="auto"/>
                <w:sz w:val="21"/>
                <w:highlight w:val="none"/>
              </w:rPr>
              <w:t>宮内、金剛寺、宮園、四季が丘</w:t>
            </w:r>
          </w:p>
        </w:tc>
      </w:tr>
      <w:tr>
        <w:trPr/>
        <w:tc>
          <w:tcPr>
            <w:tcW w:w="1843" w:type="dxa"/>
            <w:vAlign w:val="top"/>
          </w:tcPr>
          <w:p>
            <w:pPr>
              <w:pStyle w:val="0"/>
              <w:rPr>
                <w:rFonts w:hint="default"/>
                <w:color w:val="auto"/>
                <w:sz w:val="21"/>
                <w:highlight w:val="none"/>
              </w:rPr>
            </w:pPr>
            <w:r>
              <w:rPr>
                <w:rFonts w:hint="eastAsia"/>
                <w:color w:val="auto"/>
                <w:sz w:val="21"/>
                <w:highlight w:val="none"/>
              </w:rPr>
              <w:t>中学校</w:t>
            </w:r>
          </w:p>
        </w:tc>
        <w:tc>
          <w:tcPr>
            <w:tcW w:w="4071" w:type="dxa"/>
            <w:vAlign w:val="top"/>
          </w:tcPr>
          <w:p>
            <w:pPr>
              <w:pStyle w:val="0"/>
              <w:rPr>
                <w:rFonts w:hint="default"/>
                <w:color w:val="auto"/>
                <w:sz w:val="21"/>
                <w:highlight w:val="none"/>
              </w:rPr>
            </w:pPr>
            <w:r>
              <w:rPr>
                <w:rFonts w:hint="eastAsia"/>
                <w:color w:val="auto"/>
                <w:sz w:val="21"/>
                <w:highlight w:val="none"/>
              </w:rPr>
              <w:t>七尾、野坂、四季が丘</w:t>
            </w:r>
          </w:p>
        </w:tc>
      </w:tr>
      <w:tr>
        <w:trPr/>
        <w:tc>
          <w:tcPr>
            <w:tcW w:w="1843" w:type="dxa"/>
            <w:vAlign w:val="top"/>
          </w:tcPr>
          <w:p>
            <w:pPr>
              <w:pStyle w:val="0"/>
              <w:rPr>
                <w:rFonts w:hint="default"/>
                <w:color w:val="auto"/>
                <w:sz w:val="21"/>
                <w:highlight w:val="none"/>
              </w:rPr>
            </w:pPr>
            <w:r>
              <w:rPr>
                <w:rFonts w:hint="eastAsia"/>
                <w:color w:val="auto"/>
                <w:sz w:val="21"/>
                <w:highlight w:val="none"/>
              </w:rPr>
              <w:t>交通機関</w:t>
            </w:r>
          </w:p>
        </w:tc>
        <w:tc>
          <w:tcPr>
            <w:tcW w:w="4071" w:type="dxa"/>
            <w:vAlign w:val="top"/>
          </w:tcPr>
          <w:p>
            <w:pPr>
              <w:pStyle w:val="0"/>
              <w:rPr>
                <w:rFonts w:hint="default"/>
                <w:color w:val="auto"/>
                <w:sz w:val="21"/>
                <w:highlight w:val="none"/>
              </w:rPr>
            </w:pPr>
            <w:r>
              <w:rPr>
                <w:rFonts w:hint="eastAsia"/>
                <w:color w:val="auto"/>
                <w:sz w:val="21"/>
                <w:highlight w:val="none"/>
              </w:rPr>
              <w:t>鉄道：ＪＲ山陽線、広島電鉄宮島線</w:t>
            </w:r>
          </w:p>
          <w:p>
            <w:pPr>
              <w:pStyle w:val="0"/>
              <w:rPr>
                <w:rFonts w:hint="default"/>
                <w:color w:val="auto"/>
                <w:sz w:val="21"/>
                <w:highlight w:val="none"/>
              </w:rPr>
            </w:pPr>
            <w:r>
              <w:rPr>
                <w:rFonts w:hint="eastAsia"/>
                <w:color w:val="auto"/>
                <w:sz w:val="21"/>
                <w:highlight w:val="none"/>
              </w:rPr>
              <w:t>バス：広島電鉄（四季が丘団地線、津田線）、廿日市さくらバス（阿品台ルート、宮内ルート）</w:t>
            </w:r>
          </w:p>
        </w:tc>
      </w:tr>
      <w:tr>
        <w:trPr/>
        <w:tc>
          <w:tcPr>
            <w:tcW w:w="1843" w:type="dxa"/>
            <w:vAlign w:val="top"/>
          </w:tcPr>
          <w:p>
            <w:pPr>
              <w:pStyle w:val="0"/>
              <w:rPr>
                <w:rFonts w:hint="default"/>
                <w:color w:val="auto"/>
                <w:sz w:val="21"/>
                <w:highlight w:val="none"/>
              </w:rPr>
            </w:pPr>
            <w:r>
              <w:rPr>
                <w:rFonts w:hint="eastAsia"/>
                <w:color w:val="auto"/>
                <w:sz w:val="21"/>
                <w:highlight w:val="none"/>
              </w:rPr>
              <w:t>市営住宅</w:t>
            </w:r>
          </w:p>
        </w:tc>
        <w:tc>
          <w:tcPr>
            <w:tcW w:w="4071" w:type="dxa"/>
            <w:vAlign w:val="top"/>
          </w:tcPr>
          <w:p>
            <w:pPr>
              <w:pStyle w:val="0"/>
              <w:rPr>
                <w:rFonts w:hint="default"/>
                <w:color w:val="auto"/>
                <w:sz w:val="21"/>
                <w:highlight w:val="none"/>
              </w:rPr>
            </w:pPr>
            <w:r>
              <w:rPr>
                <w:rFonts w:hint="eastAsia"/>
                <w:color w:val="auto"/>
                <w:sz w:val="21"/>
                <w:highlight w:val="none"/>
              </w:rPr>
              <w:t>金剛寺、野坂</w:t>
            </w:r>
          </w:p>
        </w:tc>
      </w:tr>
      <w:tr>
        <w:trPr/>
        <w:tc>
          <w:tcPr>
            <w:tcW w:w="1843" w:type="dxa"/>
            <w:vAlign w:val="top"/>
          </w:tcPr>
          <w:p>
            <w:pPr>
              <w:pStyle w:val="0"/>
              <w:rPr>
                <w:rFonts w:hint="default"/>
                <w:color w:val="auto"/>
                <w:sz w:val="21"/>
                <w:highlight w:val="none"/>
              </w:rPr>
            </w:pPr>
            <w:r>
              <w:rPr>
                <w:rFonts w:hint="eastAsia"/>
                <w:color w:val="auto"/>
                <w:sz w:val="21"/>
                <w:highlight w:val="none"/>
              </w:rPr>
              <w:t>市民センター等</w:t>
            </w:r>
          </w:p>
        </w:tc>
        <w:tc>
          <w:tcPr>
            <w:tcW w:w="4071" w:type="dxa"/>
            <w:vAlign w:val="top"/>
          </w:tcPr>
          <w:p>
            <w:pPr>
              <w:pStyle w:val="0"/>
              <w:rPr>
                <w:rFonts w:hint="default"/>
                <w:color w:val="auto"/>
                <w:sz w:val="21"/>
                <w:highlight w:val="none"/>
              </w:rPr>
            </w:pPr>
            <w:r>
              <w:rPr>
                <w:rFonts w:hint="eastAsia"/>
                <w:color w:val="auto"/>
                <w:sz w:val="21"/>
                <w:highlight w:val="none"/>
              </w:rPr>
              <w:t>串戸、宮内、宮園、四季が丘</w:t>
            </w:r>
          </w:p>
        </w:tc>
      </w:tr>
      <w:tr>
        <w:trPr/>
        <w:tc>
          <w:tcPr>
            <w:tcW w:w="1843" w:type="dxa"/>
            <w:vAlign w:val="top"/>
          </w:tcPr>
          <w:p>
            <w:pPr>
              <w:pStyle w:val="0"/>
              <w:rPr>
                <w:rFonts w:hint="default"/>
                <w:color w:val="auto"/>
                <w:sz w:val="21"/>
                <w:highlight w:val="none"/>
              </w:rPr>
            </w:pPr>
            <w:r>
              <w:rPr>
                <w:rFonts w:hint="eastAsia"/>
                <w:color w:val="auto"/>
                <w:sz w:val="21"/>
                <w:highlight w:val="none"/>
              </w:rPr>
              <w:t>集会所</w:t>
            </w:r>
          </w:p>
        </w:tc>
        <w:tc>
          <w:tcPr>
            <w:tcW w:w="4071" w:type="dxa"/>
            <w:vAlign w:val="top"/>
          </w:tcPr>
          <w:p>
            <w:pPr>
              <w:pStyle w:val="0"/>
              <w:rPr>
                <w:rFonts w:hint="default"/>
                <w:color w:val="auto"/>
                <w:sz w:val="21"/>
                <w:highlight w:val="none"/>
              </w:rPr>
            </w:pPr>
            <w:r>
              <w:rPr>
                <w:rFonts w:hint="eastAsia"/>
                <w:color w:val="auto"/>
                <w:sz w:val="21"/>
                <w:highlight w:val="none"/>
              </w:rPr>
              <w:t>串戸五丁目、六本松一丁目、六本松二丁目、北山、北山２区、宮迫、砂原、的場、佐原田、畑口、明石、宮園二丁目、宮園八丁目、宮園上二丁目、四季が丘二丁目、四季が丘八丁目、四季が丘九丁目、四季が丘十一丁目、串戸四丁目、河本１区、峰高、串戸南会館</w:t>
            </w:r>
          </w:p>
        </w:tc>
      </w:tr>
      <w:tr>
        <w:trPr>
          <w:trHeight w:val="300" w:hRule="atLeast"/>
        </w:trPr>
        <w:tc>
          <w:tcPr>
            <w:tcW w:w="1843" w:type="dxa"/>
            <w:vAlign w:val="top"/>
          </w:tcPr>
          <w:p>
            <w:pPr>
              <w:pStyle w:val="0"/>
              <w:rPr>
                <w:rFonts w:hint="default"/>
                <w:color w:val="auto"/>
                <w:sz w:val="21"/>
                <w:highlight w:val="none"/>
              </w:rPr>
            </w:pPr>
            <w:r>
              <w:rPr>
                <w:rFonts w:hint="eastAsia"/>
                <w:color w:val="auto"/>
                <w:sz w:val="21"/>
                <w:highlight w:val="none"/>
              </w:rPr>
              <w:t>その他</w:t>
            </w:r>
          </w:p>
        </w:tc>
        <w:tc>
          <w:tcPr>
            <w:tcW w:w="4071" w:type="dxa"/>
            <w:vAlign w:val="top"/>
          </w:tcPr>
          <w:p>
            <w:pPr>
              <w:pStyle w:val="0"/>
              <w:rPr>
                <w:rFonts w:hint="default"/>
                <w:color w:val="auto"/>
                <w:sz w:val="21"/>
                <w:highlight w:val="none"/>
              </w:rPr>
            </w:pPr>
          </w:p>
        </w:tc>
      </w:tr>
    </w:tbl>
    <w:p>
      <w:pPr>
        <w:pStyle w:val="0"/>
        <w:rPr>
          <w:rFonts w:hint="default" w:ascii="BIZ UDPゴシック" w:hAnsi="BIZ UDPゴシック" w:eastAsia="BIZ UDPゴシック"/>
          <w:color w:val="auto"/>
          <w:highlight w:val="none"/>
        </w:rPr>
      </w:pPr>
      <w:r>
        <w:rPr>
          <w:rFonts w:hint="eastAsia"/>
          <w:color w:val="auto"/>
          <w:highlight w:val="none"/>
        </w:rPr>
        <w:drawing>
          <wp:anchor distT="0" distB="0" distL="203200" distR="203200" simplePos="0" relativeHeight="103" behindDoc="0" locked="0" layoutInCell="1" hidden="0" allowOverlap="1">
            <wp:simplePos x="0" y="0"/>
            <wp:positionH relativeFrom="column">
              <wp:posOffset>-48260</wp:posOffset>
            </wp:positionH>
            <wp:positionV relativeFrom="paragraph">
              <wp:posOffset>298450</wp:posOffset>
            </wp:positionV>
            <wp:extent cx="1924050" cy="2274570"/>
            <wp:effectExtent l="0" t="0" r="0" b="0"/>
            <wp:wrapNone/>
            <wp:docPr id="1084" name="図 169900574" descr="地図と文字の加工写真&#10;&#10;中程度の精度で自動的に生成された説明"/>
            <a:graphic xmlns:a="http://schemas.openxmlformats.org/drawingml/2006/main">
              <a:graphicData uri="http://schemas.openxmlformats.org/drawingml/2006/picture">
                <pic:pic xmlns:pic="http://schemas.openxmlformats.org/drawingml/2006/picture">
                  <pic:nvPicPr>
                    <pic:cNvPr id="1084" name="図 169900574" descr="地図と文字の加工写真&#10;&#10;中程度の精度で自動的に生成された説明"/>
                    <pic:cNvPicPr>
                      <a:picLocks noChangeAspect="1"/>
                    </pic:cNvPicPr>
                  </pic:nvPicPr>
                  <pic:blipFill>
                    <a:blip r:embed="rId28"/>
                    <a:stretch>
                      <a:fillRect/>
                    </a:stretch>
                  </pic:blipFill>
                  <pic:spPr>
                    <a:xfrm>
                      <a:off x="0" y="0"/>
                      <a:ext cx="1924050" cy="2274570"/>
                    </a:xfrm>
                    <a:prstGeom prst="rect">
                      <a:avLst/>
                    </a:prstGeom>
                  </pic:spPr>
                </pic:pic>
              </a:graphicData>
            </a:graphic>
          </wp:anchor>
        </w:drawing>
      </w:r>
      <w:r>
        <w:rPr>
          <w:rFonts w:hint="eastAsia" w:ascii="BIZ UDPゴシック" w:hAnsi="BIZ UDPゴシック" w:eastAsia="BIZ UDPゴシック"/>
          <w:color w:val="auto"/>
          <w:highlight w:val="none"/>
        </w:rPr>
        <w:t>〔地理的特徴〕</w:t>
      </w: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ind w:firstLine="3300" w:firstLineChars="150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〔地域資源〕</w:t>
      </w:r>
    </w:p>
    <w:tbl>
      <w:tblPr>
        <w:tblStyle w:val="81"/>
        <w:tblW w:w="9180" w:type="dxa"/>
        <w:tblInd w:w="0" w:type="dxa"/>
        <w:tblLayout w:type="fixed"/>
        <w:tblLook w:firstRow="1" w:lastRow="0" w:firstColumn="1" w:lastColumn="0" w:noHBand="0" w:noVBand="1" w:val="04A0"/>
      </w:tblPr>
      <w:tblGrid>
        <w:gridCol w:w="2410"/>
        <w:gridCol w:w="525"/>
        <w:gridCol w:w="2625"/>
        <w:gridCol w:w="560"/>
        <w:gridCol w:w="2493"/>
        <w:gridCol w:w="567"/>
      </w:tblGrid>
      <w:tr>
        <w:trPr/>
        <w:tc>
          <w:tcPr>
            <w:tcW w:w="9180" w:type="dxa"/>
            <w:gridSpan w:val="6"/>
            <w:shd w:val="clear" w:color="auto" w:fill="0070C0"/>
            <w:vAlign w:val="top"/>
          </w:tcPr>
          <w:p>
            <w:pPr>
              <w:pStyle w:val="0"/>
              <w:jc w:val="center"/>
              <w:rPr>
                <w:rFonts w:hint="default"/>
                <w:color w:val="auto"/>
                <w:sz w:val="20"/>
                <w:highlight w:val="none"/>
              </w:rPr>
            </w:pPr>
            <w:r>
              <w:rPr>
                <w:rFonts w:hint="eastAsia"/>
                <w:color w:val="auto"/>
                <w:sz w:val="20"/>
                <w:highlight w:val="none"/>
              </w:rPr>
              <w:t>生活関連（令和</w:t>
            </w:r>
            <w:r>
              <w:rPr>
                <w:rFonts w:hint="eastAsia"/>
                <w:color w:val="auto"/>
                <w:sz w:val="20"/>
                <w:highlight w:val="none"/>
              </w:rPr>
              <w:t>5</w:t>
            </w:r>
            <w:r>
              <w:rPr>
                <w:rFonts w:hint="eastAsia"/>
                <w:color w:val="auto"/>
                <w:sz w:val="20"/>
                <w:highlight w:val="none"/>
              </w:rPr>
              <w:t>年</w:t>
            </w:r>
            <w:r>
              <w:rPr>
                <w:rFonts w:hint="eastAsia"/>
                <w:color w:val="auto"/>
                <w:sz w:val="20"/>
                <w:highlight w:val="none"/>
              </w:rPr>
              <w:t>8</w:t>
            </w:r>
            <w:r>
              <w:rPr>
                <w:rFonts w:hint="eastAsia"/>
                <w:color w:val="auto"/>
                <w:sz w:val="20"/>
                <w:highlight w:val="none"/>
              </w:rPr>
              <w:t>月末現在）</w:t>
            </w:r>
          </w:p>
        </w:tc>
      </w:tr>
      <w:tr>
        <w:trPr/>
        <w:tc>
          <w:tcPr>
            <w:tcW w:w="2410" w:type="dxa"/>
            <w:vAlign w:val="top"/>
          </w:tcPr>
          <w:p>
            <w:pPr>
              <w:pStyle w:val="0"/>
              <w:rPr>
                <w:rFonts w:hint="default"/>
                <w:color w:val="auto"/>
                <w:sz w:val="20"/>
                <w:highlight w:val="none"/>
              </w:rPr>
            </w:pPr>
            <w:r>
              <w:rPr>
                <w:rFonts w:hint="eastAsia"/>
                <w:color w:val="auto"/>
                <w:sz w:val="20"/>
                <w:highlight w:val="none"/>
              </w:rPr>
              <w:t>地域包括支援センター</w:t>
            </w:r>
          </w:p>
        </w:tc>
        <w:tc>
          <w:tcPr>
            <w:tcW w:w="525" w:type="dxa"/>
            <w:vAlign w:val="top"/>
          </w:tcPr>
          <w:p>
            <w:pPr>
              <w:pStyle w:val="0"/>
              <w:jc w:val="right"/>
              <w:rPr>
                <w:rFonts w:hint="default"/>
                <w:color w:val="auto"/>
                <w:sz w:val="20"/>
                <w:highlight w:val="none"/>
              </w:rPr>
            </w:pPr>
            <w:r>
              <w:rPr>
                <w:rFonts w:hint="eastAsia"/>
                <w:color w:val="auto"/>
                <w:sz w:val="20"/>
                <w:highlight w:val="none"/>
              </w:rPr>
              <w:t>1</w:t>
            </w:r>
          </w:p>
        </w:tc>
        <w:tc>
          <w:tcPr>
            <w:tcW w:w="2625" w:type="dxa"/>
            <w:vAlign w:val="top"/>
          </w:tcPr>
          <w:p>
            <w:pPr>
              <w:pStyle w:val="0"/>
              <w:rPr>
                <w:rFonts w:hint="default"/>
                <w:color w:val="auto"/>
                <w:sz w:val="20"/>
                <w:highlight w:val="none"/>
              </w:rPr>
            </w:pPr>
            <w:r>
              <w:rPr>
                <w:rFonts w:hint="eastAsia"/>
                <w:color w:val="auto"/>
                <w:sz w:val="20"/>
                <w:highlight w:val="none"/>
              </w:rPr>
              <w:t>百歳体操</w:t>
            </w:r>
          </w:p>
        </w:tc>
        <w:tc>
          <w:tcPr>
            <w:tcW w:w="560" w:type="dxa"/>
            <w:vAlign w:val="top"/>
          </w:tcPr>
          <w:p>
            <w:pPr>
              <w:pStyle w:val="0"/>
              <w:jc w:val="right"/>
              <w:rPr>
                <w:rFonts w:hint="default"/>
                <w:color w:val="auto"/>
                <w:sz w:val="20"/>
                <w:highlight w:val="none"/>
              </w:rPr>
            </w:pPr>
            <w:r>
              <w:rPr>
                <w:rFonts w:hint="eastAsia"/>
                <w:color w:val="auto"/>
                <w:sz w:val="20"/>
                <w:highlight w:val="none"/>
              </w:rPr>
              <w:t>15</w:t>
            </w:r>
          </w:p>
        </w:tc>
        <w:tc>
          <w:tcPr>
            <w:tcW w:w="2493" w:type="dxa"/>
            <w:vAlign w:val="top"/>
          </w:tcPr>
          <w:p>
            <w:pPr>
              <w:pStyle w:val="0"/>
              <w:rPr>
                <w:rFonts w:hint="default"/>
                <w:color w:val="auto"/>
                <w:sz w:val="20"/>
                <w:highlight w:val="none"/>
              </w:rPr>
            </w:pPr>
            <w:r>
              <w:rPr>
                <w:rFonts w:hint="eastAsia"/>
                <w:color w:val="auto"/>
                <w:sz w:val="20"/>
                <w:highlight w:val="none"/>
              </w:rPr>
              <w:t>コンビニエンスストア</w:t>
            </w:r>
          </w:p>
        </w:tc>
        <w:tc>
          <w:tcPr>
            <w:tcW w:w="567" w:type="dxa"/>
            <w:vAlign w:val="top"/>
          </w:tcPr>
          <w:p>
            <w:pPr>
              <w:pStyle w:val="0"/>
              <w:jc w:val="right"/>
              <w:rPr>
                <w:rFonts w:hint="default"/>
                <w:color w:val="auto"/>
                <w:sz w:val="20"/>
                <w:highlight w:val="none"/>
              </w:rPr>
            </w:pPr>
            <w:r>
              <w:rPr>
                <w:rFonts w:hint="eastAsia"/>
                <w:color w:val="auto"/>
                <w:sz w:val="20"/>
                <w:highlight w:val="none"/>
              </w:rPr>
              <w:t>8</w:t>
            </w:r>
          </w:p>
        </w:tc>
      </w:tr>
      <w:tr>
        <w:trPr/>
        <w:tc>
          <w:tcPr>
            <w:tcW w:w="2410" w:type="dxa"/>
            <w:vAlign w:val="top"/>
          </w:tcPr>
          <w:p>
            <w:pPr>
              <w:pStyle w:val="0"/>
              <w:rPr>
                <w:rFonts w:hint="default"/>
                <w:color w:val="auto"/>
                <w:sz w:val="20"/>
                <w:highlight w:val="none"/>
              </w:rPr>
            </w:pPr>
            <w:r>
              <w:rPr>
                <w:rFonts w:hint="eastAsia"/>
                <w:color w:val="auto"/>
                <w:sz w:val="20"/>
                <w:highlight w:val="none"/>
              </w:rPr>
              <w:t>コミュニティ</w:t>
            </w:r>
          </w:p>
        </w:tc>
        <w:tc>
          <w:tcPr>
            <w:tcW w:w="525" w:type="dxa"/>
            <w:vAlign w:val="top"/>
          </w:tcPr>
          <w:p>
            <w:pPr>
              <w:pStyle w:val="0"/>
              <w:jc w:val="right"/>
              <w:rPr>
                <w:rFonts w:hint="default"/>
                <w:color w:val="auto"/>
                <w:sz w:val="20"/>
                <w:highlight w:val="none"/>
              </w:rPr>
            </w:pPr>
            <w:r>
              <w:rPr>
                <w:rFonts w:hint="eastAsia"/>
                <w:color w:val="auto"/>
                <w:sz w:val="20"/>
                <w:highlight w:val="none"/>
              </w:rPr>
              <w:t>4</w:t>
            </w:r>
          </w:p>
        </w:tc>
        <w:tc>
          <w:tcPr>
            <w:tcW w:w="2625" w:type="dxa"/>
            <w:vAlign w:val="top"/>
          </w:tcPr>
          <w:p>
            <w:pPr>
              <w:pStyle w:val="0"/>
              <w:rPr>
                <w:rFonts w:hint="default"/>
                <w:color w:val="auto"/>
                <w:sz w:val="20"/>
                <w:highlight w:val="none"/>
              </w:rPr>
            </w:pPr>
            <w:r>
              <w:rPr>
                <w:rFonts w:hint="eastAsia"/>
                <w:color w:val="auto"/>
                <w:sz w:val="20"/>
                <w:highlight w:val="none"/>
              </w:rPr>
              <w:t>病院・診療所・歯科・薬局</w:t>
            </w:r>
          </w:p>
        </w:tc>
        <w:tc>
          <w:tcPr>
            <w:tcW w:w="560" w:type="dxa"/>
            <w:vAlign w:val="top"/>
          </w:tcPr>
          <w:p>
            <w:pPr>
              <w:pStyle w:val="0"/>
              <w:jc w:val="right"/>
              <w:rPr>
                <w:rFonts w:hint="default"/>
                <w:color w:val="auto"/>
                <w:sz w:val="20"/>
                <w:highlight w:val="none"/>
              </w:rPr>
            </w:pPr>
            <w:r>
              <w:rPr>
                <w:rFonts w:hint="eastAsia"/>
                <w:color w:val="auto"/>
                <w:sz w:val="20"/>
                <w:highlight w:val="none"/>
              </w:rPr>
              <w:t>55</w:t>
            </w:r>
          </w:p>
        </w:tc>
        <w:tc>
          <w:tcPr>
            <w:tcW w:w="2493" w:type="dxa"/>
            <w:vAlign w:val="top"/>
          </w:tcPr>
          <w:p>
            <w:pPr>
              <w:pStyle w:val="0"/>
              <w:rPr>
                <w:rFonts w:hint="default"/>
                <w:color w:val="auto"/>
                <w:sz w:val="20"/>
                <w:highlight w:val="none"/>
              </w:rPr>
            </w:pPr>
            <w:r>
              <w:rPr>
                <w:rFonts w:hint="eastAsia"/>
                <w:color w:val="auto"/>
                <w:sz w:val="20"/>
                <w:highlight w:val="none"/>
              </w:rPr>
              <w:t>民生委員</w:t>
            </w:r>
          </w:p>
        </w:tc>
        <w:tc>
          <w:tcPr>
            <w:tcW w:w="567" w:type="dxa"/>
            <w:vAlign w:val="top"/>
          </w:tcPr>
          <w:p>
            <w:pPr>
              <w:pStyle w:val="0"/>
              <w:jc w:val="right"/>
              <w:rPr>
                <w:rFonts w:hint="default"/>
                <w:color w:val="auto"/>
                <w:sz w:val="20"/>
                <w:highlight w:val="none"/>
              </w:rPr>
            </w:pPr>
            <w:r>
              <w:rPr>
                <w:rFonts w:hint="eastAsia"/>
                <w:color w:val="auto"/>
                <w:sz w:val="20"/>
                <w:highlight w:val="none"/>
              </w:rPr>
              <w:t>31</w:t>
            </w:r>
          </w:p>
        </w:tc>
      </w:tr>
      <w:tr>
        <w:trPr/>
        <w:tc>
          <w:tcPr>
            <w:tcW w:w="2410" w:type="dxa"/>
            <w:vAlign w:val="top"/>
          </w:tcPr>
          <w:p>
            <w:pPr>
              <w:pStyle w:val="0"/>
              <w:rPr>
                <w:rFonts w:hint="default"/>
                <w:color w:val="auto"/>
                <w:sz w:val="20"/>
                <w:highlight w:val="none"/>
              </w:rPr>
            </w:pPr>
            <w:r>
              <w:rPr>
                <w:rFonts w:hint="eastAsia"/>
                <w:color w:val="auto"/>
                <w:sz w:val="20"/>
                <w:highlight w:val="none"/>
              </w:rPr>
              <w:t>地区社協</w:t>
            </w:r>
          </w:p>
        </w:tc>
        <w:tc>
          <w:tcPr>
            <w:tcW w:w="525" w:type="dxa"/>
            <w:vAlign w:val="top"/>
          </w:tcPr>
          <w:p>
            <w:pPr>
              <w:pStyle w:val="0"/>
              <w:jc w:val="right"/>
              <w:rPr>
                <w:rFonts w:hint="default"/>
                <w:color w:val="auto"/>
                <w:sz w:val="20"/>
                <w:highlight w:val="none"/>
              </w:rPr>
            </w:pPr>
            <w:r>
              <w:rPr>
                <w:rFonts w:hint="eastAsia"/>
                <w:color w:val="auto"/>
                <w:sz w:val="20"/>
                <w:highlight w:val="none"/>
              </w:rPr>
              <w:t>2</w:t>
            </w:r>
          </w:p>
        </w:tc>
        <w:tc>
          <w:tcPr>
            <w:tcW w:w="2625" w:type="dxa"/>
            <w:vAlign w:val="top"/>
          </w:tcPr>
          <w:p>
            <w:pPr>
              <w:pStyle w:val="0"/>
              <w:rPr>
                <w:rFonts w:hint="default"/>
                <w:color w:val="auto"/>
                <w:sz w:val="20"/>
                <w:highlight w:val="none"/>
              </w:rPr>
            </w:pPr>
            <w:r>
              <w:rPr>
                <w:rFonts w:hint="eastAsia"/>
                <w:color w:val="auto"/>
                <w:sz w:val="20"/>
                <w:highlight w:val="none"/>
              </w:rPr>
              <w:t>認知症カフェ</w:t>
            </w:r>
          </w:p>
        </w:tc>
        <w:tc>
          <w:tcPr>
            <w:tcW w:w="560" w:type="dxa"/>
            <w:vAlign w:val="top"/>
          </w:tcPr>
          <w:p>
            <w:pPr>
              <w:pStyle w:val="0"/>
              <w:jc w:val="right"/>
              <w:rPr>
                <w:rFonts w:hint="default"/>
                <w:color w:val="auto"/>
                <w:sz w:val="20"/>
                <w:highlight w:val="none"/>
              </w:rPr>
            </w:pPr>
            <w:r>
              <w:rPr>
                <w:rFonts w:hint="eastAsia"/>
                <w:color w:val="auto"/>
                <w:sz w:val="20"/>
                <w:highlight w:val="none"/>
              </w:rPr>
              <w:t>2</w:t>
            </w:r>
          </w:p>
        </w:tc>
        <w:tc>
          <w:tcPr>
            <w:tcW w:w="2493" w:type="dxa"/>
            <w:vAlign w:val="top"/>
          </w:tcPr>
          <w:p>
            <w:pPr>
              <w:pStyle w:val="0"/>
              <w:rPr>
                <w:rFonts w:hint="default"/>
                <w:color w:val="auto"/>
                <w:sz w:val="20"/>
                <w:highlight w:val="none"/>
              </w:rPr>
            </w:pPr>
            <w:r>
              <w:rPr>
                <w:rFonts w:hint="eastAsia"/>
                <w:color w:val="auto"/>
                <w:sz w:val="20"/>
                <w:highlight w:val="none"/>
              </w:rPr>
              <w:t>健康づくり応援団</w:t>
            </w:r>
          </w:p>
        </w:tc>
        <w:tc>
          <w:tcPr>
            <w:tcW w:w="567" w:type="dxa"/>
            <w:vAlign w:val="top"/>
          </w:tcPr>
          <w:p>
            <w:pPr>
              <w:pStyle w:val="0"/>
              <w:jc w:val="right"/>
              <w:rPr>
                <w:rFonts w:hint="default"/>
                <w:color w:val="auto"/>
                <w:sz w:val="20"/>
                <w:highlight w:val="none"/>
              </w:rPr>
            </w:pPr>
            <w:r>
              <w:rPr>
                <w:rFonts w:hint="eastAsia"/>
                <w:color w:val="auto"/>
                <w:sz w:val="20"/>
                <w:highlight w:val="none"/>
              </w:rPr>
              <w:t>35</w:t>
            </w:r>
          </w:p>
        </w:tc>
      </w:tr>
      <w:tr>
        <w:trPr/>
        <w:tc>
          <w:tcPr>
            <w:tcW w:w="2410" w:type="dxa"/>
            <w:vAlign w:val="top"/>
          </w:tcPr>
          <w:p>
            <w:pPr>
              <w:pStyle w:val="0"/>
              <w:rPr>
                <w:rFonts w:hint="default"/>
                <w:color w:val="auto"/>
                <w:sz w:val="20"/>
                <w:highlight w:val="none"/>
              </w:rPr>
            </w:pPr>
            <w:r>
              <w:rPr>
                <w:rFonts w:hint="eastAsia"/>
                <w:color w:val="auto"/>
                <w:sz w:val="20"/>
                <w:highlight w:val="none"/>
              </w:rPr>
              <w:t>協議体</w:t>
            </w:r>
          </w:p>
        </w:tc>
        <w:tc>
          <w:tcPr>
            <w:tcW w:w="525" w:type="dxa"/>
            <w:vAlign w:val="top"/>
          </w:tcPr>
          <w:p>
            <w:pPr>
              <w:pStyle w:val="0"/>
              <w:jc w:val="right"/>
              <w:rPr>
                <w:rFonts w:hint="default"/>
                <w:color w:val="auto"/>
                <w:sz w:val="20"/>
                <w:highlight w:val="none"/>
              </w:rPr>
            </w:pPr>
            <w:r>
              <w:rPr>
                <w:rFonts w:hint="eastAsia"/>
                <w:color w:val="auto"/>
                <w:sz w:val="20"/>
                <w:highlight w:val="none"/>
              </w:rPr>
              <w:t>1</w:t>
            </w:r>
          </w:p>
        </w:tc>
        <w:tc>
          <w:tcPr>
            <w:tcW w:w="2625" w:type="dxa"/>
            <w:vAlign w:val="top"/>
          </w:tcPr>
          <w:p>
            <w:pPr>
              <w:pStyle w:val="0"/>
              <w:rPr>
                <w:rFonts w:hint="default"/>
                <w:color w:val="auto"/>
                <w:sz w:val="20"/>
                <w:highlight w:val="none"/>
              </w:rPr>
            </w:pPr>
            <w:r>
              <w:rPr>
                <w:rFonts w:hint="eastAsia"/>
                <w:color w:val="auto"/>
                <w:sz w:val="20"/>
                <w:highlight w:val="none"/>
              </w:rPr>
              <w:t>生活支援</w:t>
            </w:r>
          </w:p>
        </w:tc>
        <w:tc>
          <w:tcPr>
            <w:tcW w:w="560" w:type="dxa"/>
            <w:vAlign w:val="top"/>
          </w:tcPr>
          <w:p>
            <w:pPr>
              <w:pStyle w:val="0"/>
              <w:jc w:val="right"/>
              <w:rPr>
                <w:rFonts w:hint="default"/>
                <w:color w:val="auto"/>
                <w:sz w:val="20"/>
                <w:highlight w:val="none"/>
              </w:rPr>
            </w:pPr>
            <w:r>
              <w:rPr>
                <w:rFonts w:hint="eastAsia"/>
                <w:color w:val="auto"/>
                <w:sz w:val="20"/>
                <w:highlight w:val="none"/>
              </w:rPr>
              <w:t>1</w:t>
            </w:r>
          </w:p>
        </w:tc>
        <w:tc>
          <w:tcPr>
            <w:tcW w:w="2493" w:type="dxa"/>
            <w:vAlign w:val="top"/>
          </w:tcPr>
          <w:p>
            <w:pPr>
              <w:pStyle w:val="0"/>
              <w:rPr>
                <w:rFonts w:hint="default"/>
                <w:color w:val="auto"/>
                <w:sz w:val="20"/>
                <w:highlight w:val="none"/>
              </w:rPr>
            </w:pPr>
            <w:r>
              <w:rPr>
                <w:rFonts w:hint="eastAsia"/>
                <w:color w:val="auto"/>
                <w:sz w:val="20"/>
                <w:highlight w:val="none"/>
              </w:rPr>
              <w:t>オレンジドクター</w:t>
            </w:r>
          </w:p>
        </w:tc>
        <w:tc>
          <w:tcPr>
            <w:tcW w:w="567" w:type="dxa"/>
            <w:vAlign w:val="top"/>
          </w:tcPr>
          <w:p>
            <w:pPr>
              <w:pStyle w:val="0"/>
              <w:jc w:val="right"/>
              <w:rPr>
                <w:rFonts w:hint="default"/>
                <w:color w:val="auto"/>
                <w:sz w:val="20"/>
                <w:highlight w:val="none"/>
              </w:rPr>
            </w:pPr>
            <w:r>
              <w:rPr>
                <w:rFonts w:hint="eastAsia"/>
                <w:color w:val="auto"/>
                <w:sz w:val="20"/>
                <w:highlight w:val="none"/>
              </w:rPr>
              <w:t>11</w:t>
            </w:r>
          </w:p>
        </w:tc>
      </w:tr>
      <w:tr>
        <w:trPr/>
        <w:tc>
          <w:tcPr>
            <w:tcW w:w="2410" w:type="dxa"/>
            <w:vAlign w:val="top"/>
          </w:tcPr>
          <w:p>
            <w:pPr>
              <w:pStyle w:val="0"/>
              <w:rPr>
                <w:rFonts w:hint="default"/>
                <w:color w:val="auto"/>
                <w:sz w:val="20"/>
                <w:highlight w:val="none"/>
              </w:rPr>
            </w:pPr>
            <w:r>
              <w:rPr>
                <w:rFonts w:hint="eastAsia"/>
                <w:color w:val="auto"/>
                <w:sz w:val="20"/>
                <w:highlight w:val="none"/>
              </w:rPr>
              <w:t>単位老人クラブ</w:t>
            </w:r>
          </w:p>
        </w:tc>
        <w:tc>
          <w:tcPr>
            <w:tcW w:w="525" w:type="dxa"/>
            <w:vAlign w:val="top"/>
          </w:tcPr>
          <w:p>
            <w:pPr>
              <w:pStyle w:val="0"/>
              <w:jc w:val="right"/>
              <w:rPr>
                <w:rFonts w:hint="default"/>
                <w:color w:val="auto"/>
                <w:sz w:val="20"/>
                <w:highlight w:val="none"/>
              </w:rPr>
            </w:pPr>
            <w:r>
              <w:rPr>
                <w:rFonts w:hint="eastAsia"/>
                <w:color w:val="auto"/>
                <w:sz w:val="20"/>
                <w:highlight w:val="none"/>
              </w:rPr>
              <w:t>8</w:t>
            </w:r>
          </w:p>
        </w:tc>
        <w:tc>
          <w:tcPr>
            <w:tcW w:w="2625" w:type="dxa"/>
            <w:vAlign w:val="top"/>
          </w:tcPr>
          <w:p>
            <w:pPr>
              <w:pStyle w:val="0"/>
              <w:rPr>
                <w:rFonts w:hint="default"/>
                <w:color w:val="auto"/>
                <w:sz w:val="20"/>
                <w:highlight w:val="none"/>
              </w:rPr>
            </w:pPr>
            <w:r>
              <w:rPr>
                <w:rFonts w:hint="eastAsia"/>
                <w:color w:val="auto"/>
                <w:sz w:val="20"/>
                <w:highlight w:val="none"/>
              </w:rPr>
              <w:t>移動支援</w:t>
            </w:r>
          </w:p>
        </w:tc>
        <w:tc>
          <w:tcPr>
            <w:tcW w:w="560" w:type="dxa"/>
            <w:vAlign w:val="top"/>
          </w:tcPr>
          <w:p>
            <w:pPr>
              <w:pStyle w:val="0"/>
              <w:jc w:val="right"/>
              <w:rPr>
                <w:rFonts w:hint="default"/>
                <w:color w:val="auto"/>
                <w:sz w:val="20"/>
                <w:highlight w:val="none"/>
              </w:rPr>
            </w:pPr>
            <w:r>
              <w:rPr>
                <w:rFonts w:hint="eastAsia"/>
                <w:color w:val="auto"/>
                <w:sz w:val="20"/>
                <w:highlight w:val="none"/>
              </w:rPr>
              <w:t>1</w:t>
            </w:r>
          </w:p>
        </w:tc>
        <w:tc>
          <w:tcPr>
            <w:tcW w:w="2493" w:type="dxa"/>
            <w:vAlign w:val="top"/>
          </w:tcPr>
          <w:p>
            <w:pPr>
              <w:pStyle w:val="0"/>
              <w:rPr>
                <w:rFonts w:hint="default"/>
                <w:color w:val="auto"/>
                <w:sz w:val="20"/>
                <w:highlight w:val="none"/>
              </w:rPr>
            </w:pPr>
            <w:r>
              <w:rPr>
                <w:rFonts w:hint="eastAsia"/>
                <w:color w:val="auto"/>
                <w:sz w:val="20"/>
                <w:highlight w:val="none"/>
              </w:rPr>
              <w:t>生活支援ｺｰﾃﾞｨﾈｰﾀｰ</w:t>
            </w:r>
          </w:p>
        </w:tc>
        <w:tc>
          <w:tcPr>
            <w:tcW w:w="567" w:type="dxa"/>
            <w:vAlign w:val="top"/>
          </w:tcPr>
          <w:p>
            <w:pPr>
              <w:pStyle w:val="0"/>
              <w:jc w:val="right"/>
              <w:rPr>
                <w:rFonts w:hint="default"/>
                <w:color w:val="auto"/>
                <w:sz w:val="20"/>
                <w:highlight w:val="none"/>
              </w:rPr>
            </w:pPr>
            <w:r>
              <w:rPr>
                <w:rFonts w:hint="eastAsia"/>
                <w:color w:val="auto"/>
                <w:sz w:val="20"/>
                <w:highlight w:val="none"/>
              </w:rPr>
              <w:t>1</w:t>
            </w:r>
          </w:p>
        </w:tc>
      </w:tr>
      <w:tr>
        <w:trPr/>
        <w:tc>
          <w:tcPr>
            <w:tcW w:w="2410" w:type="dxa"/>
            <w:vAlign w:val="top"/>
          </w:tcPr>
          <w:p>
            <w:pPr>
              <w:pStyle w:val="0"/>
              <w:rPr>
                <w:rFonts w:hint="default"/>
                <w:color w:val="auto"/>
                <w:sz w:val="20"/>
                <w:highlight w:val="none"/>
              </w:rPr>
            </w:pPr>
            <w:r>
              <w:rPr>
                <w:rFonts w:hint="eastAsia"/>
                <w:color w:val="auto"/>
                <w:sz w:val="20"/>
                <w:highlight w:val="none"/>
              </w:rPr>
              <w:t>サロン</w:t>
            </w:r>
          </w:p>
        </w:tc>
        <w:tc>
          <w:tcPr>
            <w:tcW w:w="525" w:type="dxa"/>
            <w:vAlign w:val="top"/>
          </w:tcPr>
          <w:p>
            <w:pPr>
              <w:pStyle w:val="0"/>
              <w:jc w:val="right"/>
              <w:rPr>
                <w:rFonts w:hint="default"/>
                <w:color w:val="auto"/>
                <w:sz w:val="20"/>
                <w:highlight w:val="none"/>
              </w:rPr>
            </w:pPr>
            <w:r>
              <w:rPr>
                <w:rFonts w:hint="eastAsia"/>
                <w:color w:val="auto"/>
                <w:sz w:val="20"/>
                <w:highlight w:val="none"/>
              </w:rPr>
              <w:t>13</w:t>
            </w:r>
          </w:p>
        </w:tc>
        <w:tc>
          <w:tcPr>
            <w:tcW w:w="2625" w:type="dxa"/>
            <w:vAlign w:val="top"/>
          </w:tcPr>
          <w:p>
            <w:pPr>
              <w:pStyle w:val="0"/>
              <w:rPr>
                <w:rFonts w:hint="default"/>
                <w:color w:val="auto"/>
                <w:sz w:val="20"/>
                <w:highlight w:val="none"/>
              </w:rPr>
            </w:pPr>
            <w:r>
              <w:rPr>
                <w:rFonts w:hint="eastAsia"/>
                <w:color w:val="auto"/>
                <w:sz w:val="20"/>
                <w:highlight w:val="none"/>
              </w:rPr>
              <w:t>スーパーマーケット</w:t>
            </w:r>
          </w:p>
        </w:tc>
        <w:tc>
          <w:tcPr>
            <w:tcW w:w="560" w:type="dxa"/>
            <w:vAlign w:val="top"/>
          </w:tcPr>
          <w:p>
            <w:pPr>
              <w:pStyle w:val="0"/>
              <w:jc w:val="right"/>
              <w:rPr>
                <w:rFonts w:hint="default"/>
                <w:color w:val="auto"/>
                <w:sz w:val="20"/>
                <w:highlight w:val="none"/>
              </w:rPr>
            </w:pPr>
            <w:r>
              <w:rPr>
                <w:rFonts w:hint="eastAsia"/>
                <w:color w:val="auto"/>
                <w:sz w:val="20"/>
                <w:highlight w:val="none"/>
              </w:rPr>
              <w:t>6</w:t>
            </w:r>
          </w:p>
        </w:tc>
        <w:tc>
          <w:tcPr>
            <w:tcW w:w="2493" w:type="dxa"/>
            <w:vAlign w:val="top"/>
          </w:tcPr>
          <w:p>
            <w:pPr>
              <w:pStyle w:val="0"/>
              <w:rPr>
                <w:rFonts w:hint="default"/>
                <w:color w:val="auto"/>
                <w:sz w:val="20"/>
                <w:highlight w:val="none"/>
              </w:rPr>
            </w:pPr>
          </w:p>
        </w:tc>
        <w:tc>
          <w:tcPr>
            <w:tcW w:w="567" w:type="dxa"/>
            <w:vAlign w:val="top"/>
          </w:tcPr>
          <w:p>
            <w:pPr>
              <w:pStyle w:val="0"/>
              <w:rPr>
                <w:rFonts w:hint="default"/>
                <w:color w:val="auto"/>
                <w:sz w:val="20"/>
                <w:highlight w:val="none"/>
              </w:rPr>
            </w:pPr>
          </w:p>
        </w:tc>
      </w:tr>
    </w:tbl>
    <w:p>
      <w:pPr>
        <w:pStyle w:val="0"/>
        <w:spacing w:before="74" w:beforeLines="20" w:beforeAutospacing="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〔介護サービス資源等〕</w:t>
      </w:r>
    </w:p>
    <w:tbl>
      <w:tblPr>
        <w:tblStyle w:val="81"/>
        <w:tblW w:w="9180" w:type="dxa"/>
        <w:tblInd w:w="0" w:type="dxa"/>
        <w:tblLayout w:type="fixed"/>
        <w:tblLook w:firstRow="1" w:lastRow="0" w:firstColumn="1" w:lastColumn="0" w:noHBand="0" w:noVBand="1" w:val="04A0"/>
      </w:tblPr>
      <w:tblGrid>
        <w:gridCol w:w="2410"/>
        <w:gridCol w:w="525"/>
        <w:gridCol w:w="2625"/>
        <w:gridCol w:w="560"/>
        <w:gridCol w:w="2493"/>
        <w:gridCol w:w="567"/>
      </w:tblGrid>
      <w:tr>
        <w:trPr/>
        <w:tc>
          <w:tcPr>
            <w:tcW w:w="9180" w:type="dxa"/>
            <w:gridSpan w:val="6"/>
            <w:shd w:val="clear" w:color="auto" w:fill="0070C0"/>
            <w:vAlign w:val="top"/>
          </w:tcPr>
          <w:p>
            <w:pPr>
              <w:pStyle w:val="0"/>
              <w:jc w:val="center"/>
              <w:rPr>
                <w:rFonts w:hint="default"/>
                <w:color w:val="auto"/>
                <w:sz w:val="21"/>
                <w:highlight w:val="none"/>
              </w:rPr>
            </w:pPr>
            <w:r>
              <w:rPr>
                <w:rFonts w:hint="eastAsia"/>
                <w:color w:val="auto"/>
                <w:sz w:val="21"/>
                <w:highlight w:val="none"/>
              </w:rPr>
              <w:t>介護サービス事業所等数（令和</w:t>
            </w:r>
            <w:r>
              <w:rPr>
                <w:rFonts w:hint="eastAsia"/>
                <w:color w:val="auto"/>
                <w:sz w:val="21"/>
                <w:highlight w:val="none"/>
              </w:rPr>
              <w:t>5</w:t>
            </w:r>
            <w:r>
              <w:rPr>
                <w:rFonts w:hint="eastAsia"/>
                <w:color w:val="auto"/>
                <w:sz w:val="21"/>
                <w:highlight w:val="none"/>
              </w:rPr>
              <w:t>年</w:t>
            </w:r>
            <w:r>
              <w:rPr>
                <w:rFonts w:hint="eastAsia"/>
                <w:color w:val="auto"/>
                <w:sz w:val="21"/>
                <w:highlight w:val="none"/>
              </w:rPr>
              <w:t>8</w:t>
            </w:r>
            <w:r>
              <w:rPr>
                <w:rFonts w:hint="eastAsia"/>
                <w:color w:val="auto"/>
                <w:sz w:val="21"/>
                <w:highlight w:val="none"/>
              </w:rPr>
              <w:t>月現在）</w:t>
            </w:r>
          </w:p>
        </w:tc>
      </w:tr>
      <w:tr>
        <w:trPr>
          <w:trHeight w:val="194" w:hRule="atLeast"/>
        </w:trPr>
        <w:tc>
          <w:tcPr>
            <w:tcW w:w="2935" w:type="dxa"/>
            <w:gridSpan w:val="2"/>
            <w:shd w:val="clear" w:color="auto" w:themeFill="accent5" w:themeFillTint="33" w:themeFillShade="FF"/>
            <w:vAlign w:val="top"/>
          </w:tcPr>
          <w:p>
            <w:pPr>
              <w:pStyle w:val="0"/>
              <w:rPr>
                <w:rFonts w:hint="default"/>
                <w:b w:val="1"/>
                <w:color w:val="auto"/>
                <w:sz w:val="21"/>
                <w:highlight w:val="none"/>
              </w:rPr>
            </w:pPr>
            <w:r>
              <w:rPr>
                <w:rFonts w:hint="eastAsia"/>
                <w:b w:val="1"/>
                <w:color w:val="auto"/>
                <w:sz w:val="21"/>
                <w:highlight w:val="none"/>
              </w:rPr>
              <w:t>居宅サービス</w:t>
            </w:r>
          </w:p>
        </w:tc>
        <w:tc>
          <w:tcPr>
            <w:tcW w:w="3185" w:type="dxa"/>
            <w:gridSpan w:val="2"/>
            <w:shd w:val="clear" w:color="auto" w:themeFill="accent5" w:themeFillTint="33" w:themeFillShade="FF"/>
            <w:vAlign w:val="top"/>
          </w:tcPr>
          <w:p>
            <w:pPr>
              <w:pStyle w:val="0"/>
              <w:rPr>
                <w:rFonts w:hint="default"/>
                <w:b w:val="1"/>
                <w:color w:val="auto"/>
                <w:sz w:val="21"/>
                <w:highlight w:val="none"/>
              </w:rPr>
            </w:pPr>
            <w:r>
              <w:rPr>
                <w:rFonts w:hint="eastAsia"/>
                <w:b w:val="1"/>
                <w:color w:val="auto"/>
                <w:sz w:val="21"/>
                <w:highlight w:val="none"/>
              </w:rPr>
              <w:t>地域密着型サービス</w:t>
            </w:r>
          </w:p>
        </w:tc>
        <w:tc>
          <w:tcPr>
            <w:tcW w:w="3060" w:type="dxa"/>
            <w:gridSpan w:val="2"/>
            <w:shd w:val="clear" w:color="auto" w:themeFill="accent5" w:themeFillTint="33" w:themeFillShade="FF"/>
            <w:vAlign w:val="top"/>
          </w:tcPr>
          <w:p>
            <w:pPr>
              <w:pStyle w:val="0"/>
              <w:rPr>
                <w:rFonts w:hint="default"/>
                <w:b w:val="1"/>
                <w:color w:val="auto"/>
                <w:sz w:val="21"/>
                <w:highlight w:val="none"/>
              </w:rPr>
            </w:pPr>
            <w:r>
              <w:rPr>
                <w:rFonts w:hint="eastAsia"/>
                <w:b w:val="1"/>
                <w:color w:val="auto"/>
                <w:sz w:val="21"/>
                <w:highlight w:val="none"/>
              </w:rPr>
              <w:t>施設サービス</w:t>
            </w:r>
          </w:p>
        </w:tc>
      </w:tr>
      <w:tr>
        <w:trPr/>
        <w:tc>
          <w:tcPr>
            <w:tcW w:w="2410" w:type="dxa"/>
            <w:vAlign w:val="top"/>
          </w:tcPr>
          <w:p>
            <w:pPr>
              <w:pStyle w:val="0"/>
              <w:ind w:left="220" w:leftChars="100"/>
              <w:rPr>
                <w:rFonts w:hint="default"/>
                <w:color w:val="auto"/>
                <w:sz w:val="21"/>
                <w:highlight w:val="none"/>
              </w:rPr>
            </w:pPr>
            <w:r>
              <w:rPr>
                <w:rFonts w:hint="eastAsia"/>
                <w:color w:val="auto"/>
                <w:sz w:val="21"/>
                <w:highlight w:val="none"/>
              </w:rPr>
              <w:t>居宅介護支援</w:t>
            </w:r>
          </w:p>
        </w:tc>
        <w:tc>
          <w:tcPr>
            <w:tcW w:w="525" w:type="dxa"/>
            <w:vAlign w:val="top"/>
          </w:tcPr>
          <w:p>
            <w:pPr>
              <w:pStyle w:val="0"/>
              <w:jc w:val="right"/>
              <w:rPr>
                <w:rFonts w:hint="default"/>
                <w:color w:val="auto"/>
                <w:sz w:val="21"/>
                <w:highlight w:val="none"/>
              </w:rPr>
            </w:pPr>
            <w:r>
              <w:rPr>
                <w:rFonts w:hint="eastAsia"/>
                <w:color w:val="auto"/>
                <w:sz w:val="21"/>
                <w:highlight w:val="none"/>
              </w:rPr>
              <w:t>6</w:t>
            </w:r>
          </w:p>
        </w:tc>
        <w:tc>
          <w:tcPr>
            <w:tcW w:w="2625" w:type="dxa"/>
            <w:vAlign w:val="top"/>
          </w:tcPr>
          <w:p>
            <w:pPr>
              <w:pStyle w:val="0"/>
              <w:ind w:left="220" w:leftChars="100"/>
              <w:rPr>
                <w:rFonts w:hint="default"/>
                <w:color w:val="auto"/>
                <w:sz w:val="21"/>
                <w:highlight w:val="none"/>
              </w:rPr>
            </w:pPr>
            <w:r>
              <w:rPr>
                <w:rFonts w:hint="eastAsia"/>
                <w:color w:val="auto"/>
                <w:sz w:val="21"/>
                <w:highlight w:val="none"/>
              </w:rPr>
              <w:t>定期巡回</w:t>
            </w:r>
          </w:p>
        </w:tc>
        <w:tc>
          <w:tcPr>
            <w:tcW w:w="560" w:type="dxa"/>
            <w:vAlign w:val="top"/>
          </w:tcPr>
          <w:p>
            <w:pPr>
              <w:pStyle w:val="0"/>
              <w:jc w:val="right"/>
              <w:rPr>
                <w:rFonts w:hint="default"/>
                <w:color w:val="auto"/>
                <w:sz w:val="21"/>
                <w:highlight w:val="none"/>
              </w:rPr>
            </w:pPr>
            <w:r>
              <w:rPr>
                <w:rFonts w:hint="eastAsia"/>
                <w:color w:val="auto"/>
                <w:sz w:val="21"/>
                <w:highlight w:val="none"/>
              </w:rPr>
              <w:t>1</w:t>
            </w:r>
          </w:p>
        </w:tc>
        <w:tc>
          <w:tcPr>
            <w:tcW w:w="2493" w:type="dxa"/>
            <w:vAlign w:val="top"/>
          </w:tcPr>
          <w:p>
            <w:pPr>
              <w:pStyle w:val="0"/>
              <w:ind w:left="220" w:leftChars="100" w:right="-110" w:rightChars="-50"/>
              <w:rPr>
                <w:rFonts w:hint="default"/>
                <w:color w:val="auto"/>
                <w:sz w:val="21"/>
                <w:highlight w:val="none"/>
              </w:rPr>
            </w:pPr>
            <w:r>
              <w:rPr>
                <w:rFonts w:hint="eastAsia"/>
                <w:color w:val="auto"/>
                <w:sz w:val="21"/>
                <w:highlight w:val="none"/>
              </w:rPr>
              <w:t>介護老人福祉施設</w:t>
            </w:r>
          </w:p>
        </w:tc>
        <w:tc>
          <w:tcPr>
            <w:tcW w:w="567" w:type="dxa"/>
            <w:vAlign w:val="top"/>
          </w:tcPr>
          <w:p>
            <w:pPr>
              <w:pStyle w:val="0"/>
              <w:jc w:val="right"/>
              <w:rPr>
                <w:rFonts w:hint="default"/>
                <w:color w:val="auto"/>
                <w:sz w:val="21"/>
                <w:highlight w:val="none"/>
              </w:rPr>
            </w:pPr>
            <w:r>
              <w:rPr>
                <w:rFonts w:hint="eastAsia"/>
                <w:color w:val="auto"/>
                <w:sz w:val="21"/>
                <w:highlight w:val="none"/>
              </w:rPr>
              <w:t>1</w:t>
            </w:r>
          </w:p>
        </w:tc>
      </w:tr>
      <w:tr>
        <w:trPr/>
        <w:tc>
          <w:tcPr>
            <w:tcW w:w="2410" w:type="dxa"/>
            <w:vAlign w:val="top"/>
          </w:tcPr>
          <w:p>
            <w:pPr>
              <w:pStyle w:val="0"/>
              <w:ind w:left="220" w:leftChars="100"/>
              <w:rPr>
                <w:rFonts w:hint="default"/>
                <w:color w:val="auto"/>
                <w:sz w:val="21"/>
                <w:highlight w:val="none"/>
              </w:rPr>
            </w:pPr>
            <w:r>
              <w:rPr>
                <w:rFonts w:hint="eastAsia"/>
                <w:color w:val="auto"/>
                <w:sz w:val="21"/>
                <w:highlight w:val="none"/>
              </w:rPr>
              <w:t>訪問介護</w:t>
            </w:r>
          </w:p>
        </w:tc>
        <w:tc>
          <w:tcPr>
            <w:tcW w:w="525" w:type="dxa"/>
            <w:vAlign w:val="top"/>
          </w:tcPr>
          <w:p>
            <w:pPr>
              <w:pStyle w:val="0"/>
              <w:jc w:val="right"/>
              <w:rPr>
                <w:rFonts w:hint="default"/>
                <w:color w:val="auto"/>
                <w:sz w:val="21"/>
                <w:highlight w:val="none"/>
              </w:rPr>
            </w:pPr>
            <w:r>
              <w:rPr>
                <w:rFonts w:hint="eastAsia"/>
                <w:color w:val="auto"/>
                <w:sz w:val="21"/>
                <w:highlight w:val="none"/>
              </w:rPr>
              <w:t>4</w:t>
            </w:r>
          </w:p>
        </w:tc>
        <w:tc>
          <w:tcPr>
            <w:tcW w:w="2625" w:type="dxa"/>
            <w:vAlign w:val="top"/>
          </w:tcPr>
          <w:p>
            <w:pPr>
              <w:pStyle w:val="0"/>
              <w:ind w:left="220" w:leftChars="100"/>
              <w:rPr>
                <w:rFonts w:hint="default"/>
                <w:color w:val="auto"/>
                <w:sz w:val="21"/>
                <w:highlight w:val="none"/>
              </w:rPr>
            </w:pPr>
            <w:r>
              <w:rPr>
                <w:rFonts w:hint="eastAsia"/>
                <w:color w:val="auto"/>
                <w:sz w:val="21"/>
                <w:highlight w:val="none"/>
              </w:rPr>
              <w:t>認知症対応型通所</w:t>
            </w:r>
          </w:p>
        </w:tc>
        <w:tc>
          <w:tcPr>
            <w:tcW w:w="560" w:type="dxa"/>
            <w:vAlign w:val="top"/>
          </w:tcPr>
          <w:p>
            <w:pPr>
              <w:pStyle w:val="0"/>
              <w:jc w:val="right"/>
              <w:rPr>
                <w:rFonts w:hint="default"/>
                <w:color w:val="auto"/>
                <w:sz w:val="21"/>
                <w:highlight w:val="none"/>
              </w:rPr>
            </w:pPr>
            <w:r>
              <w:rPr>
                <w:rFonts w:hint="eastAsia"/>
                <w:color w:val="auto"/>
                <w:sz w:val="21"/>
                <w:highlight w:val="none"/>
              </w:rPr>
              <w:t>1</w:t>
            </w:r>
          </w:p>
        </w:tc>
        <w:tc>
          <w:tcPr>
            <w:tcW w:w="2493" w:type="dxa"/>
            <w:vAlign w:val="top"/>
          </w:tcPr>
          <w:p>
            <w:pPr>
              <w:pStyle w:val="0"/>
              <w:ind w:left="220" w:leftChars="100" w:right="-110" w:rightChars="-50"/>
              <w:rPr>
                <w:rFonts w:hint="default"/>
                <w:color w:val="auto"/>
                <w:sz w:val="21"/>
                <w:highlight w:val="none"/>
              </w:rPr>
            </w:pPr>
            <w:r>
              <w:rPr>
                <w:rFonts w:hint="eastAsia"/>
                <w:color w:val="auto"/>
                <w:sz w:val="21"/>
                <w:highlight w:val="none"/>
              </w:rPr>
              <w:t>介護老人保健施設</w:t>
            </w:r>
          </w:p>
        </w:tc>
        <w:tc>
          <w:tcPr>
            <w:tcW w:w="567" w:type="dxa"/>
            <w:vAlign w:val="top"/>
          </w:tcPr>
          <w:p>
            <w:pPr>
              <w:pStyle w:val="0"/>
              <w:jc w:val="right"/>
              <w:rPr>
                <w:rFonts w:hint="default"/>
                <w:color w:val="auto"/>
                <w:sz w:val="21"/>
                <w:highlight w:val="none"/>
              </w:rPr>
            </w:pPr>
            <w:r>
              <w:rPr>
                <w:rFonts w:hint="eastAsia"/>
                <w:color w:val="auto"/>
                <w:sz w:val="21"/>
                <w:highlight w:val="none"/>
              </w:rPr>
              <w:t>1</w:t>
            </w:r>
          </w:p>
        </w:tc>
      </w:tr>
      <w:tr>
        <w:trPr/>
        <w:tc>
          <w:tcPr>
            <w:tcW w:w="2410" w:type="dxa"/>
            <w:vAlign w:val="top"/>
          </w:tcPr>
          <w:p>
            <w:pPr>
              <w:pStyle w:val="0"/>
              <w:ind w:left="220" w:leftChars="100"/>
              <w:rPr>
                <w:rFonts w:hint="default"/>
                <w:color w:val="auto"/>
                <w:sz w:val="21"/>
                <w:highlight w:val="none"/>
              </w:rPr>
            </w:pPr>
            <w:r>
              <w:rPr>
                <w:rFonts w:hint="eastAsia"/>
                <w:color w:val="auto"/>
                <w:sz w:val="21"/>
                <w:highlight w:val="none"/>
              </w:rPr>
              <w:t>訪問入浴介護</w:t>
            </w:r>
          </w:p>
        </w:tc>
        <w:tc>
          <w:tcPr>
            <w:tcW w:w="525" w:type="dxa"/>
            <w:vAlign w:val="top"/>
          </w:tcPr>
          <w:p>
            <w:pPr>
              <w:pStyle w:val="0"/>
              <w:jc w:val="right"/>
              <w:rPr>
                <w:rFonts w:hint="default"/>
                <w:color w:val="auto"/>
                <w:sz w:val="21"/>
                <w:highlight w:val="none"/>
              </w:rPr>
            </w:pPr>
            <w:r>
              <w:rPr>
                <w:rFonts w:hint="eastAsia"/>
                <w:color w:val="auto"/>
                <w:sz w:val="21"/>
                <w:highlight w:val="none"/>
              </w:rPr>
              <w:t>0</w:t>
            </w:r>
          </w:p>
        </w:tc>
        <w:tc>
          <w:tcPr>
            <w:tcW w:w="2625" w:type="dxa"/>
            <w:vAlign w:val="top"/>
          </w:tcPr>
          <w:p>
            <w:pPr>
              <w:pStyle w:val="0"/>
              <w:ind w:left="220" w:leftChars="100"/>
              <w:rPr>
                <w:rFonts w:hint="default"/>
                <w:color w:val="auto"/>
                <w:sz w:val="21"/>
                <w:highlight w:val="none"/>
              </w:rPr>
            </w:pPr>
            <w:r>
              <w:rPr>
                <w:rFonts w:hint="eastAsia"/>
                <w:color w:val="auto"/>
                <w:sz w:val="21"/>
                <w:highlight w:val="none"/>
              </w:rPr>
              <w:t>地域密着型通所</w:t>
            </w:r>
          </w:p>
        </w:tc>
        <w:tc>
          <w:tcPr>
            <w:tcW w:w="560" w:type="dxa"/>
            <w:vAlign w:val="top"/>
          </w:tcPr>
          <w:p>
            <w:pPr>
              <w:pStyle w:val="0"/>
              <w:jc w:val="right"/>
              <w:rPr>
                <w:rFonts w:hint="default"/>
                <w:color w:val="auto"/>
                <w:sz w:val="21"/>
                <w:highlight w:val="none"/>
              </w:rPr>
            </w:pPr>
            <w:r>
              <w:rPr>
                <w:rFonts w:hint="eastAsia"/>
                <w:color w:val="auto"/>
                <w:sz w:val="21"/>
                <w:highlight w:val="none"/>
              </w:rPr>
              <w:t>5</w:t>
            </w:r>
          </w:p>
        </w:tc>
        <w:tc>
          <w:tcPr>
            <w:tcW w:w="2493" w:type="dxa"/>
            <w:vAlign w:val="top"/>
          </w:tcPr>
          <w:p>
            <w:pPr>
              <w:pStyle w:val="0"/>
              <w:ind w:firstLine="210" w:firstLineChars="100"/>
              <w:rPr>
                <w:rFonts w:hint="default"/>
                <w:color w:val="auto"/>
                <w:sz w:val="21"/>
                <w:highlight w:val="none"/>
              </w:rPr>
            </w:pPr>
            <w:r>
              <w:rPr>
                <w:rFonts w:hint="eastAsia"/>
                <w:color w:val="auto"/>
                <w:sz w:val="21"/>
                <w:highlight w:val="none"/>
              </w:rPr>
              <w:t>介護医療院</w:t>
            </w:r>
          </w:p>
        </w:tc>
        <w:tc>
          <w:tcPr>
            <w:tcW w:w="567" w:type="dxa"/>
            <w:vAlign w:val="top"/>
          </w:tcPr>
          <w:p>
            <w:pPr>
              <w:pStyle w:val="0"/>
              <w:jc w:val="right"/>
              <w:rPr>
                <w:rFonts w:hint="default"/>
                <w:color w:val="auto"/>
                <w:sz w:val="21"/>
                <w:highlight w:val="none"/>
              </w:rPr>
            </w:pPr>
            <w:r>
              <w:rPr>
                <w:rFonts w:hint="eastAsia"/>
                <w:color w:val="auto"/>
                <w:sz w:val="21"/>
                <w:highlight w:val="none"/>
              </w:rPr>
              <w:t>0</w:t>
            </w:r>
          </w:p>
        </w:tc>
      </w:tr>
      <w:tr>
        <w:trPr/>
        <w:tc>
          <w:tcPr>
            <w:tcW w:w="2410" w:type="dxa"/>
            <w:vAlign w:val="top"/>
          </w:tcPr>
          <w:p>
            <w:pPr>
              <w:pStyle w:val="0"/>
              <w:ind w:left="220" w:leftChars="100"/>
              <w:rPr>
                <w:rFonts w:hint="default"/>
                <w:color w:val="auto"/>
                <w:sz w:val="21"/>
                <w:highlight w:val="none"/>
              </w:rPr>
            </w:pPr>
            <w:r>
              <w:rPr>
                <w:rFonts w:hint="eastAsia"/>
                <w:color w:val="auto"/>
                <w:sz w:val="21"/>
                <w:highlight w:val="none"/>
              </w:rPr>
              <w:t>訪問看護</w:t>
            </w:r>
          </w:p>
        </w:tc>
        <w:tc>
          <w:tcPr>
            <w:tcW w:w="525" w:type="dxa"/>
            <w:vAlign w:val="top"/>
          </w:tcPr>
          <w:p>
            <w:pPr>
              <w:pStyle w:val="0"/>
              <w:jc w:val="right"/>
              <w:rPr>
                <w:rFonts w:hint="default"/>
                <w:color w:val="auto"/>
                <w:sz w:val="21"/>
                <w:highlight w:val="none"/>
              </w:rPr>
            </w:pPr>
            <w:r>
              <w:rPr>
                <w:rFonts w:hint="eastAsia"/>
                <w:color w:val="auto"/>
                <w:sz w:val="21"/>
                <w:highlight w:val="none"/>
              </w:rPr>
              <w:t>4</w:t>
            </w:r>
          </w:p>
        </w:tc>
        <w:tc>
          <w:tcPr>
            <w:tcW w:w="2625" w:type="dxa"/>
            <w:vAlign w:val="top"/>
          </w:tcPr>
          <w:p>
            <w:pPr>
              <w:pStyle w:val="0"/>
              <w:ind w:left="220" w:leftChars="100"/>
              <w:rPr>
                <w:rFonts w:hint="default"/>
                <w:color w:val="auto"/>
                <w:sz w:val="21"/>
                <w:highlight w:val="none"/>
              </w:rPr>
            </w:pPr>
            <w:r>
              <w:rPr>
                <w:rFonts w:hint="eastAsia"/>
                <w:color w:val="auto"/>
                <w:sz w:val="21"/>
                <w:highlight w:val="none"/>
              </w:rPr>
              <w:t>グループホーム</w:t>
            </w:r>
          </w:p>
        </w:tc>
        <w:tc>
          <w:tcPr>
            <w:tcW w:w="560" w:type="dxa"/>
            <w:vAlign w:val="top"/>
          </w:tcPr>
          <w:p>
            <w:pPr>
              <w:pStyle w:val="0"/>
              <w:jc w:val="right"/>
              <w:rPr>
                <w:rFonts w:hint="default"/>
                <w:color w:val="auto"/>
                <w:sz w:val="21"/>
                <w:highlight w:val="none"/>
              </w:rPr>
            </w:pPr>
            <w:r>
              <w:rPr>
                <w:rFonts w:hint="eastAsia"/>
                <w:color w:val="auto"/>
                <w:sz w:val="21"/>
                <w:highlight w:val="none"/>
              </w:rPr>
              <w:t>2</w:t>
            </w:r>
          </w:p>
        </w:tc>
        <w:tc>
          <w:tcPr>
            <w:tcW w:w="2493" w:type="dxa"/>
            <w:shd w:val="clear" w:color="auto" w:themeFill="text2" w:themeFillTint="33" w:themeFillShade="FF"/>
            <w:vAlign w:val="top"/>
          </w:tcPr>
          <w:p>
            <w:pPr>
              <w:pStyle w:val="0"/>
              <w:rPr>
                <w:rFonts w:hint="default"/>
                <w:b w:val="1"/>
                <w:color w:val="auto"/>
                <w:sz w:val="21"/>
                <w:highlight w:val="none"/>
              </w:rPr>
            </w:pPr>
            <w:r>
              <w:rPr>
                <w:rFonts w:hint="eastAsia"/>
                <w:b w:val="1"/>
                <w:color w:val="auto"/>
                <w:sz w:val="21"/>
                <w:highlight w:val="none"/>
              </w:rPr>
              <w:t>総合事業</w:t>
            </w:r>
          </w:p>
        </w:tc>
        <w:tc>
          <w:tcPr>
            <w:tcW w:w="567" w:type="dxa"/>
            <w:shd w:val="clear" w:color="auto" w:themeFill="text2" w:themeFillTint="33" w:themeFillShade="FF"/>
            <w:vAlign w:val="top"/>
          </w:tcPr>
          <w:p>
            <w:pPr>
              <w:pStyle w:val="0"/>
              <w:jc w:val="right"/>
              <w:rPr>
                <w:rFonts w:hint="default"/>
                <w:b w:val="1"/>
                <w:color w:val="auto"/>
                <w:sz w:val="21"/>
                <w:highlight w:val="none"/>
              </w:rPr>
            </w:pPr>
            <w:r>
              <w:rPr>
                <w:rFonts w:hint="eastAsia"/>
                <w:color w:val="auto"/>
                <w:sz w:val="21"/>
                <w:highlight w:val="none"/>
              </w:rPr>
              <w:t>13</w:t>
            </w:r>
          </w:p>
        </w:tc>
      </w:tr>
      <w:tr>
        <w:trPr/>
        <w:tc>
          <w:tcPr>
            <w:tcW w:w="2410" w:type="dxa"/>
            <w:vAlign w:val="top"/>
          </w:tcPr>
          <w:p>
            <w:pPr>
              <w:pStyle w:val="0"/>
              <w:ind w:left="220" w:leftChars="100"/>
              <w:rPr>
                <w:rFonts w:hint="default"/>
                <w:color w:val="auto"/>
                <w:sz w:val="21"/>
                <w:highlight w:val="none"/>
              </w:rPr>
            </w:pPr>
            <w:r>
              <w:rPr>
                <w:rFonts w:hint="eastAsia"/>
                <w:color w:val="auto"/>
                <w:sz w:val="21"/>
                <w:highlight w:val="none"/>
              </w:rPr>
              <w:t>訪問ﾘﾊﾋﾞﾘﾃｰｼｮﾝ</w:t>
            </w:r>
          </w:p>
        </w:tc>
        <w:tc>
          <w:tcPr>
            <w:tcW w:w="525" w:type="dxa"/>
            <w:vAlign w:val="top"/>
          </w:tcPr>
          <w:p>
            <w:pPr>
              <w:pStyle w:val="0"/>
              <w:jc w:val="right"/>
              <w:rPr>
                <w:rFonts w:hint="default"/>
                <w:color w:val="auto"/>
                <w:sz w:val="21"/>
                <w:highlight w:val="none"/>
              </w:rPr>
            </w:pPr>
            <w:r>
              <w:rPr>
                <w:rFonts w:hint="eastAsia"/>
                <w:color w:val="auto"/>
                <w:sz w:val="21"/>
                <w:highlight w:val="none"/>
              </w:rPr>
              <w:t>1</w:t>
            </w:r>
          </w:p>
        </w:tc>
        <w:tc>
          <w:tcPr>
            <w:tcW w:w="2625" w:type="dxa"/>
            <w:vAlign w:val="top"/>
          </w:tcPr>
          <w:p>
            <w:pPr>
              <w:pStyle w:val="0"/>
              <w:ind w:firstLine="210" w:firstLineChars="100"/>
              <w:rPr>
                <w:rFonts w:hint="default"/>
                <w:color w:val="auto"/>
                <w:sz w:val="21"/>
                <w:highlight w:val="none"/>
              </w:rPr>
            </w:pPr>
            <w:r>
              <w:rPr>
                <w:rFonts w:hint="eastAsia"/>
                <w:color w:val="auto"/>
                <w:sz w:val="21"/>
                <w:highlight w:val="none"/>
              </w:rPr>
              <w:t>小規模多機能</w:t>
            </w:r>
          </w:p>
        </w:tc>
        <w:tc>
          <w:tcPr>
            <w:tcW w:w="560" w:type="dxa"/>
            <w:vAlign w:val="top"/>
          </w:tcPr>
          <w:p>
            <w:pPr>
              <w:pStyle w:val="0"/>
              <w:jc w:val="right"/>
              <w:rPr>
                <w:rFonts w:hint="default"/>
                <w:color w:val="auto"/>
                <w:sz w:val="21"/>
                <w:highlight w:val="none"/>
              </w:rPr>
            </w:pPr>
            <w:r>
              <w:rPr>
                <w:rFonts w:hint="eastAsia"/>
                <w:color w:val="auto"/>
                <w:sz w:val="21"/>
                <w:highlight w:val="none"/>
              </w:rPr>
              <w:t>1</w:t>
            </w:r>
          </w:p>
        </w:tc>
        <w:tc>
          <w:tcPr>
            <w:tcW w:w="3060" w:type="dxa"/>
            <w:gridSpan w:val="2"/>
            <w:shd w:val="clear" w:color="auto" w:themeFill="text2" w:themeFillTint="33" w:themeFillShade="FF"/>
            <w:vAlign w:val="top"/>
          </w:tcPr>
          <w:p>
            <w:pPr>
              <w:pStyle w:val="0"/>
              <w:rPr>
                <w:rFonts w:hint="default"/>
                <w:b w:val="1"/>
                <w:color w:val="auto"/>
                <w:sz w:val="21"/>
                <w:highlight w:val="none"/>
              </w:rPr>
            </w:pPr>
            <w:r>
              <w:rPr>
                <w:rFonts w:hint="eastAsia"/>
                <w:b w:val="1"/>
                <w:color w:val="auto"/>
                <w:sz w:val="21"/>
                <w:highlight w:val="none"/>
              </w:rPr>
              <w:t>その他</w:t>
            </w:r>
          </w:p>
        </w:tc>
      </w:tr>
      <w:tr>
        <w:trPr>
          <w:trHeight w:val="122" w:hRule="atLeast"/>
        </w:trPr>
        <w:tc>
          <w:tcPr>
            <w:tcW w:w="2410" w:type="dxa"/>
            <w:vAlign w:val="top"/>
          </w:tcPr>
          <w:p>
            <w:pPr>
              <w:pStyle w:val="0"/>
              <w:ind w:left="220" w:leftChars="100"/>
              <w:rPr>
                <w:rFonts w:hint="default"/>
                <w:color w:val="auto"/>
                <w:sz w:val="21"/>
                <w:highlight w:val="none"/>
              </w:rPr>
            </w:pPr>
            <w:r>
              <w:rPr>
                <w:rFonts w:hint="eastAsia"/>
                <w:color w:val="auto"/>
                <w:sz w:val="21"/>
                <w:highlight w:val="none"/>
              </w:rPr>
              <w:t>通所介護</w:t>
            </w:r>
          </w:p>
        </w:tc>
        <w:tc>
          <w:tcPr>
            <w:tcW w:w="525" w:type="dxa"/>
            <w:vAlign w:val="top"/>
          </w:tcPr>
          <w:p>
            <w:pPr>
              <w:pStyle w:val="0"/>
              <w:jc w:val="right"/>
              <w:rPr>
                <w:rFonts w:hint="default"/>
                <w:color w:val="auto"/>
                <w:sz w:val="21"/>
                <w:highlight w:val="none"/>
              </w:rPr>
            </w:pPr>
            <w:r>
              <w:rPr>
                <w:rFonts w:hint="eastAsia"/>
                <w:color w:val="auto"/>
                <w:sz w:val="21"/>
                <w:highlight w:val="none"/>
              </w:rPr>
              <w:t>4</w:t>
            </w:r>
          </w:p>
        </w:tc>
        <w:tc>
          <w:tcPr>
            <w:tcW w:w="2625" w:type="dxa"/>
            <w:vAlign w:val="top"/>
          </w:tcPr>
          <w:p>
            <w:pPr>
              <w:pStyle w:val="0"/>
              <w:ind w:firstLine="210" w:firstLineChars="100"/>
              <w:rPr>
                <w:rFonts w:hint="default"/>
                <w:color w:val="auto"/>
                <w:sz w:val="21"/>
                <w:highlight w:val="none"/>
              </w:rPr>
            </w:pPr>
            <w:r>
              <w:rPr>
                <w:rFonts w:hint="eastAsia"/>
                <w:color w:val="auto"/>
                <w:sz w:val="21"/>
                <w:highlight w:val="none"/>
              </w:rPr>
              <w:t>看護小規模多機能</w:t>
            </w:r>
          </w:p>
        </w:tc>
        <w:tc>
          <w:tcPr>
            <w:tcW w:w="560" w:type="dxa"/>
            <w:vAlign w:val="top"/>
          </w:tcPr>
          <w:p>
            <w:pPr>
              <w:pStyle w:val="0"/>
              <w:jc w:val="right"/>
              <w:rPr>
                <w:rFonts w:hint="default"/>
                <w:color w:val="auto"/>
                <w:sz w:val="21"/>
                <w:highlight w:val="none"/>
              </w:rPr>
            </w:pPr>
            <w:r>
              <w:rPr>
                <w:rFonts w:hint="eastAsia"/>
                <w:color w:val="auto"/>
                <w:sz w:val="21"/>
                <w:highlight w:val="none"/>
              </w:rPr>
              <w:t>1</w:t>
            </w:r>
          </w:p>
        </w:tc>
        <w:tc>
          <w:tcPr>
            <w:tcW w:w="2493" w:type="dxa"/>
            <w:shd w:val="clear" w:color="auto" w:fill="auto"/>
            <w:vAlign w:val="center"/>
          </w:tcPr>
          <w:p>
            <w:pPr>
              <w:pStyle w:val="0"/>
              <w:ind w:firstLine="210" w:firstLineChars="100"/>
              <w:rPr>
                <w:rFonts w:hint="default"/>
                <w:color w:val="auto"/>
                <w:sz w:val="21"/>
                <w:highlight w:val="none"/>
              </w:rPr>
            </w:pPr>
            <w:r>
              <w:rPr>
                <w:rFonts w:hint="eastAsia"/>
                <w:color w:val="auto"/>
                <w:sz w:val="21"/>
                <w:highlight w:val="none"/>
              </w:rPr>
              <w:t>ｹｱﾊｳｽ</w:t>
            </w:r>
            <w:r>
              <w:rPr>
                <w:rFonts w:hint="eastAsia"/>
                <w:color w:val="auto"/>
                <w:sz w:val="21"/>
                <w:highlight w:val="none"/>
              </w:rPr>
              <w:t>(</w:t>
            </w:r>
            <w:r>
              <w:rPr>
                <w:rFonts w:hint="eastAsia"/>
                <w:color w:val="auto"/>
                <w:sz w:val="21"/>
                <w:highlight w:val="none"/>
              </w:rPr>
              <w:t>軽費老人ﾎｰﾑ</w:t>
            </w:r>
            <w:r>
              <w:rPr>
                <w:rFonts w:hint="eastAsia"/>
                <w:color w:val="auto"/>
                <w:sz w:val="21"/>
                <w:highlight w:val="none"/>
              </w:rPr>
              <w:t>)</w:t>
            </w:r>
          </w:p>
        </w:tc>
        <w:tc>
          <w:tcPr>
            <w:tcW w:w="567" w:type="dxa"/>
            <w:shd w:val="clear" w:color="auto" w:fill="auto"/>
            <w:vAlign w:val="top"/>
          </w:tcPr>
          <w:p>
            <w:pPr>
              <w:pStyle w:val="0"/>
              <w:jc w:val="right"/>
              <w:rPr>
                <w:rFonts w:hint="default"/>
                <w:color w:val="auto"/>
                <w:sz w:val="21"/>
                <w:highlight w:val="none"/>
              </w:rPr>
            </w:pPr>
            <w:r>
              <w:rPr>
                <w:rFonts w:hint="eastAsia"/>
                <w:color w:val="auto"/>
                <w:sz w:val="21"/>
                <w:highlight w:val="none"/>
              </w:rPr>
              <w:t>0</w:t>
            </w:r>
          </w:p>
        </w:tc>
      </w:tr>
      <w:tr>
        <w:trPr/>
        <w:tc>
          <w:tcPr>
            <w:tcW w:w="2410" w:type="dxa"/>
            <w:vAlign w:val="top"/>
          </w:tcPr>
          <w:p>
            <w:pPr>
              <w:pStyle w:val="0"/>
              <w:ind w:left="220" w:leftChars="100"/>
              <w:rPr>
                <w:rFonts w:hint="default"/>
                <w:color w:val="auto"/>
                <w:sz w:val="21"/>
                <w:highlight w:val="none"/>
              </w:rPr>
            </w:pPr>
            <w:r>
              <w:rPr>
                <w:rFonts w:hint="eastAsia"/>
                <w:color w:val="auto"/>
                <w:sz w:val="21"/>
                <w:highlight w:val="none"/>
              </w:rPr>
              <w:t>通所ﾘﾊﾋﾞﾘﾃｰｼｮﾝ</w:t>
            </w:r>
          </w:p>
        </w:tc>
        <w:tc>
          <w:tcPr>
            <w:tcW w:w="525" w:type="dxa"/>
            <w:vAlign w:val="top"/>
          </w:tcPr>
          <w:p>
            <w:pPr>
              <w:pStyle w:val="0"/>
              <w:jc w:val="right"/>
              <w:rPr>
                <w:rFonts w:hint="default"/>
                <w:color w:val="auto"/>
                <w:sz w:val="21"/>
                <w:highlight w:val="none"/>
              </w:rPr>
            </w:pPr>
            <w:r>
              <w:rPr>
                <w:rFonts w:hint="eastAsia"/>
                <w:color w:val="auto"/>
                <w:sz w:val="21"/>
                <w:highlight w:val="none"/>
              </w:rPr>
              <w:t>3</w:t>
            </w:r>
          </w:p>
        </w:tc>
        <w:tc>
          <w:tcPr>
            <w:tcW w:w="2625" w:type="dxa"/>
            <w:vAlign w:val="top"/>
          </w:tcPr>
          <w:p>
            <w:pPr>
              <w:pStyle w:val="0"/>
              <w:ind w:firstLine="210" w:firstLineChars="100"/>
              <w:rPr>
                <w:rFonts w:hint="default"/>
                <w:color w:val="auto"/>
                <w:sz w:val="21"/>
                <w:highlight w:val="none"/>
              </w:rPr>
            </w:pPr>
            <w:r>
              <w:rPr>
                <w:rFonts w:hint="eastAsia"/>
                <w:color w:val="auto"/>
                <w:sz w:val="21"/>
                <w:highlight w:val="none"/>
              </w:rPr>
              <w:t>地域密着型特養</w:t>
            </w:r>
          </w:p>
        </w:tc>
        <w:tc>
          <w:tcPr>
            <w:tcW w:w="560" w:type="dxa"/>
            <w:vAlign w:val="top"/>
          </w:tcPr>
          <w:p>
            <w:pPr>
              <w:pStyle w:val="0"/>
              <w:jc w:val="right"/>
              <w:rPr>
                <w:rFonts w:hint="default"/>
                <w:color w:val="auto"/>
                <w:sz w:val="21"/>
                <w:highlight w:val="none"/>
              </w:rPr>
            </w:pPr>
            <w:r>
              <w:rPr>
                <w:rFonts w:hint="eastAsia"/>
                <w:color w:val="auto"/>
                <w:sz w:val="21"/>
                <w:highlight w:val="none"/>
              </w:rPr>
              <w:t>0</w:t>
            </w:r>
          </w:p>
        </w:tc>
        <w:tc>
          <w:tcPr>
            <w:tcW w:w="2493" w:type="dxa"/>
            <w:shd w:val="clear" w:color="auto" w:fill="auto"/>
            <w:vAlign w:val="top"/>
          </w:tcPr>
          <w:p>
            <w:pPr>
              <w:pStyle w:val="0"/>
              <w:ind w:right="-110" w:rightChars="-50" w:firstLine="210" w:firstLineChars="100"/>
              <w:rPr>
                <w:rFonts w:hint="default"/>
                <w:color w:val="auto"/>
                <w:sz w:val="21"/>
                <w:highlight w:val="none"/>
              </w:rPr>
            </w:pPr>
            <w:r>
              <w:rPr>
                <w:rFonts w:hint="eastAsia"/>
                <w:color w:val="auto"/>
                <w:sz w:val="21"/>
                <w:highlight w:val="none"/>
              </w:rPr>
              <w:t>サ高住</w:t>
            </w:r>
          </w:p>
        </w:tc>
        <w:tc>
          <w:tcPr>
            <w:tcW w:w="567" w:type="dxa"/>
            <w:shd w:val="clear" w:color="auto" w:fill="auto"/>
            <w:vAlign w:val="top"/>
          </w:tcPr>
          <w:p>
            <w:pPr>
              <w:pStyle w:val="0"/>
              <w:jc w:val="right"/>
              <w:rPr>
                <w:rFonts w:hint="default"/>
                <w:color w:val="auto"/>
                <w:sz w:val="21"/>
                <w:highlight w:val="none"/>
              </w:rPr>
            </w:pPr>
            <w:r>
              <w:rPr>
                <w:rFonts w:hint="eastAsia"/>
                <w:color w:val="auto"/>
                <w:sz w:val="21"/>
                <w:highlight w:val="none"/>
              </w:rPr>
              <w:t>3</w:t>
            </w:r>
          </w:p>
        </w:tc>
      </w:tr>
      <w:tr>
        <w:trPr/>
        <w:tc>
          <w:tcPr>
            <w:tcW w:w="2410" w:type="dxa"/>
            <w:vAlign w:val="top"/>
          </w:tcPr>
          <w:p>
            <w:pPr>
              <w:pStyle w:val="0"/>
              <w:ind w:left="220" w:leftChars="100"/>
              <w:rPr>
                <w:rFonts w:hint="default"/>
                <w:color w:val="auto"/>
                <w:sz w:val="21"/>
                <w:highlight w:val="none"/>
              </w:rPr>
            </w:pPr>
            <w:r>
              <w:rPr>
                <w:rFonts w:hint="eastAsia"/>
                <w:color w:val="auto"/>
                <w:sz w:val="21"/>
                <w:highlight w:val="none"/>
              </w:rPr>
              <w:t>ショートステイ</w:t>
            </w:r>
          </w:p>
        </w:tc>
        <w:tc>
          <w:tcPr>
            <w:tcW w:w="525" w:type="dxa"/>
            <w:vAlign w:val="top"/>
          </w:tcPr>
          <w:p>
            <w:pPr>
              <w:pStyle w:val="0"/>
              <w:jc w:val="right"/>
              <w:rPr>
                <w:rFonts w:hint="default"/>
                <w:color w:val="auto"/>
                <w:sz w:val="21"/>
                <w:highlight w:val="none"/>
              </w:rPr>
            </w:pPr>
            <w:r>
              <w:rPr>
                <w:rFonts w:hint="eastAsia"/>
                <w:color w:val="auto"/>
                <w:sz w:val="21"/>
                <w:highlight w:val="none"/>
              </w:rPr>
              <w:t>3</w:t>
            </w:r>
          </w:p>
        </w:tc>
        <w:tc>
          <w:tcPr>
            <w:tcW w:w="2625" w:type="dxa"/>
            <w:vAlign w:val="top"/>
          </w:tcPr>
          <w:p>
            <w:pPr>
              <w:pStyle w:val="0"/>
              <w:ind w:left="220" w:leftChars="100"/>
              <w:rPr>
                <w:rFonts w:hint="default"/>
                <w:color w:val="auto"/>
                <w:sz w:val="21"/>
                <w:highlight w:val="none"/>
              </w:rPr>
            </w:pPr>
            <w:r>
              <w:rPr>
                <w:rFonts w:hint="eastAsia"/>
                <w:color w:val="auto"/>
                <w:sz w:val="21"/>
                <w:highlight w:val="none"/>
              </w:rPr>
              <w:t>地域密着型特定入居</w:t>
            </w:r>
          </w:p>
        </w:tc>
        <w:tc>
          <w:tcPr>
            <w:tcW w:w="560" w:type="dxa"/>
            <w:vAlign w:val="top"/>
          </w:tcPr>
          <w:p>
            <w:pPr>
              <w:pStyle w:val="0"/>
              <w:jc w:val="right"/>
              <w:rPr>
                <w:rFonts w:hint="default"/>
                <w:color w:val="auto"/>
                <w:sz w:val="21"/>
                <w:highlight w:val="none"/>
              </w:rPr>
            </w:pPr>
            <w:r>
              <w:rPr>
                <w:rFonts w:hint="eastAsia"/>
                <w:color w:val="auto"/>
                <w:sz w:val="21"/>
                <w:highlight w:val="none"/>
              </w:rPr>
              <w:t>0</w:t>
            </w:r>
          </w:p>
        </w:tc>
        <w:tc>
          <w:tcPr>
            <w:tcW w:w="2493" w:type="dxa"/>
            <w:shd w:val="clear" w:color="auto" w:fill="auto"/>
            <w:vAlign w:val="top"/>
          </w:tcPr>
          <w:p>
            <w:pPr>
              <w:pStyle w:val="0"/>
              <w:ind w:right="-110" w:rightChars="-50" w:firstLine="210" w:firstLineChars="100"/>
              <w:rPr>
                <w:rFonts w:hint="default"/>
                <w:color w:val="auto"/>
                <w:sz w:val="21"/>
                <w:highlight w:val="none"/>
              </w:rPr>
            </w:pPr>
            <w:r>
              <w:rPr>
                <w:rFonts w:hint="eastAsia"/>
                <w:color w:val="auto"/>
                <w:sz w:val="21"/>
                <w:highlight w:val="none"/>
              </w:rPr>
              <w:t>有料老人ホーム</w:t>
            </w:r>
          </w:p>
        </w:tc>
        <w:tc>
          <w:tcPr>
            <w:tcW w:w="567" w:type="dxa"/>
            <w:shd w:val="clear" w:color="auto" w:fill="auto"/>
            <w:vAlign w:val="top"/>
          </w:tcPr>
          <w:p>
            <w:pPr>
              <w:pStyle w:val="0"/>
              <w:rPr>
                <w:rFonts w:hint="default"/>
                <w:color w:val="auto"/>
                <w:sz w:val="21"/>
                <w:highlight w:val="none"/>
              </w:rPr>
            </w:pPr>
          </w:p>
        </w:tc>
      </w:tr>
      <w:tr>
        <w:trPr/>
        <w:tc>
          <w:tcPr>
            <w:tcW w:w="2410" w:type="dxa"/>
            <w:vAlign w:val="top"/>
          </w:tcPr>
          <w:p>
            <w:pPr>
              <w:pStyle w:val="0"/>
              <w:ind w:left="220" w:leftChars="100"/>
              <w:rPr>
                <w:rFonts w:hint="default"/>
                <w:color w:val="auto"/>
                <w:sz w:val="21"/>
                <w:highlight w:val="none"/>
              </w:rPr>
            </w:pPr>
            <w:r>
              <w:rPr>
                <w:rFonts w:hint="eastAsia"/>
                <w:color w:val="auto"/>
                <w:sz w:val="21"/>
                <w:highlight w:val="none"/>
              </w:rPr>
              <w:t>特定入居</w:t>
            </w:r>
            <w:r>
              <w:rPr>
                <w:rFonts w:hint="eastAsia"/>
                <w:color w:val="auto"/>
                <w:sz w:val="21"/>
                <w:highlight w:val="none"/>
              </w:rPr>
              <w:t>(</w:t>
            </w:r>
            <w:r>
              <w:rPr>
                <w:rFonts w:hint="eastAsia"/>
                <w:color w:val="auto"/>
                <w:sz w:val="21"/>
                <w:highlight w:val="none"/>
              </w:rPr>
              <w:t>生・療</w:t>
            </w:r>
            <w:r>
              <w:rPr>
                <w:rFonts w:hint="eastAsia"/>
                <w:color w:val="auto"/>
                <w:sz w:val="21"/>
                <w:highlight w:val="none"/>
              </w:rPr>
              <w:t>)</w:t>
            </w:r>
          </w:p>
        </w:tc>
        <w:tc>
          <w:tcPr>
            <w:tcW w:w="525" w:type="dxa"/>
            <w:vAlign w:val="top"/>
          </w:tcPr>
          <w:p>
            <w:pPr>
              <w:pStyle w:val="0"/>
              <w:jc w:val="right"/>
              <w:rPr>
                <w:rFonts w:hint="default"/>
                <w:color w:val="auto"/>
                <w:sz w:val="21"/>
                <w:highlight w:val="none"/>
              </w:rPr>
            </w:pPr>
            <w:r>
              <w:rPr>
                <w:rFonts w:hint="eastAsia"/>
                <w:color w:val="auto"/>
                <w:sz w:val="21"/>
                <w:highlight w:val="none"/>
              </w:rPr>
              <w:t>1</w:t>
            </w:r>
          </w:p>
        </w:tc>
        <w:tc>
          <w:tcPr>
            <w:tcW w:w="2625" w:type="dxa"/>
            <w:vAlign w:val="top"/>
          </w:tcPr>
          <w:p>
            <w:pPr>
              <w:pStyle w:val="0"/>
              <w:ind w:left="220" w:leftChars="100"/>
              <w:rPr>
                <w:rFonts w:hint="default"/>
                <w:color w:val="auto"/>
                <w:sz w:val="21"/>
                <w:highlight w:val="none"/>
              </w:rPr>
            </w:pPr>
          </w:p>
        </w:tc>
        <w:tc>
          <w:tcPr>
            <w:tcW w:w="560" w:type="dxa"/>
            <w:vAlign w:val="top"/>
          </w:tcPr>
          <w:p>
            <w:pPr>
              <w:pStyle w:val="0"/>
              <w:jc w:val="center"/>
              <w:rPr>
                <w:rFonts w:hint="default"/>
                <w:color w:val="auto"/>
                <w:sz w:val="21"/>
                <w:highlight w:val="none"/>
              </w:rPr>
            </w:pPr>
          </w:p>
        </w:tc>
        <w:tc>
          <w:tcPr>
            <w:tcW w:w="2493" w:type="dxa"/>
            <w:shd w:val="clear" w:color="auto" w:fill="auto"/>
            <w:vAlign w:val="top"/>
          </w:tcPr>
          <w:p>
            <w:pPr>
              <w:pStyle w:val="0"/>
              <w:ind w:right="-110" w:rightChars="-50" w:firstLine="210" w:firstLineChars="100"/>
              <w:rPr>
                <w:rFonts w:hint="default"/>
                <w:color w:val="auto"/>
                <w:sz w:val="21"/>
                <w:highlight w:val="none"/>
              </w:rPr>
            </w:pPr>
          </w:p>
        </w:tc>
        <w:tc>
          <w:tcPr>
            <w:tcW w:w="567" w:type="dxa"/>
            <w:shd w:val="clear" w:color="auto" w:fill="auto"/>
            <w:vAlign w:val="top"/>
          </w:tcPr>
          <w:p>
            <w:pPr>
              <w:pStyle w:val="0"/>
              <w:rPr>
                <w:rFonts w:hint="default"/>
                <w:color w:val="auto"/>
                <w:sz w:val="21"/>
                <w:highlight w:val="none"/>
              </w:rPr>
            </w:pPr>
          </w:p>
        </w:tc>
      </w:tr>
    </w:tbl>
    <w:p>
      <w:pPr>
        <w:pStyle w:val="0"/>
        <w:spacing w:line="120" w:lineRule="exact"/>
        <w:rPr>
          <w:rFonts w:hint="default" w:ascii="BIZ UDPゴシック" w:hAnsi="BIZ UDPゴシック" w:eastAsia="BIZ UDPゴシック"/>
          <w:color w:val="auto"/>
          <w:highlight w:val="none"/>
        </w:rPr>
      </w:pPr>
      <w:r>
        <w:rPr>
          <w:rFonts w:hint="default" w:ascii="BIZ UDPゴシック" w:hAnsi="BIZ UDPゴシック" w:eastAsia="BIZ UDPゴシック"/>
          <w:color w:val="auto"/>
          <w:highlight w:val="none"/>
        </w:rPr>
        <w:br w:type="page"/>
      </w:r>
    </w:p>
    <w:p>
      <w:pPr>
        <w:pStyle w:val="0"/>
        <w:jc w:val="center"/>
        <w:rPr>
          <w:rFonts w:hint="default" w:ascii="BIZ UDPゴシック" w:hAnsi="BIZ UDPゴシック" w:eastAsia="BIZ UDPゴシック"/>
          <w:color w:val="auto"/>
          <w:highlight w:val="none"/>
        </w:rPr>
      </w:pPr>
      <w:r>
        <w:rPr>
          <w:rFonts w:hint="default"/>
          <w:color w:val="auto"/>
          <w:highlight w:val="none"/>
        </w:rPr>
        <w:drawing>
          <wp:anchor distT="0" distB="0" distL="114300" distR="114300" simplePos="0" relativeHeight="149" behindDoc="0" locked="0" layoutInCell="1" hidden="0" allowOverlap="1">
            <wp:simplePos x="0" y="0"/>
            <wp:positionH relativeFrom="column">
              <wp:posOffset>374650</wp:posOffset>
            </wp:positionH>
            <wp:positionV relativeFrom="paragraph">
              <wp:posOffset>236855</wp:posOffset>
            </wp:positionV>
            <wp:extent cx="5543550" cy="2400300"/>
            <wp:effectExtent l="0" t="0" r="0" b="0"/>
            <wp:wrapNone/>
            <wp:docPr id="1085" name="Picture 7"/>
            <a:graphic xmlns:a="http://schemas.openxmlformats.org/drawingml/2006/main">
              <a:graphicData uri="http://schemas.openxmlformats.org/drawingml/2006/picture">
                <pic:pic xmlns:pic="http://schemas.openxmlformats.org/drawingml/2006/picture">
                  <pic:nvPicPr>
                    <pic:cNvPr id="1085" name="Picture 7"/>
                    <pic:cNvPicPr>
                      <a:picLocks noChangeAspect="1" noChangeArrowheads="1"/>
                    </pic:cNvPicPr>
                  </pic:nvPicPr>
                  <pic:blipFill>
                    <a:blip r:embed="rId29"/>
                    <a:stretch>
                      <a:fillRect/>
                    </a:stretch>
                  </pic:blipFill>
                  <pic:spPr>
                    <a:xfrm>
                      <a:off x="0" y="0"/>
                      <a:ext cx="5543550" cy="2400300"/>
                    </a:xfrm>
                    <a:prstGeom prst="rect">
                      <a:avLst/>
                    </a:prstGeom>
                    <a:noFill/>
                    <a:ln>
                      <a:noFill/>
                    </a:ln>
                  </pic:spPr>
                </pic:pic>
              </a:graphicData>
            </a:graphic>
          </wp:anchor>
        </w:drawing>
      </w:r>
      <w:r>
        <w:rPr>
          <w:rFonts w:hint="eastAsia" w:ascii="BIZ UDPゴシック" w:hAnsi="BIZ UDPゴシック" w:eastAsia="BIZ UDPゴシック"/>
          <w:color w:val="auto"/>
          <w:highlight w:val="none"/>
        </w:rPr>
        <w:t>〔図　廿日市中部圏域の人口の推計〕</w:t>
      </w: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jc w:val="right"/>
        <w:rPr>
          <w:rFonts w:hint="default" w:ascii="BIZ UDPゴシック" w:hAnsi="BIZ UDPゴシック" w:eastAsia="BIZ UDPゴシック"/>
          <w:color w:val="auto"/>
          <w:sz w:val="20"/>
          <w:highlight w:val="none"/>
        </w:rPr>
      </w:pPr>
      <w:r>
        <w:rPr>
          <w:rFonts w:hint="eastAsia" w:ascii="BIZ UDPゴシック" w:hAnsi="BIZ UDPゴシック" w:eastAsia="BIZ UDPゴシック"/>
          <w:color w:val="auto"/>
          <w:sz w:val="20"/>
          <w:highlight w:val="none"/>
        </w:rPr>
        <w:t>資料：住民基本台帳人口及び推計値</w:t>
      </w:r>
    </w:p>
    <w:p>
      <w:pPr>
        <w:pStyle w:val="0"/>
        <w:rPr>
          <w:rFonts w:hint="default" w:ascii="BIZ UDPゴシック" w:hAnsi="BIZ UDPゴシック" w:eastAsia="BIZ UDPゴシック"/>
          <w:color w:val="auto"/>
          <w:highlight w:val="none"/>
        </w:rPr>
      </w:pPr>
    </w:p>
    <w:p>
      <w:pPr>
        <w:pStyle w:val="0"/>
        <w:spacing w:line="240" w:lineRule="exact"/>
        <w:jc w:val="center"/>
        <w:rPr>
          <w:rFonts w:hint="default"/>
          <w:color w:val="auto"/>
          <w:highlight w:val="none"/>
        </w:rPr>
      </w:pPr>
      <w:r>
        <w:rPr>
          <w:rFonts w:hint="eastAsia" w:ascii="BIZ UDPゴシック" w:hAnsi="BIZ UDPゴシック" w:eastAsia="BIZ UDPゴシック"/>
          <w:color w:val="auto"/>
          <w:highlight w:val="none"/>
        </w:rPr>
        <w:t>〔廿日市中部圏域の要支援・要介護認定者数（第</w:t>
      </w:r>
      <w:r>
        <w:rPr>
          <w:rFonts w:hint="eastAsia" w:ascii="BIZ UDPゴシック" w:hAnsi="BIZ UDPゴシック" w:eastAsia="BIZ UDPゴシック"/>
          <w:color w:val="auto"/>
          <w:highlight w:val="none"/>
        </w:rPr>
        <w:t>1</w:t>
      </w:r>
      <w:r>
        <w:rPr>
          <w:rFonts w:hint="eastAsia" w:ascii="BIZ UDPゴシック" w:hAnsi="BIZ UDPゴシック" w:eastAsia="BIZ UDPゴシック"/>
          <w:color w:val="auto"/>
          <w:highlight w:val="none"/>
        </w:rPr>
        <w:t>号被保険者）の推計〕</w:t>
      </w:r>
    </w:p>
    <w:p>
      <w:pPr>
        <w:pStyle w:val="0"/>
        <w:rPr>
          <w:rFonts w:hint="default" w:ascii="BIZ UDPゴシック" w:hAnsi="BIZ UDPゴシック" w:eastAsia="BIZ UDPゴシック"/>
          <w:color w:val="auto"/>
          <w:highlight w:val="none"/>
        </w:rPr>
      </w:pPr>
      <w:r>
        <w:rPr>
          <w:rFonts w:hint="default"/>
          <w:color w:val="auto"/>
          <w:highlight w:val="none"/>
        </w:rPr>
        <w:drawing>
          <wp:anchor distT="0" distB="0" distL="114300" distR="114300" simplePos="0" relativeHeight="156" behindDoc="0" locked="0" layoutInCell="1" hidden="0" allowOverlap="1">
            <wp:simplePos x="0" y="0"/>
            <wp:positionH relativeFrom="column">
              <wp:posOffset>1404620</wp:posOffset>
            </wp:positionH>
            <wp:positionV relativeFrom="paragraph">
              <wp:posOffset>90805</wp:posOffset>
            </wp:positionV>
            <wp:extent cx="3686175" cy="2057400"/>
            <wp:effectExtent l="0" t="0" r="0" b="0"/>
            <wp:wrapNone/>
            <wp:docPr id="1086" name="Picture 2"/>
            <a:graphic xmlns:a="http://schemas.openxmlformats.org/drawingml/2006/main">
              <a:graphicData uri="http://schemas.openxmlformats.org/drawingml/2006/picture">
                <pic:pic xmlns:pic="http://schemas.openxmlformats.org/drawingml/2006/picture">
                  <pic:nvPicPr>
                    <pic:cNvPr id="1086" name="Picture 2"/>
                    <pic:cNvPicPr>
                      <a:picLocks noChangeAspect="1" noChangeArrowheads="1"/>
                    </pic:cNvPicPr>
                  </pic:nvPicPr>
                  <pic:blipFill>
                    <a:blip r:embed="rId30"/>
                    <a:stretch>
                      <a:fillRect/>
                    </a:stretch>
                  </pic:blipFill>
                  <pic:spPr>
                    <a:xfrm>
                      <a:off x="0" y="0"/>
                      <a:ext cx="3686175" cy="2057400"/>
                    </a:xfrm>
                    <a:prstGeom prst="rect">
                      <a:avLst/>
                    </a:prstGeom>
                    <a:noFill/>
                    <a:ln>
                      <a:noFill/>
                    </a:ln>
                  </pic:spPr>
                </pic:pic>
              </a:graphicData>
            </a:graphic>
          </wp:anchor>
        </w:drawing>
      </w: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〔地域の特徴〕</w:t>
      </w:r>
    </w:p>
    <w:p>
      <w:pPr>
        <w:pStyle w:val="34"/>
        <w:numPr>
          <w:ilvl w:val="0"/>
          <w:numId w:val="2"/>
        </w:numPr>
        <w:spacing w:before="185" w:beforeLines="50" w:beforeAutospacing="0"/>
        <w:ind w:left="652" w:leftChars="0" w:hanging="442"/>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７圏域の中で３番目に人口が多く、高齢化率も３番目に低くなっています。</w:t>
      </w:r>
    </w:p>
    <w:p>
      <w:pPr>
        <w:pStyle w:val="34"/>
        <w:numPr>
          <w:ilvl w:val="0"/>
          <w:numId w:val="2"/>
        </w:numPr>
        <w:ind w:left="650" w:leftChars="0" w:hanging="44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今後、総人口は減少しますが、高齢者数は令和</w:t>
      </w:r>
      <w:r>
        <w:rPr>
          <w:rFonts w:hint="eastAsia" w:ascii="BIZ UDPゴシック" w:hAnsi="BIZ UDPゴシック" w:eastAsia="BIZ UDPゴシック"/>
          <w:color w:val="auto"/>
          <w:highlight w:val="none"/>
        </w:rPr>
        <w:t>12</w:t>
      </w:r>
      <w:r>
        <w:rPr>
          <w:rFonts w:hint="eastAsia" w:ascii="BIZ UDPゴシック" w:hAnsi="BIZ UDPゴシック" w:eastAsia="BIZ UDPゴシック"/>
          <w:color w:val="auto"/>
          <w:highlight w:val="none"/>
        </w:rPr>
        <w:t>（</w:t>
      </w:r>
      <w:r>
        <w:rPr>
          <w:rFonts w:hint="eastAsia" w:ascii="BIZ UDPゴシック" w:hAnsi="BIZ UDPゴシック" w:eastAsia="BIZ UDPゴシック"/>
          <w:color w:val="auto"/>
          <w:highlight w:val="none"/>
        </w:rPr>
        <w:t>2030</w:t>
      </w:r>
      <w:r>
        <w:rPr>
          <w:rFonts w:hint="eastAsia" w:ascii="BIZ UDPゴシック" w:hAnsi="BIZ UDPゴシック" w:eastAsia="BIZ UDPゴシック"/>
          <w:color w:val="auto"/>
          <w:highlight w:val="none"/>
        </w:rPr>
        <w:t>）年まで、後期高齢者数は令和</w:t>
      </w:r>
      <w:r>
        <w:rPr>
          <w:rFonts w:hint="eastAsia" w:ascii="BIZ UDPゴシック" w:hAnsi="BIZ UDPゴシック" w:eastAsia="BIZ UDPゴシック"/>
          <w:color w:val="auto"/>
          <w:highlight w:val="none"/>
        </w:rPr>
        <w:t>18</w:t>
      </w:r>
      <w:r>
        <w:rPr>
          <w:rFonts w:hint="eastAsia" w:ascii="BIZ UDPゴシック" w:hAnsi="BIZ UDPゴシック" w:eastAsia="BIZ UDPゴシック"/>
          <w:color w:val="auto"/>
          <w:highlight w:val="none"/>
        </w:rPr>
        <w:t>（</w:t>
      </w:r>
      <w:r>
        <w:rPr>
          <w:rFonts w:hint="eastAsia" w:ascii="BIZ UDPゴシック" w:hAnsi="BIZ UDPゴシック" w:eastAsia="BIZ UDPゴシック"/>
          <w:color w:val="auto"/>
          <w:highlight w:val="none"/>
        </w:rPr>
        <w:t>2036</w:t>
      </w:r>
      <w:r>
        <w:rPr>
          <w:rFonts w:hint="eastAsia" w:ascii="BIZ UDPゴシック" w:hAnsi="BIZ UDPゴシック" w:eastAsia="BIZ UDPゴシック"/>
          <w:color w:val="auto"/>
          <w:highlight w:val="none"/>
        </w:rPr>
        <w:t>）年まで、</w:t>
      </w:r>
      <w:r>
        <w:rPr>
          <w:rFonts w:hint="eastAsia" w:ascii="BIZ UDPゴシック" w:hAnsi="BIZ UDPゴシック" w:eastAsia="BIZ UDPゴシック"/>
          <w:color w:val="auto"/>
          <w:highlight w:val="none"/>
        </w:rPr>
        <w:t>85</w:t>
      </w:r>
      <w:r>
        <w:rPr>
          <w:rFonts w:hint="eastAsia" w:ascii="BIZ UDPゴシック" w:hAnsi="BIZ UDPゴシック" w:eastAsia="BIZ UDPゴシック"/>
          <w:color w:val="auto"/>
          <w:highlight w:val="none"/>
        </w:rPr>
        <w:t>歳以上の高齢者数は令和</w:t>
      </w:r>
      <w:r>
        <w:rPr>
          <w:rFonts w:hint="eastAsia" w:ascii="BIZ UDPゴシック" w:hAnsi="BIZ UDPゴシック" w:eastAsia="BIZ UDPゴシック"/>
          <w:color w:val="auto"/>
          <w:highlight w:val="none"/>
        </w:rPr>
        <w:t>22</w:t>
      </w:r>
      <w:r>
        <w:rPr>
          <w:rFonts w:hint="eastAsia" w:ascii="BIZ UDPゴシック" w:hAnsi="BIZ UDPゴシック" w:eastAsia="BIZ UDPゴシック"/>
          <w:color w:val="auto"/>
          <w:highlight w:val="none"/>
        </w:rPr>
        <w:t>（</w:t>
      </w:r>
      <w:r>
        <w:rPr>
          <w:rFonts w:hint="eastAsia" w:ascii="BIZ UDPゴシック" w:hAnsi="BIZ UDPゴシック" w:eastAsia="BIZ UDPゴシック"/>
          <w:color w:val="auto"/>
          <w:highlight w:val="none"/>
        </w:rPr>
        <w:t>2040</w:t>
      </w:r>
      <w:r>
        <w:rPr>
          <w:rFonts w:hint="eastAsia" w:ascii="BIZ UDPゴシック" w:hAnsi="BIZ UDPゴシック" w:eastAsia="BIZ UDPゴシック"/>
          <w:color w:val="auto"/>
          <w:highlight w:val="none"/>
        </w:rPr>
        <w:t>）年以降も増加し、特に</w:t>
      </w:r>
      <w:r>
        <w:rPr>
          <w:rFonts w:hint="eastAsia" w:ascii="BIZ UDPゴシック" w:hAnsi="BIZ UDPゴシック" w:eastAsia="BIZ UDPゴシック"/>
          <w:color w:val="auto"/>
          <w:highlight w:val="none"/>
        </w:rPr>
        <w:t>85</w:t>
      </w:r>
      <w:r>
        <w:rPr>
          <w:rFonts w:hint="eastAsia" w:ascii="BIZ UDPゴシック" w:hAnsi="BIZ UDPゴシック" w:eastAsia="BIZ UDPゴシック"/>
          <w:color w:val="auto"/>
          <w:highlight w:val="none"/>
        </w:rPr>
        <w:t>歳以上の高齢者の伸びが大きくなることが見込まれます。</w:t>
      </w:r>
    </w:p>
    <w:p>
      <w:pPr>
        <w:pStyle w:val="34"/>
        <w:numPr>
          <w:ilvl w:val="0"/>
          <w:numId w:val="2"/>
        </w:numPr>
        <w:ind w:left="650" w:leftChars="0" w:hanging="44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要支援・要介護認定率は７圏域の中で最も低くなっていますが、今後</w:t>
      </w:r>
      <w:r>
        <w:rPr>
          <w:rFonts w:hint="default" w:ascii="BIZ UDPゴシック" w:hAnsi="BIZ UDPゴシック" w:eastAsia="BIZ UDPゴシック"/>
          <w:color w:val="auto"/>
          <w:highlight w:val="none"/>
        </w:rPr>
        <w:t>85</w:t>
      </w:r>
      <w:r>
        <w:rPr>
          <w:rFonts w:hint="default" w:ascii="BIZ UDPゴシック" w:hAnsi="BIZ UDPゴシック" w:eastAsia="BIZ UDPゴシック"/>
          <w:color w:val="auto"/>
          <w:highlight w:val="none"/>
        </w:rPr>
        <w:t>歳以上の高齢者数</w:t>
      </w:r>
      <w:r>
        <w:rPr>
          <w:rFonts w:hint="eastAsia" w:ascii="BIZ UDPゴシック" w:hAnsi="BIZ UDPゴシック" w:eastAsia="BIZ UDPゴシック"/>
          <w:color w:val="auto"/>
          <w:highlight w:val="none"/>
        </w:rPr>
        <w:t>の増加に伴い、認定者数は大きく増加し、認定率も上昇すると見込まれます。</w:t>
      </w:r>
    </w:p>
    <w:p>
      <w:pPr>
        <w:pStyle w:val="34"/>
        <w:numPr>
          <w:ilvl w:val="0"/>
          <w:numId w:val="2"/>
        </w:numPr>
        <w:ind w:left="650" w:leftChars="0" w:hanging="44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医療機関や介護保険サービスが充実している地域です。</w:t>
      </w:r>
    </w:p>
    <w:p>
      <w:pPr>
        <w:pStyle w:val="34"/>
        <w:numPr>
          <w:ilvl w:val="0"/>
          <w:numId w:val="2"/>
        </w:numPr>
        <w:ind w:left="650" w:leftChars="0" w:hanging="44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ニーズ調査の結果では、「ひとり暮らし」、「いきいき百歳体操を知っている」の割合は低く、「沿岸部の中では持ち家に住んでいる」、「地域活動でスポーツ関係の活動に週１回以上参加している」の割合が高くなっています。</w:t>
      </w:r>
    </w:p>
    <w:p>
      <w:pPr>
        <w:pStyle w:val="0"/>
        <w:widowControl w:val="1"/>
        <w:spacing w:line="380" w:lineRule="exact"/>
        <w:jc w:val="left"/>
        <w:rPr>
          <w:rFonts w:hint="default"/>
          <w:color w:val="auto"/>
          <w:highlight w:val="none"/>
        </w:rPr>
      </w:pPr>
      <w:r>
        <w:rPr>
          <w:rFonts w:hint="default"/>
          <w:color w:val="auto"/>
          <w:highlight w:val="none"/>
        </w:rPr>
        <w:br w:type="page"/>
      </w:r>
    </w:p>
    <w:p>
      <w:pPr>
        <w:pStyle w:val="0"/>
        <w:tabs>
          <w:tab w:val="left" w:leader="none" w:pos="3255"/>
        </w:tabs>
        <w:spacing w:before="111" w:beforeLines="30" w:beforeAutospacing="0"/>
        <w:jc w:val="center"/>
        <w:rPr>
          <w:rFonts w:hint="default" w:ascii="BIZ UDPゴシック" w:hAnsi="BIZ UDPゴシック" w:eastAsia="BIZ UDPゴシック"/>
          <w:color w:val="auto"/>
          <w:sz w:val="28"/>
          <w:highlight w:val="none"/>
        </w:rPr>
      </w:pPr>
      <w:r>
        <w:rPr>
          <w:rFonts w:hint="eastAsia" w:ascii="BIZ UDPゴシック" w:hAnsi="BIZ UDPゴシック" w:eastAsia="BIZ UDPゴシック"/>
          <w:color w:val="auto"/>
          <w:sz w:val="28"/>
          <w:highlight w:val="none"/>
        </w:rPr>
        <w:t>≪廿日市西部圏域≫</w:t>
      </w:r>
    </w:p>
    <w:tbl>
      <w:tblPr>
        <w:tblStyle w:val="81"/>
        <w:tblW w:w="9302" w:type="dxa"/>
        <w:jc w:val="center"/>
        <w:tblInd w:w="0" w:type="dxa"/>
        <w:tblLayout w:type="fixed"/>
        <w:tblLook w:firstRow="1" w:lastRow="0" w:firstColumn="1" w:lastColumn="0" w:noHBand="0" w:noVBand="1" w:val="04A0"/>
      </w:tblPr>
      <w:tblGrid>
        <w:gridCol w:w="1860"/>
        <w:gridCol w:w="1860"/>
        <w:gridCol w:w="1861"/>
        <w:gridCol w:w="1860"/>
        <w:gridCol w:w="1861"/>
      </w:tblGrid>
      <w:tr>
        <w:trPr>
          <w:trHeight w:val="1191" w:hRule="atLeast"/>
        </w:trPr>
        <w:tc>
          <w:tcPr>
            <w:tcW w:w="1860" w:type="dxa"/>
            <w:shd w:val="clear" w:color="auto" w:themeFill="accent5" w:themeFillTint="66" w:themeFillShade="FF"/>
            <w:vAlign w:val="center"/>
          </w:tcPr>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総人口</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8"/>
                <w:highlight w:val="none"/>
              </w:rPr>
              <w:t>（Ｒ</w:t>
            </w:r>
            <w:r>
              <w:rPr>
                <w:rFonts w:hint="eastAsia" w:ascii="BIZ UDPゴシック" w:hAnsi="BIZ UDPゴシック" w:eastAsia="BIZ UDPゴシック"/>
                <w:color w:val="auto"/>
                <w:sz w:val="18"/>
                <w:highlight w:val="none"/>
              </w:rPr>
              <w:t>5.9</w:t>
            </w:r>
            <w:r>
              <w:rPr>
                <w:rFonts w:hint="eastAsia" w:ascii="BIZ UDPゴシック" w:hAnsi="BIZ UDPゴシック" w:eastAsia="BIZ UDPゴシック"/>
                <w:color w:val="auto"/>
                <w:sz w:val="18"/>
                <w:highlight w:val="none"/>
              </w:rPr>
              <w:t>月末現在）</w:t>
            </w:r>
          </w:p>
        </w:tc>
        <w:tc>
          <w:tcPr>
            <w:tcW w:w="1860" w:type="dxa"/>
            <w:shd w:val="clear" w:color="auto" w:themeFill="accent5" w:themeFillTint="66" w:themeFillShade="FF"/>
            <w:vAlign w:val="center"/>
          </w:tcPr>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高齢者数</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高齢化率</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6"/>
                <w:highlight w:val="none"/>
              </w:rPr>
              <w:t>（Ｒ</w:t>
            </w:r>
            <w:r>
              <w:rPr>
                <w:rFonts w:hint="eastAsia" w:ascii="BIZ UDPゴシック" w:hAnsi="BIZ UDPゴシック" w:eastAsia="BIZ UDPゴシック"/>
                <w:color w:val="auto"/>
                <w:sz w:val="16"/>
                <w:highlight w:val="none"/>
              </w:rPr>
              <w:t>5.9</w:t>
            </w:r>
            <w:r>
              <w:rPr>
                <w:rFonts w:hint="eastAsia" w:ascii="BIZ UDPゴシック" w:hAnsi="BIZ UDPゴシック" w:eastAsia="BIZ UDPゴシック"/>
                <w:color w:val="auto"/>
                <w:sz w:val="16"/>
                <w:highlight w:val="none"/>
              </w:rPr>
              <w:t>月末現在）</w:t>
            </w:r>
          </w:p>
        </w:tc>
        <w:tc>
          <w:tcPr>
            <w:tcW w:w="1861" w:type="dxa"/>
            <w:shd w:val="clear" w:color="auto" w:themeFill="accent5" w:themeFillTint="66" w:themeFillShade="FF"/>
            <w:vAlign w:val="center"/>
          </w:tcPr>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後期高齢者数</w:t>
            </w:r>
          </w:p>
          <w:p>
            <w:pPr>
              <w:pStyle w:val="0"/>
              <w:ind w:left="-110" w:leftChars="-50" w:right="-110" w:rightChars="-50"/>
              <w:jc w:val="center"/>
              <w:rPr>
                <w:rFonts w:hint="default" w:ascii="BIZ UDPゴシック" w:hAnsi="BIZ UDPゴシック" w:eastAsia="BIZ UDPゴシック"/>
                <w:color w:val="auto"/>
                <w:sz w:val="20"/>
                <w:highlight w:val="none"/>
              </w:rPr>
            </w:pPr>
            <w:r>
              <w:rPr>
                <w:rFonts w:hint="eastAsia" w:ascii="BIZ UDPゴシック" w:hAnsi="BIZ UDPゴシック" w:eastAsia="BIZ UDPゴシック"/>
                <w:color w:val="auto"/>
                <w:sz w:val="20"/>
                <w:highlight w:val="none"/>
              </w:rPr>
              <w:t>後期高齢者数割合</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6"/>
                <w:highlight w:val="none"/>
              </w:rPr>
              <w:t>（Ｒ</w:t>
            </w:r>
            <w:r>
              <w:rPr>
                <w:rFonts w:hint="eastAsia" w:ascii="BIZ UDPゴシック" w:hAnsi="BIZ UDPゴシック" w:eastAsia="BIZ UDPゴシック"/>
                <w:color w:val="auto"/>
                <w:sz w:val="16"/>
                <w:highlight w:val="none"/>
              </w:rPr>
              <w:t>5.9</w:t>
            </w:r>
            <w:r>
              <w:rPr>
                <w:rFonts w:hint="eastAsia" w:ascii="BIZ UDPゴシック" w:hAnsi="BIZ UDPゴシック" w:eastAsia="BIZ UDPゴシック"/>
                <w:color w:val="auto"/>
                <w:sz w:val="16"/>
                <w:highlight w:val="none"/>
              </w:rPr>
              <w:t>月末現在）</w:t>
            </w:r>
          </w:p>
        </w:tc>
        <w:tc>
          <w:tcPr>
            <w:tcW w:w="1860" w:type="dxa"/>
            <w:shd w:val="clear" w:color="auto" w:themeFill="accent5" w:themeFillTint="66" w:themeFillShade="FF"/>
            <w:vAlign w:val="center"/>
          </w:tcPr>
          <w:p>
            <w:pPr>
              <w:pStyle w:val="0"/>
              <w:spacing w:line="220" w:lineRule="exact"/>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要支援・要介護</w:t>
            </w:r>
          </w:p>
          <w:p>
            <w:pPr>
              <w:pStyle w:val="0"/>
              <w:spacing w:line="220" w:lineRule="exact"/>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認定者数</w:t>
            </w:r>
          </w:p>
          <w:p>
            <w:pPr>
              <w:pStyle w:val="0"/>
              <w:spacing w:line="220" w:lineRule="exact"/>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認定率</w:t>
            </w:r>
          </w:p>
          <w:p>
            <w:pPr>
              <w:pStyle w:val="0"/>
              <w:jc w:val="center"/>
              <w:rPr>
                <w:rFonts w:hint="default" w:ascii="BIZ UDPゴシック" w:hAnsi="BIZ UDPゴシック" w:eastAsia="BIZ UDPゴシック"/>
                <w:color w:val="auto"/>
                <w:sz w:val="16"/>
                <w:highlight w:val="none"/>
              </w:rPr>
            </w:pPr>
            <w:r>
              <w:rPr>
                <w:rFonts w:hint="eastAsia" w:ascii="BIZ UDPゴシック" w:hAnsi="BIZ UDPゴシック" w:eastAsia="BIZ UDPゴシック"/>
                <w:color w:val="auto"/>
                <w:sz w:val="16"/>
                <w:highlight w:val="none"/>
              </w:rPr>
              <w:t>（第</w:t>
            </w:r>
            <w:r>
              <w:rPr>
                <w:rFonts w:hint="eastAsia" w:ascii="BIZ UDPゴシック" w:hAnsi="BIZ UDPゴシック" w:eastAsia="BIZ UDPゴシック"/>
                <w:color w:val="auto"/>
                <w:sz w:val="16"/>
                <w:highlight w:val="none"/>
              </w:rPr>
              <w:t>1</w:t>
            </w:r>
            <w:r>
              <w:rPr>
                <w:rFonts w:hint="eastAsia" w:ascii="BIZ UDPゴシック" w:hAnsi="BIZ UDPゴシック" w:eastAsia="BIZ UDPゴシック"/>
                <w:color w:val="auto"/>
                <w:sz w:val="16"/>
                <w:highlight w:val="none"/>
              </w:rPr>
              <w:t>号被保険者）</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6"/>
                <w:highlight w:val="none"/>
              </w:rPr>
              <w:t>（Ｒ</w:t>
            </w:r>
            <w:r>
              <w:rPr>
                <w:rFonts w:hint="eastAsia" w:ascii="BIZ UDPゴシック" w:hAnsi="BIZ UDPゴシック" w:eastAsia="BIZ UDPゴシック"/>
                <w:color w:val="auto"/>
                <w:sz w:val="16"/>
                <w:highlight w:val="none"/>
              </w:rPr>
              <w:t>5.9</w:t>
            </w:r>
            <w:r>
              <w:rPr>
                <w:rFonts w:hint="eastAsia" w:ascii="BIZ UDPゴシック" w:hAnsi="BIZ UDPゴシック" w:eastAsia="BIZ UDPゴシック"/>
                <w:color w:val="auto"/>
                <w:sz w:val="16"/>
                <w:highlight w:val="none"/>
              </w:rPr>
              <w:t>月末現在）</w:t>
            </w:r>
          </w:p>
        </w:tc>
        <w:tc>
          <w:tcPr>
            <w:tcW w:w="1861" w:type="dxa"/>
            <w:shd w:val="clear" w:color="auto" w:themeFill="accent5" w:themeFillTint="66" w:themeFillShade="FF"/>
            <w:vAlign w:val="center"/>
          </w:tcPr>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認知症高齢者数</w:t>
            </w:r>
          </w:p>
          <w:p>
            <w:pPr>
              <w:pStyle w:val="0"/>
              <w:ind w:left="-110" w:leftChars="-50" w:right="-110" w:rightChars="-50"/>
              <w:jc w:val="center"/>
              <w:rPr>
                <w:rFonts w:hint="default" w:ascii="BIZ UDPゴシック" w:hAnsi="BIZ UDPゴシック" w:eastAsia="BIZ UDPゴシック"/>
                <w:color w:val="auto"/>
                <w:sz w:val="18"/>
                <w:highlight w:val="none"/>
              </w:rPr>
            </w:pPr>
            <w:r>
              <w:rPr>
                <w:rFonts w:hint="eastAsia" w:ascii="BIZ UDPゴシック" w:hAnsi="BIZ UDPゴシック" w:eastAsia="BIZ UDPゴシック"/>
                <w:color w:val="auto"/>
                <w:sz w:val="18"/>
                <w:highlight w:val="none"/>
              </w:rPr>
              <w:t>高齢者数に占める割合</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6"/>
                <w:highlight w:val="none"/>
              </w:rPr>
              <w:t>（Ｒ</w:t>
            </w:r>
            <w:r>
              <w:rPr>
                <w:rFonts w:hint="eastAsia" w:ascii="BIZ UDPゴシック" w:hAnsi="BIZ UDPゴシック" w:eastAsia="BIZ UDPゴシック"/>
                <w:color w:val="auto"/>
                <w:sz w:val="16"/>
                <w:highlight w:val="none"/>
              </w:rPr>
              <w:t>5.9</w:t>
            </w:r>
            <w:r>
              <w:rPr>
                <w:rFonts w:hint="eastAsia" w:ascii="BIZ UDPゴシック" w:hAnsi="BIZ UDPゴシック" w:eastAsia="BIZ UDPゴシック"/>
                <w:color w:val="auto"/>
                <w:sz w:val="16"/>
                <w:highlight w:val="none"/>
              </w:rPr>
              <w:t>月末現在）</w:t>
            </w:r>
          </w:p>
        </w:tc>
      </w:tr>
      <w:tr>
        <w:trPr>
          <w:trHeight w:val="680" w:hRule="atLeast"/>
        </w:trPr>
        <w:tc>
          <w:tcPr>
            <w:tcW w:w="1860" w:type="dxa"/>
            <w:vAlign w:val="center"/>
          </w:tcPr>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20,</w:t>
            </w:r>
            <w:r>
              <w:rPr>
                <w:rFonts w:hint="eastAsia" w:ascii="BIZ UDPゴシック" w:hAnsi="BIZ UDPゴシック" w:eastAsia="BIZ UDPゴシック"/>
                <w:color w:val="auto"/>
                <w:sz w:val="21"/>
                <w:highlight w:val="none"/>
              </w:rPr>
              <w:t>180</w:t>
            </w:r>
            <w:r>
              <w:rPr>
                <w:rFonts w:hint="eastAsia" w:ascii="BIZ UDPゴシック" w:hAnsi="BIZ UDPゴシック" w:eastAsia="BIZ UDPゴシック"/>
                <w:color w:val="auto"/>
                <w:sz w:val="21"/>
                <w:highlight w:val="none"/>
              </w:rPr>
              <w:t>人</w:t>
            </w:r>
          </w:p>
        </w:tc>
        <w:tc>
          <w:tcPr>
            <w:tcW w:w="1860" w:type="dxa"/>
            <w:vAlign w:val="center"/>
          </w:tcPr>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7,</w:t>
            </w:r>
            <w:r>
              <w:rPr>
                <w:rFonts w:hint="eastAsia" w:ascii="BIZ UDPゴシック" w:hAnsi="BIZ UDPゴシック" w:eastAsia="BIZ UDPゴシック"/>
                <w:color w:val="auto"/>
                <w:sz w:val="21"/>
                <w:highlight w:val="none"/>
              </w:rPr>
              <w:t>126</w:t>
            </w:r>
            <w:r>
              <w:rPr>
                <w:rFonts w:hint="eastAsia" w:ascii="BIZ UDPゴシック" w:hAnsi="BIZ UDPゴシック" w:eastAsia="BIZ UDPゴシック"/>
                <w:color w:val="auto"/>
                <w:sz w:val="21"/>
                <w:highlight w:val="none"/>
              </w:rPr>
              <w:t>人</w:t>
            </w:r>
          </w:p>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3</w:t>
            </w:r>
            <w:r>
              <w:rPr>
                <w:rFonts w:hint="eastAsia" w:ascii="BIZ UDPゴシック" w:hAnsi="BIZ UDPゴシック" w:eastAsia="BIZ UDPゴシック"/>
                <w:color w:val="auto"/>
                <w:sz w:val="21"/>
                <w:highlight w:val="none"/>
              </w:rPr>
              <w:t>5.3</w:t>
            </w:r>
            <w:r>
              <w:rPr>
                <w:rFonts w:hint="eastAsia" w:ascii="BIZ UDPゴシック" w:hAnsi="BIZ UDPゴシック" w:eastAsia="BIZ UDPゴシック"/>
                <w:color w:val="auto"/>
                <w:sz w:val="21"/>
                <w:highlight w:val="none"/>
              </w:rPr>
              <w:t>％</w:t>
            </w:r>
          </w:p>
        </w:tc>
        <w:tc>
          <w:tcPr>
            <w:tcW w:w="1861" w:type="dxa"/>
            <w:vAlign w:val="center"/>
          </w:tcPr>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3,</w:t>
            </w:r>
            <w:r>
              <w:rPr>
                <w:rFonts w:hint="eastAsia" w:ascii="BIZ UDPゴシック" w:hAnsi="BIZ UDPゴシック" w:eastAsia="BIZ UDPゴシック"/>
                <w:color w:val="auto"/>
                <w:sz w:val="21"/>
                <w:highlight w:val="none"/>
              </w:rPr>
              <w:t>841</w:t>
            </w:r>
            <w:r>
              <w:rPr>
                <w:rFonts w:hint="eastAsia" w:ascii="BIZ UDPゴシック" w:hAnsi="BIZ UDPゴシック" w:eastAsia="BIZ UDPゴシック"/>
                <w:color w:val="auto"/>
                <w:sz w:val="21"/>
                <w:highlight w:val="none"/>
              </w:rPr>
              <w:t>人</w:t>
            </w:r>
          </w:p>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1</w:t>
            </w:r>
            <w:r>
              <w:rPr>
                <w:rFonts w:hint="eastAsia" w:ascii="BIZ UDPゴシック" w:hAnsi="BIZ UDPゴシック" w:eastAsia="BIZ UDPゴシック"/>
                <w:color w:val="auto"/>
                <w:sz w:val="21"/>
                <w:highlight w:val="none"/>
              </w:rPr>
              <w:t>9.0</w:t>
            </w:r>
            <w:r>
              <w:rPr>
                <w:rFonts w:hint="eastAsia" w:ascii="BIZ UDPゴシック" w:hAnsi="BIZ UDPゴシック" w:eastAsia="BIZ UDPゴシック"/>
                <w:color w:val="auto"/>
                <w:sz w:val="21"/>
                <w:highlight w:val="none"/>
              </w:rPr>
              <w:t>％</w:t>
            </w:r>
          </w:p>
        </w:tc>
        <w:tc>
          <w:tcPr>
            <w:tcW w:w="1860" w:type="dxa"/>
            <w:vAlign w:val="center"/>
          </w:tcPr>
          <w:p>
            <w:pPr>
              <w:pStyle w:val="0"/>
              <w:jc w:val="righ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1,290</w:t>
            </w:r>
            <w:r>
              <w:rPr>
                <w:rFonts w:hint="eastAsia" w:ascii="BIZ UDPゴシック" w:hAnsi="BIZ UDPゴシック" w:eastAsia="BIZ UDPゴシック"/>
                <w:color w:val="auto"/>
                <w:sz w:val="21"/>
                <w:highlight w:val="none"/>
              </w:rPr>
              <w:t>人</w:t>
            </w:r>
          </w:p>
          <w:p>
            <w:pPr>
              <w:pStyle w:val="0"/>
              <w:jc w:val="righ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18.1</w:t>
            </w:r>
            <w:r>
              <w:rPr>
                <w:rFonts w:hint="eastAsia" w:ascii="BIZ UDPゴシック" w:hAnsi="BIZ UDPゴシック" w:eastAsia="BIZ UDPゴシック"/>
                <w:color w:val="auto"/>
                <w:sz w:val="21"/>
                <w:highlight w:val="none"/>
              </w:rPr>
              <w:t>％</w:t>
            </w:r>
          </w:p>
        </w:tc>
        <w:tc>
          <w:tcPr>
            <w:tcW w:w="1861" w:type="dxa"/>
            <w:vAlign w:val="center"/>
          </w:tcPr>
          <w:p>
            <w:pPr>
              <w:pStyle w:val="0"/>
              <w:jc w:val="righ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775</w:t>
            </w:r>
            <w:r>
              <w:rPr>
                <w:rFonts w:hint="eastAsia" w:ascii="BIZ UDPゴシック" w:hAnsi="BIZ UDPゴシック" w:eastAsia="BIZ UDPゴシック"/>
                <w:color w:val="auto"/>
                <w:sz w:val="21"/>
                <w:highlight w:val="none"/>
              </w:rPr>
              <w:t>人</w:t>
            </w:r>
          </w:p>
          <w:p>
            <w:pPr>
              <w:pStyle w:val="0"/>
              <w:jc w:val="righ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10.9</w:t>
            </w:r>
            <w:r>
              <w:rPr>
                <w:rFonts w:hint="eastAsia" w:ascii="BIZ UDPゴシック" w:hAnsi="BIZ UDPゴシック" w:eastAsia="BIZ UDPゴシック"/>
                <w:color w:val="auto"/>
                <w:sz w:val="21"/>
                <w:highlight w:val="none"/>
              </w:rPr>
              <w:t>％</w:t>
            </w:r>
          </w:p>
        </w:tc>
      </w:tr>
    </w:tbl>
    <w:tbl>
      <w:tblPr>
        <w:tblStyle w:val="90"/>
        <w:tblpPr w:leftFromText="142" w:rightFromText="142" w:topFromText="0" w:bottomFromText="0" w:vertAnchor="text" w:horzAnchor="text" w:tblpX="3225" w:tblpY="149"/>
        <w:tblW w:w="0" w:type="auto"/>
        <w:tblLayout w:type="fixed"/>
        <w:tblLook w:firstRow="1" w:lastRow="0" w:firstColumn="1" w:lastColumn="0" w:noHBand="0" w:noVBand="1" w:val="04A0"/>
      </w:tblPr>
      <w:tblGrid>
        <w:gridCol w:w="1815"/>
        <w:gridCol w:w="4154"/>
      </w:tblGrid>
      <w:tr>
        <w:trPr/>
        <w:tc>
          <w:tcPr>
            <w:tcW w:w="181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小学校</w:t>
            </w:r>
          </w:p>
        </w:tc>
        <w:tc>
          <w:tcPr>
            <w:tcW w:w="4154" w:type="dxa"/>
            <w:vAlign w:val="top"/>
          </w:tcPr>
          <w:p>
            <w:pPr>
              <w:pStyle w:val="0"/>
              <w:spacing w:line="260" w:lineRule="exac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地御前、阿品台東、阿品台西</w:t>
            </w:r>
          </w:p>
        </w:tc>
      </w:tr>
      <w:tr>
        <w:trPr/>
        <w:tc>
          <w:tcPr>
            <w:tcW w:w="181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中学校</w:t>
            </w:r>
          </w:p>
        </w:tc>
        <w:tc>
          <w:tcPr>
            <w:tcW w:w="4154" w:type="dxa"/>
            <w:vAlign w:val="top"/>
          </w:tcPr>
          <w:p>
            <w:pPr>
              <w:pStyle w:val="0"/>
              <w:spacing w:line="260" w:lineRule="exac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野坂、阿品台</w:t>
            </w:r>
          </w:p>
        </w:tc>
      </w:tr>
      <w:tr>
        <w:trPr/>
        <w:tc>
          <w:tcPr>
            <w:tcW w:w="181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交通機関</w:t>
            </w:r>
          </w:p>
        </w:tc>
        <w:tc>
          <w:tcPr>
            <w:tcW w:w="4154" w:type="dxa"/>
            <w:vAlign w:val="top"/>
          </w:tcPr>
          <w:p>
            <w:pPr>
              <w:pStyle w:val="0"/>
              <w:spacing w:line="260" w:lineRule="exac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鉄道：ＪＲ山陽線、広島電鉄宮島線</w:t>
            </w:r>
          </w:p>
          <w:p>
            <w:pPr>
              <w:pStyle w:val="0"/>
              <w:spacing w:line="260" w:lineRule="exac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バス：広島電鉄（阿品台団地線）、廿日市さくらバス（阿品台ルート）、おおのハートバス</w:t>
            </w:r>
          </w:p>
        </w:tc>
      </w:tr>
      <w:tr>
        <w:trPr/>
        <w:tc>
          <w:tcPr>
            <w:tcW w:w="181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市営住宅</w:t>
            </w:r>
          </w:p>
        </w:tc>
        <w:tc>
          <w:tcPr>
            <w:tcW w:w="4154" w:type="dxa"/>
            <w:vAlign w:val="top"/>
          </w:tcPr>
          <w:p>
            <w:pPr>
              <w:pStyle w:val="0"/>
              <w:spacing w:line="260" w:lineRule="exac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野坂</w:t>
            </w:r>
          </w:p>
        </w:tc>
      </w:tr>
      <w:tr>
        <w:trPr/>
        <w:tc>
          <w:tcPr>
            <w:tcW w:w="181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市民センター等</w:t>
            </w:r>
          </w:p>
        </w:tc>
        <w:tc>
          <w:tcPr>
            <w:tcW w:w="4154" w:type="dxa"/>
            <w:vAlign w:val="top"/>
          </w:tcPr>
          <w:p>
            <w:pPr>
              <w:pStyle w:val="0"/>
              <w:spacing w:line="260" w:lineRule="exac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地御前、阿品、阿品台</w:t>
            </w:r>
          </w:p>
        </w:tc>
      </w:tr>
      <w:tr>
        <w:trPr/>
        <w:tc>
          <w:tcPr>
            <w:tcW w:w="181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集会所</w:t>
            </w:r>
          </w:p>
        </w:tc>
        <w:tc>
          <w:tcPr>
            <w:tcW w:w="4154" w:type="dxa"/>
            <w:vAlign w:val="top"/>
          </w:tcPr>
          <w:p>
            <w:pPr>
              <w:pStyle w:val="0"/>
              <w:spacing w:line="260" w:lineRule="exac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扇園、地御前三丁目堀、地御前四丁目、港町、地御前北二丁目、阿品二丁目、鼓ヶ浜、田尻、阿品台一丁目、阿品台二丁目、阿品台三丁目、阿品台四丁目、阿品台五丁目第１、阿品台五丁目第２、阿品台北中央、阿品台北見晴らし、阿品台山の手、廿日市光が丘、野坂住宅（市営）、地御前青年会館、ふじタウン、鰆浜、阿品台北タウンハウスＣ</w:t>
            </w:r>
          </w:p>
        </w:tc>
      </w:tr>
      <w:tr>
        <w:trPr>
          <w:trHeight w:val="545" w:hRule="atLeast"/>
        </w:trPr>
        <w:tc>
          <w:tcPr>
            <w:tcW w:w="181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その他</w:t>
            </w:r>
          </w:p>
        </w:tc>
        <w:tc>
          <w:tcPr>
            <w:tcW w:w="4154" w:type="dxa"/>
            <w:vAlign w:val="top"/>
          </w:tcPr>
          <w:p>
            <w:pPr>
              <w:pStyle w:val="0"/>
              <w:spacing w:line="260" w:lineRule="exac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地御前保健福祉活動センター、県立廿日市西高等学校、日本赤十字広島看護大学</w:t>
            </w:r>
          </w:p>
        </w:tc>
      </w:tr>
    </w:tbl>
    <w:p>
      <w:pPr>
        <w:pStyle w:val="0"/>
        <w:rPr>
          <w:rFonts w:hint="default" w:ascii="BIZ UDPゴシック" w:hAnsi="BIZ UDPゴシック" w:eastAsia="BIZ UDPゴシック"/>
          <w:color w:val="auto"/>
          <w:highlight w:val="none"/>
        </w:rPr>
      </w:pPr>
      <w:r>
        <w:rPr>
          <w:rFonts w:hint="eastAsia"/>
          <w:color w:val="auto"/>
          <w:highlight w:val="none"/>
        </w:rPr>
        <w:drawing>
          <wp:anchor distT="0" distB="0" distL="203200" distR="203200" simplePos="0" relativeHeight="104" behindDoc="0" locked="0" layoutInCell="1" hidden="0" allowOverlap="1">
            <wp:simplePos x="0" y="0"/>
            <wp:positionH relativeFrom="column">
              <wp:posOffset>-78740</wp:posOffset>
            </wp:positionH>
            <wp:positionV relativeFrom="paragraph">
              <wp:posOffset>278765</wp:posOffset>
            </wp:positionV>
            <wp:extent cx="1931670" cy="2292350"/>
            <wp:effectExtent l="0" t="0" r="0" b="0"/>
            <wp:wrapNone/>
            <wp:docPr id="1087" name="図 1005209106" descr="地図と文字の加工写真&#10;&#10;中程度の精度で自動的に生成された説明"/>
            <a:graphic xmlns:a="http://schemas.openxmlformats.org/drawingml/2006/main">
              <a:graphicData uri="http://schemas.openxmlformats.org/drawingml/2006/picture">
                <pic:pic xmlns:pic="http://schemas.openxmlformats.org/drawingml/2006/picture">
                  <pic:nvPicPr>
                    <pic:cNvPr id="1087" name="図 1005209106" descr="地図と文字の加工写真&#10;&#10;中程度の精度で自動的に生成された説明"/>
                    <pic:cNvPicPr>
                      <a:picLocks noChangeAspect="1"/>
                    </pic:cNvPicPr>
                  </pic:nvPicPr>
                  <pic:blipFill>
                    <a:blip r:embed="rId31"/>
                    <a:stretch>
                      <a:fillRect/>
                    </a:stretch>
                  </pic:blipFill>
                  <pic:spPr>
                    <a:xfrm>
                      <a:off x="0" y="0"/>
                      <a:ext cx="1931670" cy="2292350"/>
                    </a:xfrm>
                    <a:prstGeom prst="rect">
                      <a:avLst/>
                    </a:prstGeom>
                  </pic:spPr>
                </pic:pic>
              </a:graphicData>
            </a:graphic>
          </wp:anchor>
        </w:drawing>
      </w:r>
      <w:r>
        <w:rPr>
          <w:rFonts w:hint="eastAsia" w:ascii="BIZ UDPゴシック" w:hAnsi="BIZ UDPゴシック" w:eastAsia="BIZ UDPゴシック"/>
          <w:color w:val="auto"/>
          <w:highlight w:val="none"/>
        </w:rPr>
        <w:t>〔地理的特徴〕</w:t>
      </w: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ind w:firstLine="3300" w:firstLineChars="150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〔地域資源〕</w:t>
      </w:r>
    </w:p>
    <w:tbl>
      <w:tblPr>
        <w:tblStyle w:val="81"/>
        <w:tblW w:w="9180" w:type="dxa"/>
        <w:tblInd w:w="0" w:type="dxa"/>
        <w:tblLayout w:type="fixed"/>
        <w:tblLook w:firstRow="1" w:lastRow="0" w:firstColumn="1" w:lastColumn="0" w:noHBand="0" w:noVBand="1" w:val="04A0"/>
      </w:tblPr>
      <w:tblGrid>
        <w:gridCol w:w="2410"/>
        <w:gridCol w:w="630"/>
        <w:gridCol w:w="2520"/>
        <w:gridCol w:w="560"/>
        <w:gridCol w:w="2493"/>
        <w:gridCol w:w="567"/>
      </w:tblGrid>
      <w:tr>
        <w:trPr/>
        <w:tc>
          <w:tcPr>
            <w:tcW w:w="9180" w:type="dxa"/>
            <w:gridSpan w:val="6"/>
            <w:shd w:val="clear" w:color="auto" w:fill="0070C0"/>
            <w:vAlign w:val="top"/>
          </w:tcPr>
          <w:p>
            <w:pPr>
              <w:pStyle w:val="0"/>
              <w:jc w:val="center"/>
              <w:rPr>
                <w:rFonts w:hint="default"/>
                <w:color w:val="auto"/>
                <w:sz w:val="20"/>
                <w:highlight w:val="none"/>
              </w:rPr>
            </w:pPr>
            <w:r>
              <w:rPr>
                <w:rFonts w:hint="eastAsia"/>
                <w:color w:val="auto"/>
                <w:sz w:val="20"/>
                <w:highlight w:val="none"/>
              </w:rPr>
              <w:t>生活関連（令和</w:t>
            </w:r>
            <w:r>
              <w:rPr>
                <w:rFonts w:hint="eastAsia"/>
                <w:color w:val="auto"/>
                <w:sz w:val="20"/>
                <w:highlight w:val="none"/>
              </w:rPr>
              <w:t>5</w:t>
            </w:r>
            <w:r>
              <w:rPr>
                <w:rFonts w:hint="eastAsia"/>
                <w:color w:val="auto"/>
                <w:sz w:val="20"/>
                <w:highlight w:val="none"/>
              </w:rPr>
              <w:t>年</w:t>
            </w:r>
            <w:r>
              <w:rPr>
                <w:rFonts w:hint="eastAsia"/>
                <w:color w:val="auto"/>
                <w:sz w:val="20"/>
                <w:highlight w:val="none"/>
              </w:rPr>
              <w:t>8</w:t>
            </w:r>
            <w:r>
              <w:rPr>
                <w:rFonts w:hint="eastAsia"/>
                <w:color w:val="auto"/>
                <w:sz w:val="20"/>
                <w:highlight w:val="none"/>
              </w:rPr>
              <w:t>月末現在）</w:t>
            </w:r>
          </w:p>
        </w:tc>
      </w:tr>
      <w:tr>
        <w:trPr/>
        <w:tc>
          <w:tcPr>
            <w:tcW w:w="2410" w:type="dxa"/>
            <w:vAlign w:val="top"/>
          </w:tcPr>
          <w:p>
            <w:pPr>
              <w:pStyle w:val="0"/>
              <w:rPr>
                <w:rFonts w:hint="default"/>
                <w:color w:val="auto"/>
                <w:sz w:val="20"/>
                <w:highlight w:val="none"/>
              </w:rPr>
            </w:pPr>
            <w:r>
              <w:rPr>
                <w:rFonts w:hint="eastAsia"/>
                <w:color w:val="auto"/>
                <w:sz w:val="20"/>
                <w:highlight w:val="none"/>
              </w:rPr>
              <w:t>地域包括支援センター</w:t>
            </w:r>
          </w:p>
        </w:tc>
        <w:tc>
          <w:tcPr>
            <w:tcW w:w="630" w:type="dxa"/>
            <w:vAlign w:val="top"/>
          </w:tcPr>
          <w:p>
            <w:pPr>
              <w:pStyle w:val="0"/>
              <w:jc w:val="right"/>
              <w:rPr>
                <w:rFonts w:hint="default"/>
                <w:color w:val="auto"/>
                <w:sz w:val="20"/>
                <w:highlight w:val="none"/>
              </w:rPr>
            </w:pPr>
            <w:r>
              <w:rPr>
                <w:rFonts w:hint="eastAsia"/>
                <w:color w:val="auto"/>
                <w:sz w:val="20"/>
                <w:highlight w:val="none"/>
              </w:rPr>
              <w:t>1</w:t>
            </w:r>
          </w:p>
        </w:tc>
        <w:tc>
          <w:tcPr>
            <w:tcW w:w="2520" w:type="dxa"/>
            <w:vAlign w:val="top"/>
          </w:tcPr>
          <w:p>
            <w:pPr>
              <w:pStyle w:val="0"/>
              <w:rPr>
                <w:rFonts w:hint="default"/>
                <w:color w:val="auto"/>
                <w:w w:val="90"/>
                <w:sz w:val="20"/>
                <w:highlight w:val="none"/>
              </w:rPr>
            </w:pPr>
            <w:r>
              <w:rPr>
                <w:rFonts w:hint="eastAsia"/>
                <w:color w:val="auto"/>
                <w:w w:val="90"/>
                <w:sz w:val="20"/>
                <w:highlight w:val="none"/>
              </w:rPr>
              <w:t>病院・診療所・歯科・薬局</w:t>
            </w:r>
          </w:p>
        </w:tc>
        <w:tc>
          <w:tcPr>
            <w:tcW w:w="560" w:type="dxa"/>
            <w:vAlign w:val="top"/>
          </w:tcPr>
          <w:p>
            <w:pPr>
              <w:pStyle w:val="0"/>
              <w:jc w:val="right"/>
              <w:rPr>
                <w:rFonts w:hint="default"/>
                <w:color w:val="auto"/>
                <w:sz w:val="20"/>
                <w:highlight w:val="none"/>
              </w:rPr>
            </w:pPr>
            <w:r>
              <w:rPr>
                <w:rFonts w:hint="eastAsia"/>
                <w:color w:val="auto"/>
                <w:sz w:val="20"/>
                <w:highlight w:val="none"/>
              </w:rPr>
              <w:t>37</w:t>
            </w:r>
          </w:p>
        </w:tc>
        <w:tc>
          <w:tcPr>
            <w:tcW w:w="2493" w:type="dxa"/>
            <w:vAlign w:val="top"/>
          </w:tcPr>
          <w:p>
            <w:pPr>
              <w:pStyle w:val="0"/>
              <w:rPr>
                <w:rFonts w:hint="default"/>
                <w:color w:val="auto"/>
                <w:sz w:val="20"/>
                <w:highlight w:val="none"/>
              </w:rPr>
            </w:pPr>
            <w:r>
              <w:rPr>
                <w:rFonts w:hint="eastAsia"/>
                <w:color w:val="auto"/>
                <w:sz w:val="20"/>
                <w:highlight w:val="none"/>
              </w:rPr>
              <w:t>コンビニエンスストア</w:t>
            </w:r>
          </w:p>
        </w:tc>
        <w:tc>
          <w:tcPr>
            <w:tcW w:w="567" w:type="dxa"/>
            <w:vAlign w:val="top"/>
          </w:tcPr>
          <w:p>
            <w:pPr>
              <w:pStyle w:val="0"/>
              <w:jc w:val="right"/>
              <w:rPr>
                <w:rFonts w:hint="default"/>
                <w:color w:val="auto"/>
                <w:sz w:val="20"/>
                <w:highlight w:val="none"/>
              </w:rPr>
            </w:pPr>
            <w:r>
              <w:rPr>
                <w:rFonts w:hint="eastAsia"/>
                <w:color w:val="auto"/>
                <w:sz w:val="20"/>
                <w:highlight w:val="none"/>
              </w:rPr>
              <w:t>6</w:t>
            </w:r>
          </w:p>
        </w:tc>
      </w:tr>
      <w:tr>
        <w:trPr/>
        <w:tc>
          <w:tcPr>
            <w:tcW w:w="2410" w:type="dxa"/>
            <w:vAlign w:val="top"/>
          </w:tcPr>
          <w:p>
            <w:pPr>
              <w:pStyle w:val="0"/>
              <w:rPr>
                <w:rFonts w:hint="default"/>
                <w:color w:val="auto"/>
                <w:sz w:val="20"/>
                <w:highlight w:val="none"/>
              </w:rPr>
            </w:pPr>
            <w:r>
              <w:rPr>
                <w:rFonts w:hint="eastAsia"/>
                <w:color w:val="auto"/>
                <w:sz w:val="20"/>
                <w:highlight w:val="none"/>
              </w:rPr>
              <w:t>コミュニティ</w:t>
            </w:r>
          </w:p>
        </w:tc>
        <w:tc>
          <w:tcPr>
            <w:tcW w:w="630" w:type="dxa"/>
            <w:vAlign w:val="top"/>
          </w:tcPr>
          <w:p>
            <w:pPr>
              <w:pStyle w:val="0"/>
              <w:jc w:val="right"/>
              <w:rPr>
                <w:rFonts w:hint="default"/>
                <w:color w:val="auto"/>
                <w:sz w:val="20"/>
                <w:highlight w:val="none"/>
              </w:rPr>
            </w:pPr>
            <w:r>
              <w:rPr>
                <w:rFonts w:hint="eastAsia"/>
                <w:color w:val="auto"/>
                <w:sz w:val="20"/>
                <w:highlight w:val="none"/>
              </w:rPr>
              <w:t>3</w:t>
            </w:r>
          </w:p>
        </w:tc>
        <w:tc>
          <w:tcPr>
            <w:tcW w:w="2520" w:type="dxa"/>
            <w:vAlign w:val="top"/>
          </w:tcPr>
          <w:p>
            <w:pPr>
              <w:pStyle w:val="0"/>
              <w:rPr>
                <w:rFonts w:hint="default"/>
                <w:color w:val="auto"/>
                <w:sz w:val="20"/>
                <w:highlight w:val="none"/>
              </w:rPr>
            </w:pPr>
            <w:r>
              <w:rPr>
                <w:rFonts w:hint="eastAsia"/>
                <w:color w:val="auto"/>
                <w:sz w:val="20"/>
                <w:highlight w:val="none"/>
              </w:rPr>
              <w:t>認知症の人と家族の会</w:t>
            </w:r>
          </w:p>
        </w:tc>
        <w:tc>
          <w:tcPr>
            <w:tcW w:w="560" w:type="dxa"/>
            <w:vAlign w:val="top"/>
          </w:tcPr>
          <w:p>
            <w:pPr>
              <w:pStyle w:val="0"/>
              <w:jc w:val="right"/>
              <w:rPr>
                <w:rFonts w:hint="default"/>
                <w:color w:val="auto"/>
                <w:sz w:val="20"/>
                <w:highlight w:val="none"/>
              </w:rPr>
            </w:pPr>
            <w:r>
              <w:rPr>
                <w:rFonts w:hint="eastAsia"/>
                <w:color w:val="auto"/>
                <w:sz w:val="20"/>
                <w:highlight w:val="none"/>
              </w:rPr>
              <w:t>1</w:t>
            </w:r>
          </w:p>
        </w:tc>
        <w:tc>
          <w:tcPr>
            <w:tcW w:w="2493" w:type="dxa"/>
            <w:vAlign w:val="top"/>
          </w:tcPr>
          <w:p>
            <w:pPr>
              <w:pStyle w:val="0"/>
              <w:rPr>
                <w:rFonts w:hint="default"/>
                <w:color w:val="auto"/>
                <w:sz w:val="20"/>
                <w:highlight w:val="none"/>
              </w:rPr>
            </w:pPr>
            <w:r>
              <w:rPr>
                <w:rFonts w:hint="eastAsia"/>
                <w:color w:val="auto"/>
                <w:sz w:val="20"/>
                <w:highlight w:val="none"/>
              </w:rPr>
              <w:t>民生委員</w:t>
            </w:r>
          </w:p>
        </w:tc>
        <w:tc>
          <w:tcPr>
            <w:tcW w:w="567" w:type="dxa"/>
            <w:vAlign w:val="top"/>
          </w:tcPr>
          <w:p>
            <w:pPr>
              <w:pStyle w:val="0"/>
              <w:jc w:val="right"/>
              <w:rPr>
                <w:rFonts w:hint="default"/>
                <w:color w:val="auto"/>
                <w:sz w:val="20"/>
                <w:highlight w:val="none"/>
              </w:rPr>
            </w:pPr>
            <w:r>
              <w:rPr>
                <w:rFonts w:hint="eastAsia"/>
                <w:color w:val="auto"/>
                <w:sz w:val="20"/>
                <w:highlight w:val="none"/>
              </w:rPr>
              <w:t>35</w:t>
            </w:r>
          </w:p>
        </w:tc>
      </w:tr>
      <w:tr>
        <w:trPr/>
        <w:tc>
          <w:tcPr>
            <w:tcW w:w="2410" w:type="dxa"/>
            <w:shd w:val="clear" w:color="auto" w:fill="auto"/>
            <w:vAlign w:val="top"/>
          </w:tcPr>
          <w:p>
            <w:pPr>
              <w:pStyle w:val="0"/>
              <w:rPr>
                <w:rFonts w:hint="default"/>
                <w:color w:val="auto"/>
                <w:sz w:val="20"/>
                <w:highlight w:val="none"/>
              </w:rPr>
            </w:pPr>
            <w:r>
              <w:rPr>
                <w:rFonts w:hint="eastAsia"/>
                <w:color w:val="auto"/>
                <w:sz w:val="20"/>
                <w:highlight w:val="none"/>
              </w:rPr>
              <w:t>単位老人クラブ</w:t>
            </w:r>
          </w:p>
        </w:tc>
        <w:tc>
          <w:tcPr>
            <w:tcW w:w="630" w:type="dxa"/>
            <w:shd w:val="clear" w:color="auto" w:fill="auto"/>
            <w:vAlign w:val="top"/>
          </w:tcPr>
          <w:p>
            <w:pPr>
              <w:pStyle w:val="0"/>
              <w:jc w:val="right"/>
              <w:rPr>
                <w:rFonts w:hint="default"/>
                <w:color w:val="auto"/>
                <w:sz w:val="20"/>
                <w:highlight w:val="none"/>
              </w:rPr>
            </w:pPr>
            <w:r>
              <w:rPr>
                <w:rFonts w:hint="eastAsia"/>
                <w:color w:val="auto"/>
                <w:sz w:val="20"/>
                <w:highlight w:val="none"/>
              </w:rPr>
              <w:t>26</w:t>
            </w:r>
          </w:p>
        </w:tc>
        <w:tc>
          <w:tcPr>
            <w:tcW w:w="2520" w:type="dxa"/>
            <w:vAlign w:val="top"/>
          </w:tcPr>
          <w:p>
            <w:pPr>
              <w:pStyle w:val="0"/>
              <w:rPr>
                <w:rFonts w:hint="default"/>
                <w:color w:val="auto"/>
                <w:sz w:val="20"/>
                <w:highlight w:val="none"/>
              </w:rPr>
            </w:pPr>
            <w:r>
              <w:rPr>
                <w:rFonts w:hint="eastAsia"/>
                <w:color w:val="auto"/>
                <w:sz w:val="20"/>
                <w:highlight w:val="none"/>
              </w:rPr>
              <w:t>チームオレンジ</w:t>
            </w:r>
          </w:p>
        </w:tc>
        <w:tc>
          <w:tcPr>
            <w:tcW w:w="560" w:type="dxa"/>
            <w:vAlign w:val="top"/>
          </w:tcPr>
          <w:p>
            <w:pPr>
              <w:pStyle w:val="0"/>
              <w:jc w:val="right"/>
              <w:rPr>
                <w:rFonts w:hint="default"/>
                <w:color w:val="auto"/>
                <w:sz w:val="20"/>
                <w:highlight w:val="none"/>
              </w:rPr>
            </w:pPr>
            <w:r>
              <w:rPr>
                <w:rFonts w:hint="eastAsia"/>
                <w:color w:val="auto"/>
                <w:sz w:val="20"/>
                <w:highlight w:val="none"/>
              </w:rPr>
              <w:t>1</w:t>
            </w:r>
          </w:p>
        </w:tc>
        <w:tc>
          <w:tcPr>
            <w:tcW w:w="2493" w:type="dxa"/>
            <w:vAlign w:val="top"/>
          </w:tcPr>
          <w:p>
            <w:pPr>
              <w:pStyle w:val="0"/>
              <w:rPr>
                <w:rFonts w:hint="default"/>
                <w:color w:val="auto"/>
                <w:sz w:val="20"/>
                <w:highlight w:val="none"/>
              </w:rPr>
            </w:pPr>
            <w:r>
              <w:rPr>
                <w:rFonts w:hint="eastAsia"/>
                <w:color w:val="auto"/>
                <w:sz w:val="20"/>
                <w:highlight w:val="none"/>
              </w:rPr>
              <w:t>健康づくり応援団</w:t>
            </w:r>
          </w:p>
        </w:tc>
        <w:tc>
          <w:tcPr>
            <w:tcW w:w="567" w:type="dxa"/>
            <w:vAlign w:val="top"/>
          </w:tcPr>
          <w:p>
            <w:pPr>
              <w:pStyle w:val="0"/>
              <w:jc w:val="right"/>
              <w:rPr>
                <w:rFonts w:hint="default"/>
                <w:color w:val="auto"/>
                <w:sz w:val="20"/>
                <w:highlight w:val="none"/>
              </w:rPr>
            </w:pPr>
            <w:r>
              <w:rPr>
                <w:rFonts w:hint="eastAsia"/>
                <w:color w:val="auto"/>
                <w:sz w:val="20"/>
                <w:highlight w:val="none"/>
              </w:rPr>
              <w:t>29</w:t>
            </w:r>
          </w:p>
        </w:tc>
      </w:tr>
      <w:tr>
        <w:trPr/>
        <w:tc>
          <w:tcPr>
            <w:tcW w:w="2410" w:type="dxa"/>
            <w:vAlign w:val="top"/>
          </w:tcPr>
          <w:p>
            <w:pPr>
              <w:pStyle w:val="0"/>
              <w:rPr>
                <w:rFonts w:hint="default"/>
                <w:color w:val="auto"/>
                <w:sz w:val="20"/>
                <w:highlight w:val="none"/>
              </w:rPr>
            </w:pPr>
            <w:r>
              <w:rPr>
                <w:rFonts w:hint="eastAsia"/>
                <w:color w:val="auto"/>
                <w:sz w:val="20"/>
                <w:highlight w:val="none"/>
              </w:rPr>
              <w:t>サロン</w:t>
            </w:r>
          </w:p>
        </w:tc>
        <w:tc>
          <w:tcPr>
            <w:tcW w:w="630" w:type="dxa"/>
            <w:vAlign w:val="top"/>
          </w:tcPr>
          <w:p>
            <w:pPr>
              <w:pStyle w:val="0"/>
              <w:jc w:val="right"/>
              <w:rPr>
                <w:rFonts w:hint="default"/>
                <w:color w:val="auto"/>
                <w:sz w:val="20"/>
                <w:highlight w:val="none"/>
              </w:rPr>
            </w:pPr>
            <w:r>
              <w:rPr>
                <w:rFonts w:hint="eastAsia"/>
                <w:color w:val="auto"/>
                <w:sz w:val="20"/>
                <w:highlight w:val="none"/>
              </w:rPr>
              <w:t>27</w:t>
            </w:r>
          </w:p>
        </w:tc>
        <w:tc>
          <w:tcPr>
            <w:tcW w:w="2520" w:type="dxa"/>
            <w:vAlign w:val="top"/>
          </w:tcPr>
          <w:p>
            <w:pPr>
              <w:pStyle w:val="0"/>
              <w:rPr>
                <w:rFonts w:hint="default"/>
                <w:color w:val="auto"/>
                <w:sz w:val="20"/>
                <w:highlight w:val="none"/>
              </w:rPr>
            </w:pPr>
            <w:r>
              <w:rPr>
                <w:rFonts w:hint="eastAsia"/>
                <w:color w:val="auto"/>
                <w:sz w:val="20"/>
                <w:highlight w:val="none"/>
              </w:rPr>
              <w:t>生活支援</w:t>
            </w:r>
          </w:p>
        </w:tc>
        <w:tc>
          <w:tcPr>
            <w:tcW w:w="560" w:type="dxa"/>
            <w:vAlign w:val="top"/>
          </w:tcPr>
          <w:p>
            <w:pPr>
              <w:pStyle w:val="0"/>
              <w:jc w:val="right"/>
              <w:rPr>
                <w:rFonts w:hint="default"/>
                <w:color w:val="auto"/>
                <w:sz w:val="20"/>
                <w:highlight w:val="none"/>
              </w:rPr>
            </w:pPr>
            <w:r>
              <w:rPr>
                <w:rFonts w:hint="eastAsia"/>
                <w:color w:val="auto"/>
                <w:sz w:val="20"/>
                <w:highlight w:val="none"/>
              </w:rPr>
              <w:t>1</w:t>
            </w:r>
          </w:p>
        </w:tc>
        <w:tc>
          <w:tcPr>
            <w:tcW w:w="2493" w:type="dxa"/>
            <w:vAlign w:val="top"/>
          </w:tcPr>
          <w:p>
            <w:pPr>
              <w:pStyle w:val="0"/>
              <w:rPr>
                <w:rFonts w:hint="default"/>
                <w:color w:val="auto"/>
                <w:sz w:val="20"/>
                <w:highlight w:val="none"/>
              </w:rPr>
            </w:pPr>
            <w:r>
              <w:rPr>
                <w:rFonts w:hint="eastAsia"/>
                <w:color w:val="auto"/>
                <w:sz w:val="20"/>
                <w:highlight w:val="none"/>
              </w:rPr>
              <w:t>オレンジドクター</w:t>
            </w:r>
          </w:p>
        </w:tc>
        <w:tc>
          <w:tcPr>
            <w:tcW w:w="567" w:type="dxa"/>
            <w:vAlign w:val="top"/>
          </w:tcPr>
          <w:p>
            <w:pPr>
              <w:pStyle w:val="0"/>
              <w:jc w:val="right"/>
              <w:rPr>
                <w:rFonts w:hint="default"/>
                <w:color w:val="auto"/>
                <w:sz w:val="20"/>
                <w:highlight w:val="none"/>
              </w:rPr>
            </w:pPr>
            <w:r>
              <w:rPr>
                <w:rFonts w:hint="eastAsia"/>
                <w:color w:val="auto"/>
                <w:sz w:val="20"/>
                <w:highlight w:val="none"/>
              </w:rPr>
              <w:t>10</w:t>
            </w:r>
          </w:p>
        </w:tc>
      </w:tr>
      <w:tr>
        <w:trPr/>
        <w:tc>
          <w:tcPr>
            <w:tcW w:w="2410" w:type="dxa"/>
            <w:vAlign w:val="top"/>
          </w:tcPr>
          <w:p>
            <w:pPr>
              <w:pStyle w:val="0"/>
              <w:rPr>
                <w:rFonts w:hint="default"/>
                <w:color w:val="auto"/>
                <w:sz w:val="20"/>
                <w:highlight w:val="none"/>
              </w:rPr>
            </w:pPr>
            <w:r>
              <w:rPr>
                <w:rFonts w:hint="eastAsia"/>
                <w:color w:val="auto"/>
                <w:sz w:val="20"/>
                <w:highlight w:val="none"/>
              </w:rPr>
              <w:t>百歳体操</w:t>
            </w:r>
          </w:p>
        </w:tc>
        <w:tc>
          <w:tcPr>
            <w:tcW w:w="630" w:type="dxa"/>
            <w:vAlign w:val="top"/>
          </w:tcPr>
          <w:p>
            <w:pPr>
              <w:pStyle w:val="0"/>
              <w:jc w:val="right"/>
              <w:rPr>
                <w:rFonts w:hint="default"/>
                <w:color w:val="auto"/>
                <w:sz w:val="20"/>
                <w:highlight w:val="none"/>
              </w:rPr>
            </w:pPr>
            <w:r>
              <w:rPr>
                <w:rFonts w:hint="eastAsia"/>
                <w:color w:val="auto"/>
                <w:sz w:val="20"/>
                <w:highlight w:val="none"/>
              </w:rPr>
              <w:t>16</w:t>
            </w:r>
          </w:p>
        </w:tc>
        <w:tc>
          <w:tcPr>
            <w:tcW w:w="2520" w:type="dxa"/>
            <w:vAlign w:val="top"/>
          </w:tcPr>
          <w:p>
            <w:pPr>
              <w:pStyle w:val="0"/>
              <w:rPr>
                <w:rFonts w:hint="default"/>
                <w:color w:val="auto"/>
                <w:sz w:val="20"/>
                <w:highlight w:val="none"/>
              </w:rPr>
            </w:pPr>
            <w:r>
              <w:rPr>
                <w:rFonts w:hint="eastAsia"/>
                <w:color w:val="auto"/>
                <w:sz w:val="20"/>
                <w:highlight w:val="none"/>
              </w:rPr>
              <w:t>スーパーマーケット</w:t>
            </w:r>
          </w:p>
        </w:tc>
        <w:tc>
          <w:tcPr>
            <w:tcW w:w="560" w:type="dxa"/>
            <w:vAlign w:val="top"/>
          </w:tcPr>
          <w:p>
            <w:pPr>
              <w:pStyle w:val="0"/>
              <w:jc w:val="right"/>
              <w:rPr>
                <w:rFonts w:hint="default"/>
                <w:color w:val="auto"/>
                <w:sz w:val="20"/>
                <w:highlight w:val="none"/>
              </w:rPr>
            </w:pPr>
            <w:r>
              <w:rPr>
                <w:rFonts w:hint="eastAsia"/>
                <w:color w:val="auto"/>
                <w:sz w:val="20"/>
                <w:highlight w:val="none"/>
              </w:rPr>
              <w:t>2</w:t>
            </w:r>
          </w:p>
        </w:tc>
        <w:tc>
          <w:tcPr>
            <w:tcW w:w="2493" w:type="dxa"/>
            <w:vAlign w:val="top"/>
          </w:tcPr>
          <w:p>
            <w:pPr>
              <w:pStyle w:val="0"/>
              <w:rPr>
                <w:rFonts w:hint="default"/>
                <w:color w:val="auto"/>
                <w:sz w:val="20"/>
                <w:highlight w:val="none"/>
              </w:rPr>
            </w:pPr>
            <w:r>
              <w:rPr>
                <w:rFonts w:hint="eastAsia"/>
                <w:color w:val="auto"/>
                <w:sz w:val="20"/>
                <w:highlight w:val="none"/>
              </w:rPr>
              <w:t>生活支援ｺｰﾃﾞｨﾈｰﾀｰ</w:t>
            </w:r>
          </w:p>
        </w:tc>
        <w:tc>
          <w:tcPr>
            <w:tcW w:w="567" w:type="dxa"/>
            <w:vAlign w:val="top"/>
          </w:tcPr>
          <w:p>
            <w:pPr>
              <w:pStyle w:val="0"/>
              <w:jc w:val="right"/>
              <w:rPr>
                <w:rFonts w:hint="default"/>
                <w:color w:val="auto"/>
                <w:sz w:val="20"/>
                <w:highlight w:val="none"/>
              </w:rPr>
            </w:pPr>
            <w:r>
              <w:rPr>
                <w:rFonts w:hint="eastAsia"/>
                <w:color w:val="auto"/>
                <w:sz w:val="20"/>
                <w:highlight w:val="none"/>
              </w:rPr>
              <w:t>1</w:t>
            </w:r>
          </w:p>
        </w:tc>
      </w:tr>
    </w:tbl>
    <w:p>
      <w:pPr>
        <w:pStyle w:val="0"/>
        <w:spacing w:before="74" w:beforeLines="20" w:beforeAutospacing="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〔介護サービス資源等〕</w:t>
      </w:r>
    </w:p>
    <w:tbl>
      <w:tblPr>
        <w:tblStyle w:val="81"/>
        <w:tblW w:w="9180" w:type="dxa"/>
        <w:tblInd w:w="0" w:type="dxa"/>
        <w:tblLayout w:type="fixed"/>
        <w:tblLook w:firstRow="1" w:lastRow="0" w:firstColumn="1" w:lastColumn="0" w:noHBand="0" w:noVBand="1" w:val="04A0"/>
      </w:tblPr>
      <w:tblGrid>
        <w:gridCol w:w="2410"/>
        <w:gridCol w:w="630"/>
        <w:gridCol w:w="2520"/>
        <w:gridCol w:w="560"/>
        <w:gridCol w:w="2493"/>
        <w:gridCol w:w="567"/>
      </w:tblGrid>
      <w:tr>
        <w:trPr/>
        <w:tc>
          <w:tcPr>
            <w:tcW w:w="9180" w:type="dxa"/>
            <w:gridSpan w:val="6"/>
            <w:shd w:val="clear" w:color="auto" w:fill="0070C0"/>
            <w:vAlign w:val="top"/>
          </w:tcPr>
          <w:p>
            <w:pPr>
              <w:pStyle w:val="0"/>
              <w:jc w:val="center"/>
              <w:rPr>
                <w:rFonts w:hint="default"/>
                <w:color w:val="auto"/>
                <w:sz w:val="20"/>
                <w:highlight w:val="none"/>
              </w:rPr>
            </w:pPr>
            <w:r>
              <w:rPr>
                <w:rFonts w:hint="eastAsia"/>
                <w:color w:val="auto"/>
                <w:sz w:val="20"/>
                <w:highlight w:val="none"/>
              </w:rPr>
              <w:t>介護サービス事業所等数（令和</w:t>
            </w:r>
            <w:r>
              <w:rPr>
                <w:rFonts w:hint="eastAsia"/>
                <w:color w:val="auto"/>
                <w:sz w:val="20"/>
                <w:highlight w:val="none"/>
              </w:rPr>
              <w:t>5</w:t>
            </w:r>
            <w:r>
              <w:rPr>
                <w:rFonts w:hint="eastAsia"/>
                <w:color w:val="auto"/>
                <w:sz w:val="20"/>
                <w:highlight w:val="none"/>
              </w:rPr>
              <w:t>年</w:t>
            </w:r>
            <w:r>
              <w:rPr>
                <w:rFonts w:hint="eastAsia"/>
                <w:color w:val="auto"/>
                <w:sz w:val="20"/>
                <w:highlight w:val="none"/>
              </w:rPr>
              <w:t>8</w:t>
            </w:r>
            <w:r>
              <w:rPr>
                <w:rFonts w:hint="eastAsia"/>
                <w:color w:val="auto"/>
                <w:sz w:val="20"/>
                <w:highlight w:val="none"/>
              </w:rPr>
              <w:t>月現在）</w:t>
            </w:r>
          </w:p>
        </w:tc>
      </w:tr>
      <w:tr>
        <w:trPr>
          <w:trHeight w:val="194" w:hRule="atLeast"/>
        </w:trPr>
        <w:tc>
          <w:tcPr>
            <w:tcW w:w="3040" w:type="dxa"/>
            <w:gridSpan w:val="2"/>
            <w:shd w:val="clear" w:color="auto" w:themeFill="accent5" w:themeFillTint="33" w:themeFillShade="FF"/>
            <w:vAlign w:val="top"/>
          </w:tcPr>
          <w:p>
            <w:pPr>
              <w:pStyle w:val="0"/>
              <w:rPr>
                <w:rFonts w:hint="default"/>
                <w:b w:val="1"/>
                <w:color w:val="auto"/>
                <w:sz w:val="20"/>
                <w:highlight w:val="none"/>
              </w:rPr>
            </w:pPr>
            <w:r>
              <w:rPr>
                <w:rFonts w:hint="eastAsia"/>
                <w:b w:val="1"/>
                <w:color w:val="auto"/>
                <w:sz w:val="20"/>
                <w:highlight w:val="none"/>
              </w:rPr>
              <w:t>居宅サービス</w:t>
            </w:r>
          </w:p>
        </w:tc>
        <w:tc>
          <w:tcPr>
            <w:tcW w:w="3080" w:type="dxa"/>
            <w:gridSpan w:val="2"/>
            <w:shd w:val="clear" w:color="auto" w:themeFill="accent5" w:themeFillTint="33" w:themeFillShade="FF"/>
            <w:vAlign w:val="top"/>
          </w:tcPr>
          <w:p>
            <w:pPr>
              <w:pStyle w:val="0"/>
              <w:rPr>
                <w:rFonts w:hint="default"/>
                <w:b w:val="1"/>
                <w:color w:val="auto"/>
                <w:sz w:val="20"/>
                <w:highlight w:val="none"/>
              </w:rPr>
            </w:pPr>
            <w:r>
              <w:rPr>
                <w:rFonts w:hint="eastAsia"/>
                <w:b w:val="1"/>
                <w:color w:val="auto"/>
                <w:sz w:val="20"/>
                <w:highlight w:val="none"/>
              </w:rPr>
              <w:t>地域密着型サービス</w:t>
            </w:r>
          </w:p>
        </w:tc>
        <w:tc>
          <w:tcPr>
            <w:tcW w:w="3060" w:type="dxa"/>
            <w:gridSpan w:val="2"/>
            <w:shd w:val="clear" w:color="auto" w:themeFill="accent5" w:themeFillTint="33" w:themeFillShade="FF"/>
            <w:vAlign w:val="top"/>
          </w:tcPr>
          <w:p>
            <w:pPr>
              <w:pStyle w:val="0"/>
              <w:rPr>
                <w:rFonts w:hint="default"/>
                <w:b w:val="1"/>
                <w:color w:val="auto"/>
                <w:sz w:val="20"/>
                <w:highlight w:val="none"/>
              </w:rPr>
            </w:pPr>
            <w:r>
              <w:rPr>
                <w:rFonts w:hint="eastAsia"/>
                <w:b w:val="1"/>
                <w:color w:val="auto"/>
                <w:sz w:val="20"/>
                <w:highlight w:val="none"/>
              </w:rPr>
              <w:t>施設サービス</w:t>
            </w:r>
          </w:p>
        </w:tc>
      </w:tr>
      <w:tr>
        <w:trPr/>
        <w:tc>
          <w:tcPr>
            <w:tcW w:w="2410" w:type="dxa"/>
            <w:vAlign w:val="top"/>
          </w:tcPr>
          <w:p>
            <w:pPr>
              <w:pStyle w:val="0"/>
              <w:ind w:left="220" w:leftChars="100"/>
              <w:rPr>
                <w:rFonts w:hint="default"/>
                <w:color w:val="auto"/>
                <w:sz w:val="20"/>
                <w:highlight w:val="none"/>
              </w:rPr>
            </w:pPr>
            <w:r>
              <w:rPr>
                <w:rFonts w:hint="eastAsia"/>
                <w:color w:val="auto"/>
                <w:sz w:val="20"/>
                <w:highlight w:val="none"/>
              </w:rPr>
              <w:t>居宅介護支援</w:t>
            </w:r>
          </w:p>
        </w:tc>
        <w:tc>
          <w:tcPr>
            <w:tcW w:w="630" w:type="dxa"/>
            <w:vAlign w:val="top"/>
          </w:tcPr>
          <w:p>
            <w:pPr>
              <w:pStyle w:val="0"/>
              <w:jc w:val="right"/>
              <w:rPr>
                <w:rFonts w:hint="default"/>
                <w:color w:val="auto"/>
                <w:sz w:val="20"/>
                <w:highlight w:val="none"/>
              </w:rPr>
            </w:pPr>
            <w:r>
              <w:rPr>
                <w:rFonts w:hint="eastAsia"/>
                <w:color w:val="auto"/>
                <w:sz w:val="20"/>
                <w:highlight w:val="none"/>
              </w:rPr>
              <w:t>7</w:t>
            </w:r>
          </w:p>
        </w:tc>
        <w:tc>
          <w:tcPr>
            <w:tcW w:w="2520" w:type="dxa"/>
            <w:vAlign w:val="top"/>
          </w:tcPr>
          <w:p>
            <w:pPr>
              <w:pStyle w:val="0"/>
              <w:ind w:left="220" w:leftChars="100"/>
              <w:rPr>
                <w:rFonts w:hint="default"/>
                <w:color w:val="auto"/>
                <w:sz w:val="20"/>
                <w:highlight w:val="none"/>
              </w:rPr>
            </w:pPr>
            <w:r>
              <w:rPr>
                <w:rFonts w:hint="eastAsia"/>
                <w:color w:val="auto"/>
                <w:sz w:val="20"/>
                <w:highlight w:val="none"/>
              </w:rPr>
              <w:t>定期巡回</w:t>
            </w:r>
          </w:p>
        </w:tc>
        <w:tc>
          <w:tcPr>
            <w:tcW w:w="560" w:type="dxa"/>
            <w:vAlign w:val="top"/>
          </w:tcPr>
          <w:p>
            <w:pPr>
              <w:pStyle w:val="0"/>
              <w:jc w:val="right"/>
              <w:rPr>
                <w:rFonts w:hint="default"/>
                <w:color w:val="auto"/>
                <w:sz w:val="20"/>
                <w:highlight w:val="none"/>
              </w:rPr>
            </w:pPr>
            <w:r>
              <w:rPr>
                <w:rFonts w:hint="eastAsia"/>
                <w:color w:val="auto"/>
                <w:sz w:val="20"/>
                <w:highlight w:val="none"/>
              </w:rPr>
              <w:t>0</w:t>
            </w:r>
          </w:p>
        </w:tc>
        <w:tc>
          <w:tcPr>
            <w:tcW w:w="2493" w:type="dxa"/>
            <w:vAlign w:val="top"/>
          </w:tcPr>
          <w:p>
            <w:pPr>
              <w:pStyle w:val="0"/>
              <w:ind w:left="220" w:leftChars="100" w:right="-110" w:rightChars="-50"/>
              <w:rPr>
                <w:rFonts w:hint="default"/>
                <w:color w:val="auto"/>
                <w:sz w:val="20"/>
                <w:highlight w:val="none"/>
              </w:rPr>
            </w:pPr>
            <w:r>
              <w:rPr>
                <w:rFonts w:hint="eastAsia"/>
                <w:color w:val="auto"/>
                <w:sz w:val="20"/>
                <w:highlight w:val="none"/>
              </w:rPr>
              <w:t>介護老人福祉施設</w:t>
            </w:r>
          </w:p>
        </w:tc>
        <w:tc>
          <w:tcPr>
            <w:tcW w:w="567" w:type="dxa"/>
            <w:vAlign w:val="top"/>
          </w:tcPr>
          <w:p>
            <w:pPr>
              <w:pStyle w:val="0"/>
              <w:jc w:val="right"/>
              <w:rPr>
                <w:rFonts w:hint="default"/>
                <w:color w:val="auto"/>
                <w:sz w:val="20"/>
                <w:highlight w:val="none"/>
              </w:rPr>
            </w:pPr>
            <w:r>
              <w:rPr>
                <w:rFonts w:hint="eastAsia"/>
                <w:color w:val="auto"/>
                <w:sz w:val="20"/>
                <w:highlight w:val="none"/>
              </w:rPr>
              <w:t>1</w:t>
            </w:r>
          </w:p>
        </w:tc>
      </w:tr>
      <w:tr>
        <w:trPr/>
        <w:tc>
          <w:tcPr>
            <w:tcW w:w="2410" w:type="dxa"/>
            <w:vAlign w:val="top"/>
          </w:tcPr>
          <w:p>
            <w:pPr>
              <w:pStyle w:val="0"/>
              <w:ind w:left="220" w:leftChars="100"/>
              <w:rPr>
                <w:rFonts w:hint="default"/>
                <w:color w:val="auto"/>
                <w:sz w:val="20"/>
                <w:highlight w:val="none"/>
              </w:rPr>
            </w:pPr>
            <w:r>
              <w:rPr>
                <w:rFonts w:hint="eastAsia"/>
                <w:color w:val="auto"/>
                <w:sz w:val="20"/>
                <w:highlight w:val="none"/>
              </w:rPr>
              <w:t>訪問介護</w:t>
            </w:r>
          </w:p>
        </w:tc>
        <w:tc>
          <w:tcPr>
            <w:tcW w:w="630" w:type="dxa"/>
            <w:vAlign w:val="top"/>
          </w:tcPr>
          <w:p>
            <w:pPr>
              <w:pStyle w:val="0"/>
              <w:jc w:val="right"/>
              <w:rPr>
                <w:rFonts w:hint="default"/>
                <w:color w:val="auto"/>
                <w:sz w:val="20"/>
                <w:highlight w:val="none"/>
              </w:rPr>
            </w:pPr>
            <w:r>
              <w:rPr>
                <w:rFonts w:hint="eastAsia"/>
                <w:color w:val="auto"/>
                <w:sz w:val="20"/>
                <w:highlight w:val="none"/>
              </w:rPr>
              <w:t>6</w:t>
            </w:r>
          </w:p>
        </w:tc>
        <w:tc>
          <w:tcPr>
            <w:tcW w:w="2520" w:type="dxa"/>
            <w:vAlign w:val="top"/>
          </w:tcPr>
          <w:p>
            <w:pPr>
              <w:pStyle w:val="0"/>
              <w:ind w:left="220" w:leftChars="100"/>
              <w:rPr>
                <w:rFonts w:hint="default"/>
                <w:color w:val="auto"/>
                <w:sz w:val="20"/>
                <w:highlight w:val="none"/>
              </w:rPr>
            </w:pPr>
            <w:r>
              <w:rPr>
                <w:rFonts w:hint="eastAsia"/>
                <w:color w:val="auto"/>
                <w:sz w:val="20"/>
                <w:highlight w:val="none"/>
              </w:rPr>
              <w:t>認知症対応型通所</w:t>
            </w:r>
          </w:p>
        </w:tc>
        <w:tc>
          <w:tcPr>
            <w:tcW w:w="560" w:type="dxa"/>
            <w:vAlign w:val="top"/>
          </w:tcPr>
          <w:p>
            <w:pPr>
              <w:pStyle w:val="0"/>
              <w:jc w:val="right"/>
              <w:rPr>
                <w:rFonts w:hint="default"/>
                <w:color w:val="auto"/>
                <w:sz w:val="20"/>
                <w:highlight w:val="none"/>
              </w:rPr>
            </w:pPr>
            <w:r>
              <w:rPr>
                <w:rFonts w:hint="eastAsia"/>
                <w:color w:val="auto"/>
                <w:sz w:val="20"/>
                <w:highlight w:val="none"/>
              </w:rPr>
              <w:t>1</w:t>
            </w:r>
          </w:p>
        </w:tc>
        <w:tc>
          <w:tcPr>
            <w:tcW w:w="2493" w:type="dxa"/>
            <w:vAlign w:val="top"/>
          </w:tcPr>
          <w:p>
            <w:pPr>
              <w:pStyle w:val="0"/>
              <w:ind w:left="220" w:leftChars="100" w:right="-110" w:rightChars="-50"/>
              <w:rPr>
                <w:rFonts w:hint="default"/>
                <w:color w:val="auto"/>
                <w:sz w:val="20"/>
                <w:highlight w:val="none"/>
              </w:rPr>
            </w:pPr>
            <w:r>
              <w:rPr>
                <w:rFonts w:hint="eastAsia"/>
                <w:color w:val="auto"/>
                <w:sz w:val="20"/>
                <w:highlight w:val="none"/>
              </w:rPr>
              <w:t>介護老人保健施設</w:t>
            </w:r>
          </w:p>
        </w:tc>
        <w:tc>
          <w:tcPr>
            <w:tcW w:w="567" w:type="dxa"/>
            <w:vAlign w:val="top"/>
          </w:tcPr>
          <w:p>
            <w:pPr>
              <w:pStyle w:val="0"/>
              <w:jc w:val="right"/>
              <w:rPr>
                <w:rFonts w:hint="default"/>
                <w:color w:val="auto"/>
                <w:sz w:val="20"/>
                <w:highlight w:val="none"/>
              </w:rPr>
            </w:pPr>
            <w:r>
              <w:rPr>
                <w:rFonts w:hint="eastAsia"/>
                <w:color w:val="auto"/>
                <w:sz w:val="20"/>
                <w:highlight w:val="none"/>
              </w:rPr>
              <w:t>1</w:t>
            </w:r>
          </w:p>
        </w:tc>
      </w:tr>
      <w:tr>
        <w:trPr/>
        <w:tc>
          <w:tcPr>
            <w:tcW w:w="2410" w:type="dxa"/>
            <w:vAlign w:val="top"/>
          </w:tcPr>
          <w:p>
            <w:pPr>
              <w:pStyle w:val="0"/>
              <w:ind w:left="220" w:leftChars="100"/>
              <w:rPr>
                <w:rFonts w:hint="default"/>
                <w:color w:val="auto"/>
                <w:sz w:val="20"/>
                <w:highlight w:val="none"/>
              </w:rPr>
            </w:pPr>
            <w:r>
              <w:rPr>
                <w:rFonts w:hint="eastAsia"/>
                <w:color w:val="auto"/>
                <w:sz w:val="20"/>
                <w:highlight w:val="none"/>
              </w:rPr>
              <w:t>訪問入浴介護</w:t>
            </w:r>
          </w:p>
        </w:tc>
        <w:tc>
          <w:tcPr>
            <w:tcW w:w="630" w:type="dxa"/>
            <w:vAlign w:val="top"/>
          </w:tcPr>
          <w:p>
            <w:pPr>
              <w:pStyle w:val="0"/>
              <w:jc w:val="right"/>
              <w:rPr>
                <w:rFonts w:hint="default"/>
                <w:color w:val="auto"/>
                <w:sz w:val="20"/>
                <w:highlight w:val="none"/>
              </w:rPr>
            </w:pPr>
            <w:r>
              <w:rPr>
                <w:rFonts w:hint="eastAsia"/>
                <w:color w:val="auto"/>
                <w:sz w:val="20"/>
                <w:highlight w:val="none"/>
              </w:rPr>
              <w:t>0</w:t>
            </w:r>
          </w:p>
        </w:tc>
        <w:tc>
          <w:tcPr>
            <w:tcW w:w="2520" w:type="dxa"/>
            <w:vAlign w:val="top"/>
          </w:tcPr>
          <w:p>
            <w:pPr>
              <w:pStyle w:val="0"/>
              <w:ind w:left="220" w:leftChars="100"/>
              <w:rPr>
                <w:rFonts w:hint="default"/>
                <w:color w:val="auto"/>
                <w:sz w:val="20"/>
                <w:highlight w:val="none"/>
              </w:rPr>
            </w:pPr>
            <w:r>
              <w:rPr>
                <w:rFonts w:hint="eastAsia"/>
                <w:color w:val="auto"/>
                <w:sz w:val="20"/>
                <w:highlight w:val="none"/>
              </w:rPr>
              <w:t>地域密着型通所</w:t>
            </w:r>
          </w:p>
        </w:tc>
        <w:tc>
          <w:tcPr>
            <w:tcW w:w="560" w:type="dxa"/>
            <w:vAlign w:val="top"/>
          </w:tcPr>
          <w:p>
            <w:pPr>
              <w:pStyle w:val="0"/>
              <w:jc w:val="right"/>
              <w:rPr>
                <w:rFonts w:hint="default"/>
                <w:color w:val="auto"/>
                <w:sz w:val="20"/>
                <w:highlight w:val="none"/>
              </w:rPr>
            </w:pPr>
            <w:r>
              <w:rPr>
                <w:rFonts w:hint="eastAsia"/>
                <w:color w:val="auto"/>
                <w:sz w:val="20"/>
                <w:highlight w:val="none"/>
              </w:rPr>
              <w:t>2</w:t>
            </w:r>
          </w:p>
        </w:tc>
        <w:tc>
          <w:tcPr>
            <w:tcW w:w="2493" w:type="dxa"/>
            <w:vAlign w:val="top"/>
          </w:tcPr>
          <w:p>
            <w:pPr>
              <w:pStyle w:val="0"/>
              <w:ind w:firstLine="200" w:firstLineChars="100"/>
              <w:rPr>
                <w:rFonts w:hint="default"/>
                <w:color w:val="auto"/>
                <w:sz w:val="20"/>
                <w:highlight w:val="none"/>
              </w:rPr>
            </w:pPr>
            <w:r>
              <w:rPr>
                <w:rFonts w:hint="eastAsia"/>
                <w:color w:val="auto"/>
                <w:sz w:val="20"/>
                <w:highlight w:val="none"/>
              </w:rPr>
              <w:t>介護医療院</w:t>
            </w:r>
          </w:p>
        </w:tc>
        <w:tc>
          <w:tcPr>
            <w:tcW w:w="567" w:type="dxa"/>
            <w:vAlign w:val="top"/>
          </w:tcPr>
          <w:p>
            <w:pPr>
              <w:pStyle w:val="0"/>
              <w:jc w:val="right"/>
              <w:rPr>
                <w:rFonts w:hint="default"/>
                <w:color w:val="auto"/>
                <w:sz w:val="20"/>
                <w:highlight w:val="none"/>
              </w:rPr>
            </w:pPr>
            <w:r>
              <w:rPr>
                <w:rFonts w:hint="eastAsia"/>
                <w:color w:val="auto"/>
                <w:sz w:val="20"/>
                <w:highlight w:val="none"/>
              </w:rPr>
              <w:t>0</w:t>
            </w:r>
          </w:p>
        </w:tc>
      </w:tr>
      <w:tr>
        <w:trPr/>
        <w:tc>
          <w:tcPr>
            <w:tcW w:w="2410" w:type="dxa"/>
            <w:vAlign w:val="top"/>
          </w:tcPr>
          <w:p>
            <w:pPr>
              <w:pStyle w:val="0"/>
              <w:ind w:left="220" w:leftChars="100"/>
              <w:rPr>
                <w:rFonts w:hint="default"/>
                <w:color w:val="auto"/>
                <w:sz w:val="20"/>
                <w:highlight w:val="none"/>
              </w:rPr>
            </w:pPr>
            <w:r>
              <w:rPr>
                <w:rFonts w:hint="eastAsia"/>
                <w:color w:val="auto"/>
                <w:sz w:val="20"/>
                <w:highlight w:val="none"/>
              </w:rPr>
              <w:t>訪問看護</w:t>
            </w:r>
          </w:p>
        </w:tc>
        <w:tc>
          <w:tcPr>
            <w:tcW w:w="630" w:type="dxa"/>
            <w:vAlign w:val="top"/>
          </w:tcPr>
          <w:p>
            <w:pPr>
              <w:pStyle w:val="0"/>
              <w:jc w:val="right"/>
              <w:rPr>
                <w:rFonts w:hint="default"/>
                <w:color w:val="auto"/>
                <w:sz w:val="20"/>
                <w:highlight w:val="none"/>
              </w:rPr>
            </w:pPr>
            <w:r>
              <w:rPr>
                <w:rFonts w:hint="eastAsia"/>
                <w:color w:val="auto"/>
                <w:sz w:val="20"/>
                <w:highlight w:val="none"/>
              </w:rPr>
              <w:t>3</w:t>
            </w:r>
          </w:p>
        </w:tc>
        <w:tc>
          <w:tcPr>
            <w:tcW w:w="2520" w:type="dxa"/>
            <w:vAlign w:val="top"/>
          </w:tcPr>
          <w:p>
            <w:pPr>
              <w:pStyle w:val="0"/>
              <w:ind w:left="220" w:leftChars="100"/>
              <w:rPr>
                <w:rFonts w:hint="default"/>
                <w:color w:val="auto"/>
                <w:sz w:val="20"/>
                <w:highlight w:val="none"/>
              </w:rPr>
            </w:pPr>
            <w:r>
              <w:rPr>
                <w:rFonts w:hint="eastAsia"/>
                <w:color w:val="auto"/>
                <w:sz w:val="20"/>
                <w:highlight w:val="none"/>
              </w:rPr>
              <w:t>グループホーム</w:t>
            </w:r>
          </w:p>
        </w:tc>
        <w:tc>
          <w:tcPr>
            <w:tcW w:w="560" w:type="dxa"/>
            <w:vAlign w:val="top"/>
          </w:tcPr>
          <w:p>
            <w:pPr>
              <w:pStyle w:val="0"/>
              <w:jc w:val="right"/>
              <w:rPr>
                <w:rFonts w:hint="default"/>
                <w:color w:val="auto"/>
                <w:sz w:val="20"/>
                <w:highlight w:val="none"/>
              </w:rPr>
            </w:pPr>
            <w:r>
              <w:rPr>
                <w:rFonts w:hint="eastAsia"/>
                <w:color w:val="auto"/>
                <w:sz w:val="20"/>
                <w:highlight w:val="none"/>
              </w:rPr>
              <w:t>3</w:t>
            </w:r>
          </w:p>
        </w:tc>
        <w:tc>
          <w:tcPr>
            <w:tcW w:w="2493" w:type="dxa"/>
            <w:shd w:val="clear" w:color="auto" w:themeFill="text2" w:themeFillTint="33" w:themeFillShade="FF"/>
            <w:vAlign w:val="top"/>
          </w:tcPr>
          <w:p>
            <w:pPr>
              <w:pStyle w:val="0"/>
              <w:rPr>
                <w:rFonts w:hint="default"/>
                <w:b w:val="1"/>
                <w:color w:val="auto"/>
                <w:sz w:val="20"/>
                <w:highlight w:val="none"/>
              </w:rPr>
            </w:pPr>
            <w:r>
              <w:rPr>
                <w:rFonts w:hint="eastAsia"/>
                <w:b w:val="1"/>
                <w:color w:val="auto"/>
                <w:sz w:val="20"/>
                <w:highlight w:val="none"/>
              </w:rPr>
              <w:t>総合事業</w:t>
            </w:r>
          </w:p>
        </w:tc>
        <w:tc>
          <w:tcPr>
            <w:tcW w:w="567" w:type="dxa"/>
            <w:shd w:val="clear" w:color="auto" w:themeFill="text2" w:themeFillTint="33" w:themeFillShade="FF"/>
            <w:vAlign w:val="top"/>
          </w:tcPr>
          <w:p>
            <w:pPr>
              <w:pStyle w:val="0"/>
              <w:jc w:val="right"/>
              <w:rPr>
                <w:rFonts w:hint="default"/>
                <w:b w:val="1"/>
                <w:color w:val="auto"/>
                <w:sz w:val="20"/>
                <w:highlight w:val="none"/>
              </w:rPr>
            </w:pPr>
            <w:r>
              <w:rPr>
                <w:rFonts w:hint="eastAsia"/>
                <w:color w:val="auto"/>
                <w:sz w:val="20"/>
                <w:highlight w:val="none"/>
              </w:rPr>
              <w:t>14</w:t>
            </w:r>
          </w:p>
        </w:tc>
      </w:tr>
      <w:tr>
        <w:trPr/>
        <w:tc>
          <w:tcPr>
            <w:tcW w:w="2410" w:type="dxa"/>
            <w:vAlign w:val="top"/>
          </w:tcPr>
          <w:p>
            <w:pPr>
              <w:pStyle w:val="0"/>
              <w:ind w:left="220" w:leftChars="100"/>
              <w:rPr>
                <w:rFonts w:hint="default"/>
                <w:color w:val="auto"/>
                <w:sz w:val="20"/>
                <w:highlight w:val="none"/>
              </w:rPr>
            </w:pPr>
            <w:r>
              <w:rPr>
                <w:rFonts w:hint="eastAsia"/>
                <w:color w:val="auto"/>
                <w:sz w:val="20"/>
                <w:highlight w:val="none"/>
              </w:rPr>
              <w:t>訪問ﾘﾊﾋﾞﾘﾃｰｼｮﾝ</w:t>
            </w:r>
          </w:p>
        </w:tc>
        <w:tc>
          <w:tcPr>
            <w:tcW w:w="630" w:type="dxa"/>
            <w:vAlign w:val="top"/>
          </w:tcPr>
          <w:p>
            <w:pPr>
              <w:pStyle w:val="0"/>
              <w:jc w:val="right"/>
              <w:rPr>
                <w:rFonts w:hint="default"/>
                <w:color w:val="auto"/>
                <w:sz w:val="20"/>
                <w:highlight w:val="none"/>
              </w:rPr>
            </w:pPr>
            <w:r>
              <w:rPr>
                <w:rFonts w:hint="eastAsia"/>
                <w:color w:val="auto"/>
                <w:sz w:val="20"/>
                <w:highlight w:val="none"/>
              </w:rPr>
              <w:t>0</w:t>
            </w:r>
          </w:p>
        </w:tc>
        <w:tc>
          <w:tcPr>
            <w:tcW w:w="2520" w:type="dxa"/>
            <w:vAlign w:val="top"/>
          </w:tcPr>
          <w:p>
            <w:pPr>
              <w:pStyle w:val="0"/>
              <w:ind w:firstLine="200" w:firstLineChars="100"/>
              <w:rPr>
                <w:rFonts w:hint="default"/>
                <w:color w:val="auto"/>
                <w:sz w:val="20"/>
                <w:highlight w:val="none"/>
              </w:rPr>
            </w:pPr>
            <w:r>
              <w:rPr>
                <w:rFonts w:hint="eastAsia"/>
                <w:color w:val="auto"/>
                <w:sz w:val="20"/>
                <w:highlight w:val="none"/>
              </w:rPr>
              <w:t>小規模多機能</w:t>
            </w:r>
          </w:p>
        </w:tc>
        <w:tc>
          <w:tcPr>
            <w:tcW w:w="560" w:type="dxa"/>
            <w:vAlign w:val="top"/>
          </w:tcPr>
          <w:p>
            <w:pPr>
              <w:pStyle w:val="0"/>
              <w:jc w:val="right"/>
              <w:rPr>
                <w:rFonts w:hint="default"/>
                <w:color w:val="auto"/>
                <w:sz w:val="20"/>
                <w:highlight w:val="none"/>
              </w:rPr>
            </w:pPr>
            <w:r>
              <w:rPr>
                <w:rFonts w:hint="eastAsia"/>
                <w:color w:val="auto"/>
                <w:sz w:val="20"/>
                <w:highlight w:val="none"/>
              </w:rPr>
              <w:t>0</w:t>
            </w:r>
          </w:p>
        </w:tc>
        <w:tc>
          <w:tcPr>
            <w:tcW w:w="3060" w:type="dxa"/>
            <w:gridSpan w:val="2"/>
            <w:shd w:val="clear" w:color="auto" w:themeFill="text2" w:themeFillTint="33" w:themeFillShade="FF"/>
            <w:vAlign w:val="top"/>
          </w:tcPr>
          <w:p>
            <w:pPr>
              <w:pStyle w:val="0"/>
              <w:jc w:val="left"/>
              <w:rPr>
                <w:rFonts w:hint="default"/>
                <w:b w:val="1"/>
                <w:color w:val="auto"/>
                <w:sz w:val="20"/>
                <w:highlight w:val="none"/>
              </w:rPr>
            </w:pPr>
            <w:r>
              <w:rPr>
                <w:rFonts w:hint="eastAsia"/>
                <w:b w:val="1"/>
                <w:color w:val="auto"/>
                <w:sz w:val="20"/>
                <w:highlight w:val="none"/>
              </w:rPr>
              <w:t>その他</w:t>
            </w:r>
          </w:p>
        </w:tc>
      </w:tr>
      <w:tr>
        <w:trPr>
          <w:trHeight w:val="122" w:hRule="atLeast"/>
        </w:trPr>
        <w:tc>
          <w:tcPr>
            <w:tcW w:w="2410" w:type="dxa"/>
            <w:vAlign w:val="top"/>
          </w:tcPr>
          <w:p>
            <w:pPr>
              <w:pStyle w:val="0"/>
              <w:ind w:left="220" w:leftChars="100"/>
              <w:rPr>
                <w:rFonts w:hint="default"/>
                <w:color w:val="auto"/>
                <w:sz w:val="20"/>
                <w:highlight w:val="none"/>
              </w:rPr>
            </w:pPr>
            <w:r>
              <w:rPr>
                <w:rFonts w:hint="eastAsia"/>
                <w:color w:val="auto"/>
                <w:sz w:val="20"/>
                <w:highlight w:val="none"/>
              </w:rPr>
              <w:t>通所介護</w:t>
            </w:r>
          </w:p>
        </w:tc>
        <w:tc>
          <w:tcPr>
            <w:tcW w:w="630" w:type="dxa"/>
            <w:vAlign w:val="top"/>
          </w:tcPr>
          <w:p>
            <w:pPr>
              <w:pStyle w:val="0"/>
              <w:jc w:val="right"/>
              <w:rPr>
                <w:rFonts w:hint="default"/>
                <w:color w:val="auto"/>
                <w:sz w:val="20"/>
                <w:highlight w:val="none"/>
              </w:rPr>
            </w:pPr>
            <w:r>
              <w:rPr>
                <w:rFonts w:hint="eastAsia"/>
                <w:color w:val="auto"/>
                <w:sz w:val="20"/>
                <w:highlight w:val="none"/>
              </w:rPr>
              <w:t>5</w:t>
            </w:r>
          </w:p>
        </w:tc>
        <w:tc>
          <w:tcPr>
            <w:tcW w:w="2520" w:type="dxa"/>
            <w:vAlign w:val="top"/>
          </w:tcPr>
          <w:p>
            <w:pPr>
              <w:pStyle w:val="0"/>
              <w:ind w:firstLine="200" w:firstLineChars="100"/>
              <w:rPr>
                <w:rFonts w:hint="default"/>
                <w:color w:val="auto"/>
                <w:sz w:val="20"/>
                <w:highlight w:val="none"/>
              </w:rPr>
            </w:pPr>
            <w:r>
              <w:rPr>
                <w:rFonts w:hint="eastAsia"/>
                <w:color w:val="auto"/>
                <w:sz w:val="20"/>
                <w:highlight w:val="none"/>
              </w:rPr>
              <w:t>看護小規模多機能</w:t>
            </w:r>
          </w:p>
        </w:tc>
        <w:tc>
          <w:tcPr>
            <w:tcW w:w="560" w:type="dxa"/>
            <w:vAlign w:val="top"/>
          </w:tcPr>
          <w:p>
            <w:pPr>
              <w:pStyle w:val="0"/>
              <w:jc w:val="right"/>
              <w:rPr>
                <w:rFonts w:hint="default"/>
                <w:color w:val="auto"/>
                <w:sz w:val="20"/>
                <w:highlight w:val="none"/>
              </w:rPr>
            </w:pPr>
            <w:r>
              <w:rPr>
                <w:rFonts w:hint="eastAsia"/>
                <w:color w:val="auto"/>
                <w:sz w:val="20"/>
                <w:highlight w:val="none"/>
              </w:rPr>
              <w:t>0</w:t>
            </w:r>
          </w:p>
        </w:tc>
        <w:tc>
          <w:tcPr>
            <w:tcW w:w="2493" w:type="dxa"/>
            <w:shd w:val="clear" w:color="auto" w:fill="auto"/>
            <w:vAlign w:val="center"/>
          </w:tcPr>
          <w:p>
            <w:pPr>
              <w:pStyle w:val="0"/>
              <w:ind w:firstLine="200" w:firstLineChars="100"/>
              <w:rPr>
                <w:rFonts w:hint="default"/>
                <w:color w:val="auto"/>
                <w:sz w:val="20"/>
                <w:highlight w:val="none"/>
              </w:rPr>
            </w:pPr>
            <w:r>
              <w:rPr>
                <w:rFonts w:hint="eastAsia"/>
                <w:color w:val="auto"/>
                <w:sz w:val="20"/>
                <w:highlight w:val="none"/>
              </w:rPr>
              <w:t>ｹｱﾊｳｽ</w:t>
            </w:r>
            <w:r>
              <w:rPr>
                <w:rFonts w:hint="eastAsia"/>
                <w:color w:val="auto"/>
                <w:sz w:val="20"/>
                <w:highlight w:val="none"/>
              </w:rPr>
              <w:t>(</w:t>
            </w:r>
            <w:r>
              <w:rPr>
                <w:rFonts w:hint="eastAsia"/>
                <w:color w:val="auto"/>
                <w:sz w:val="20"/>
                <w:highlight w:val="none"/>
              </w:rPr>
              <w:t>軽費老人ﾎｰﾑ</w:t>
            </w:r>
            <w:r>
              <w:rPr>
                <w:rFonts w:hint="eastAsia"/>
                <w:color w:val="auto"/>
                <w:sz w:val="20"/>
                <w:highlight w:val="none"/>
              </w:rPr>
              <w:t>)</w:t>
            </w:r>
          </w:p>
        </w:tc>
        <w:tc>
          <w:tcPr>
            <w:tcW w:w="567" w:type="dxa"/>
            <w:shd w:val="clear" w:color="auto" w:fill="auto"/>
            <w:vAlign w:val="top"/>
          </w:tcPr>
          <w:p>
            <w:pPr>
              <w:pStyle w:val="0"/>
              <w:jc w:val="right"/>
              <w:rPr>
                <w:rFonts w:hint="default"/>
                <w:color w:val="auto"/>
                <w:sz w:val="20"/>
                <w:highlight w:val="none"/>
              </w:rPr>
            </w:pPr>
            <w:r>
              <w:rPr>
                <w:rFonts w:hint="eastAsia"/>
                <w:color w:val="auto"/>
                <w:sz w:val="20"/>
                <w:highlight w:val="none"/>
              </w:rPr>
              <w:t>1</w:t>
            </w:r>
          </w:p>
        </w:tc>
      </w:tr>
      <w:tr>
        <w:trPr/>
        <w:tc>
          <w:tcPr>
            <w:tcW w:w="2410" w:type="dxa"/>
            <w:vAlign w:val="top"/>
          </w:tcPr>
          <w:p>
            <w:pPr>
              <w:pStyle w:val="0"/>
              <w:ind w:left="220" w:leftChars="100"/>
              <w:rPr>
                <w:rFonts w:hint="default"/>
                <w:color w:val="auto"/>
                <w:sz w:val="20"/>
                <w:highlight w:val="none"/>
              </w:rPr>
            </w:pPr>
            <w:r>
              <w:rPr>
                <w:rFonts w:hint="eastAsia"/>
                <w:color w:val="auto"/>
                <w:sz w:val="20"/>
                <w:highlight w:val="none"/>
              </w:rPr>
              <w:t>通所ﾘﾊﾋﾞﾘﾃｰｼｮﾝ</w:t>
            </w:r>
          </w:p>
        </w:tc>
        <w:tc>
          <w:tcPr>
            <w:tcW w:w="630" w:type="dxa"/>
            <w:vAlign w:val="top"/>
          </w:tcPr>
          <w:p>
            <w:pPr>
              <w:pStyle w:val="0"/>
              <w:jc w:val="right"/>
              <w:rPr>
                <w:rFonts w:hint="default"/>
                <w:color w:val="auto"/>
                <w:sz w:val="20"/>
                <w:highlight w:val="none"/>
              </w:rPr>
            </w:pPr>
            <w:r>
              <w:rPr>
                <w:rFonts w:hint="eastAsia"/>
                <w:color w:val="auto"/>
                <w:sz w:val="20"/>
                <w:highlight w:val="none"/>
              </w:rPr>
              <w:t>1</w:t>
            </w:r>
          </w:p>
        </w:tc>
        <w:tc>
          <w:tcPr>
            <w:tcW w:w="2520" w:type="dxa"/>
            <w:vAlign w:val="top"/>
          </w:tcPr>
          <w:p>
            <w:pPr>
              <w:pStyle w:val="0"/>
              <w:ind w:firstLine="100" w:firstLineChars="50"/>
              <w:rPr>
                <w:rFonts w:hint="default"/>
                <w:color w:val="auto"/>
                <w:sz w:val="20"/>
                <w:highlight w:val="none"/>
              </w:rPr>
            </w:pPr>
            <w:r>
              <w:rPr>
                <w:rFonts w:hint="eastAsia"/>
                <w:color w:val="auto"/>
                <w:sz w:val="20"/>
                <w:highlight w:val="none"/>
              </w:rPr>
              <w:t>　地域密着型特養</w:t>
            </w:r>
          </w:p>
        </w:tc>
        <w:tc>
          <w:tcPr>
            <w:tcW w:w="560" w:type="dxa"/>
            <w:vAlign w:val="top"/>
          </w:tcPr>
          <w:p>
            <w:pPr>
              <w:pStyle w:val="0"/>
              <w:jc w:val="right"/>
              <w:rPr>
                <w:rFonts w:hint="default"/>
                <w:color w:val="auto"/>
                <w:sz w:val="20"/>
                <w:highlight w:val="none"/>
              </w:rPr>
            </w:pPr>
            <w:r>
              <w:rPr>
                <w:rFonts w:hint="eastAsia"/>
                <w:color w:val="auto"/>
                <w:sz w:val="20"/>
                <w:highlight w:val="none"/>
              </w:rPr>
              <w:t>0</w:t>
            </w:r>
          </w:p>
        </w:tc>
        <w:tc>
          <w:tcPr>
            <w:tcW w:w="2493" w:type="dxa"/>
            <w:shd w:val="clear" w:color="auto" w:fill="auto"/>
            <w:vAlign w:val="top"/>
          </w:tcPr>
          <w:p>
            <w:pPr>
              <w:pStyle w:val="0"/>
              <w:ind w:right="-110" w:rightChars="-50" w:firstLine="200" w:firstLineChars="100"/>
              <w:rPr>
                <w:rFonts w:hint="default"/>
                <w:color w:val="auto"/>
                <w:sz w:val="20"/>
                <w:highlight w:val="none"/>
              </w:rPr>
            </w:pPr>
            <w:r>
              <w:rPr>
                <w:rFonts w:hint="eastAsia"/>
                <w:color w:val="auto"/>
                <w:sz w:val="20"/>
                <w:highlight w:val="none"/>
              </w:rPr>
              <w:t>サ高住</w:t>
            </w:r>
          </w:p>
        </w:tc>
        <w:tc>
          <w:tcPr>
            <w:tcW w:w="567" w:type="dxa"/>
            <w:shd w:val="clear" w:color="auto" w:fill="auto"/>
            <w:vAlign w:val="top"/>
          </w:tcPr>
          <w:p>
            <w:pPr>
              <w:pStyle w:val="0"/>
              <w:jc w:val="right"/>
              <w:rPr>
                <w:rFonts w:hint="default"/>
                <w:color w:val="auto"/>
                <w:sz w:val="20"/>
                <w:highlight w:val="none"/>
              </w:rPr>
            </w:pPr>
            <w:r>
              <w:rPr>
                <w:rFonts w:hint="eastAsia"/>
                <w:color w:val="auto"/>
                <w:sz w:val="20"/>
                <w:highlight w:val="none"/>
              </w:rPr>
              <w:t>0</w:t>
            </w:r>
          </w:p>
        </w:tc>
      </w:tr>
      <w:tr>
        <w:trPr/>
        <w:tc>
          <w:tcPr>
            <w:tcW w:w="2410" w:type="dxa"/>
            <w:vAlign w:val="top"/>
          </w:tcPr>
          <w:p>
            <w:pPr>
              <w:pStyle w:val="0"/>
              <w:ind w:left="220" w:leftChars="100"/>
              <w:rPr>
                <w:rFonts w:hint="default"/>
                <w:color w:val="auto"/>
                <w:sz w:val="20"/>
                <w:highlight w:val="none"/>
              </w:rPr>
            </w:pPr>
            <w:r>
              <w:rPr>
                <w:rFonts w:hint="eastAsia"/>
                <w:color w:val="auto"/>
                <w:sz w:val="20"/>
                <w:highlight w:val="none"/>
              </w:rPr>
              <w:t>ショートステイ</w:t>
            </w:r>
          </w:p>
        </w:tc>
        <w:tc>
          <w:tcPr>
            <w:tcW w:w="630" w:type="dxa"/>
            <w:vAlign w:val="top"/>
          </w:tcPr>
          <w:p>
            <w:pPr>
              <w:pStyle w:val="0"/>
              <w:jc w:val="right"/>
              <w:rPr>
                <w:rFonts w:hint="default"/>
                <w:color w:val="auto"/>
                <w:sz w:val="20"/>
                <w:highlight w:val="none"/>
              </w:rPr>
            </w:pPr>
            <w:r>
              <w:rPr>
                <w:rFonts w:hint="eastAsia"/>
                <w:color w:val="auto"/>
                <w:sz w:val="20"/>
                <w:highlight w:val="none"/>
              </w:rPr>
              <w:t>4</w:t>
            </w:r>
          </w:p>
        </w:tc>
        <w:tc>
          <w:tcPr>
            <w:tcW w:w="2520" w:type="dxa"/>
            <w:vAlign w:val="top"/>
          </w:tcPr>
          <w:p>
            <w:pPr>
              <w:pStyle w:val="0"/>
              <w:ind w:left="220" w:leftChars="100"/>
              <w:rPr>
                <w:rFonts w:hint="default"/>
                <w:color w:val="auto"/>
                <w:sz w:val="20"/>
                <w:highlight w:val="none"/>
              </w:rPr>
            </w:pPr>
            <w:r>
              <w:rPr>
                <w:rFonts w:hint="eastAsia"/>
                <w:color w:val="auto"/>
                <w:sz w:val="20"/>
                <w:highlight w:val="none"/>
              </w:rPr>
              <w:t>地域密着型特定入居</w:t>
            </w:r>
          </w:p>
        </w:tc>
        <w:tc>
          <w:tcPr>
            <w:tcW w:w="560" w:type="dxa"/>
            <w:vAlign w:val="top"/>
          </w:tcPr>
          <w:p>
            <w:pPr>
              <w:pStyle w:val="0"/>
              <w:jc w:val="right"/>
              <w:rPr>
                <w:rFonts w:hint="default"/>
                <w:color w:val="auto"/>
                <w:sz w:val="20"/>
                <w:highlight w:val="none"/>
              </w:rPr>
            </w:pPr>
            <w:r>
              <w:rPr>
                <w:rFonts w:hint="eastAsia"/>
                <w:color w:val="auto"/>
                <w:sz w:val="20"/>
                <w:highlight w:val="none"/>
              </w:rPr>
              <w:t>0</w:t>
            </w:r>
          </w:p>
        </w:tc>
        <w:tc>
          <w:tcPr>
            <w:tcW w:w="2493" w:type="dxa"/>
            <w:shd w:val="clear" w:color="auto" w:fill="auto"/>
            <w:vAlign w:val="top"/>
          </w:tcPr>
          <w:p>
            <w:pPr>
              <w:pStyle w:val="0"/>
              <w:ind w:right="-110" w:rightChars="-50" w:firstLine="200" w:firstLineChars="100"/>
              <w:rPr>
                <w:rFonts w:hint="default"/>
                <w:color w:val="auto"/>
                <w:sz w:val="20"/>
                <w:highlight w:val="none"/>
              </w:rPr>
            </w:pPr>
            <w:r>
              <w:rPr>
                <w:rFonts w:hint="eastAsia"/>
                <w:color w:val="auto"/>
                <w:sz w:val="20"/>
                <w:highlight w:val="none"/>
              </w:rPr>
              <w:t>有料老人ホーム</w:t>
            </w:r>
          </w:p>
        </w:tc>
        <w:tc>
          <w:tcPr>
            <w:tcW w:w="567" w:type="dxa"/>
            <w:shd w:val="clear" w:color="auto" w:fill="auto"/>
            <w:vAlign w:val="top"/>
          </w:tcPr>
          <w:p>
            <w:pPr>
              <w:pStyle w:val="0"/>
              <w:jc w:val="right"/>
              <w:rPr>
                <w:rFonts w:hint="default"/>
                <w:color w:val="auto"/>
                <w:sz w:val="20"/>
                <w:highlight w:val="none"/>
              </w:rPr>
            </w:pPr>
            <w:r>
              <w:rPr>
                <w:rFonts w:hint="eastAsia"/>
                <w:color w:val="auto"/>
                <w:sz w:val="20"/>
                <w:highlight w:val="none"/>
              </w:rPr>
              <w:t>1</w:t>
            </w:r>
          </w:p>
        </w:tc>
      </w:tr>
      <w:tr>
        <w:trPr/>
        <w:tc>
          <w:tcPr>
            <w:tcW w:w="2410" w:type="dxa"/>
            <w:vAlign w:val="top"/>
          </w:tcPr>
          <w:p>
            <w:pPr>
              <w:pStyle w:val="0"/>
              <w:ind w:left="220" w:leftChars="100"/>
              <w:rPr>
                <w:rFonts w:hint="default"/>
                <w:color w:val="auto"/>
                <w:sz w:val="20"/>
                <w:highlight w:val="none"/>
              </w:rPr>
            </w:pPr>
            <w:r>
              <w:rPr>
                <w:rFonts w:hint="eastAsia"/>
                <w:color w:val="auto"/>
                <w:sz w:val="20"/>
                <w:highlight w:val="none"/>
              </w:rPr>
              <w:t>特定入居</w:t>
            </w:r>
            <w:r>
              <w:rPr>
                <w:rFonts w:hint="eastAsia"/>
                <w:color w:val="auto"/>
                <w:sz w:val="20"/>
                <w:highlight w:val="none"/>
              </w:rPr>
              <w:t>(</w:t>
            </w:r>
            <w:r>
              <w:rPr>
                <w:rFonts w:hint="eastAsia"/>
                <w:color w:val="auto"/>
                <w:sz w:val="20"/>
                <w:highlight w:val="none"/>
              </w:rPr>
              <w:t>生・療</w:t>
            </w:r>
            <w:r>
              <w:rPr>
                <w:rFonts w:hint="eastAsia"/>
                <w:color w:val="auto"/>
                <w:sz w:val="20"/>
                <w:highlight w:val="none"/>
              </w:rPr>
              <w:t>)</w:t>
            </w:r>
          </w:p>
        </w:tc>
        <w:tc>
          <w:tcPr>
            <w:tcW w:w="630" w:type="dxa"/>
            <w:vAlign w:val="top"/>
          </w:tcPr>
          <w:p>
            <w:pPr>
              <w:pStyle w:val="0"/>
              <w:jc w:val="right"/>
              <w:rPr>
                <w:rFonts w:hint="default"/>
                <w:color w:val="auto"/>
                <w:sz w:val="20"/>
                <w:highlight w:val="none"/>
              </w:rPr>
            </w:pPr>
            <w:r>
              <w:rPr>
                <w:rFonts w:hint="eastAsia"/>
                <w:color w:val="auto"/>
                <w:sz w:val="20"/>
                <w:highlight w:val="none"/>
              </w:rPr>
              <w:t>2</w:t>
            </w:r>
          </w:p>
        </w:tc>
        <w:tc>
          <w:tcPr>
            <w:tcW w:w="2520" w:type="dxa"/>
            <w:vAlign w:val="top"/>
          </w:tcPr>
          <w:p>
            <w:pPr>
              <w:pStyle w:val="0"/>
              <w:ind w:left="220" w:leftChars="100"/>
              <w:rPr>
                <w:rFonts w:hint="default"/>
                <w:color w:val="auto"/>
                <w:sz w:val="20"/>
                <w:highlight w:val="none"/>
              </w:rPr>
            </w:pPr>
          </w:p>
        </w:tc>
        <w:tc>
          <w:tcPr>
            <w:tcW w:w="560" w:type="dxa"/>
            <w:vAlign w:val="top"/>
          </w:tcPr>
          <w:p>
            <w:pPr>
              <w:pStyle w:val="0"/>
              <w:jc w:val="center"/>
              <w:rPr>
                <w:rFonts w:hint="default"/>
                <w:color w:val="auto"/>
                <w:sz w:val="20"/>
                <w:highlight w:val="none"/>
              </w:rPr>
            </w:pPr>
          </w:p>
        </w:tc>
        <w:tc>
          <w:tcPr>
            <w:tcW w:w="2493" w:type="dxa"/>
            <w:shd w:val="clear" w:color="auto" w:fill="auto"/>
            <w:vAlign w:val="top"/>
          </w:tcPr>
          <w:p>
            <w:pPr>
              <w:pStyle w:val="0"/>
              <w:ind w:right="-110" w:rightChars="-50" w:firstLine="200" w:firstLineChars="100"/>
              <w:rPr>
                <w:rFonts w:hint="default"/>
                <w:color w:val="auto"/>
                <w:sz w:val="20"/>
                <w:highlight w:val="none"/>
              </w:rPr>
            </w:pPr>
          </w:p>
        </w:tc>
        <w:tc>
          <w:tcPr>
            <w:tcW w:w="567" w:type="dxa"/>
            <w:shd w:val="clear" w:color="auto" w:fill="auto"/>
            <w:vAlign w:val="top"/>
          </w:tcPr>
          <w:p>
            <w:pPr>
              <w:pStyle w:val="0"/>
              <w:jc w:val="center"/>
              <w:rPr>
                <w:rFonts w:hint="default"/>
                <w:color w:val="auto"/>
                <w:sz w:val="20"/>
                <w:highlight w:val="none"/>
              </w:rPr>
            </w:pPr>
          </w:p>
        </w:tc>
      </w:tr>
    </w:tbl>
    <w:p>
      <w:pPr>
        <w:pStyle w:val="0"/>
        <w:spacing w:line="40" w:lineRule="exact"/>
        <w:rPr>
          <w:rFonts w:hint="default" w:ascii="BIZ UDPゴシック" w:hAnsi="BIZ UDPゴシック" w:eastAsia="BIZ UDPゴシック"/>
          <w:color w:val="auto"/>
          <w:highlight w:val="none"/>
        </w:rPr>
      </w:pPr>
      <w:r>
        <w:rPr>
          <w:rFonts w:hint="default" w:ascii="BIZ UDPゴシック" w:hAnsi="BIZ UDPゴシック" w:eastAsia="BIZ UDPゴシック"/>
          <w:color w:val="auto"/>
          <w:highlight w:val="none"/>
        </w:rPr>
        <w:br w:type="page"/>
      </w:r>
    </w:p>
    <w:p>
      <w:pPr>
        <w:pStyle w:val="0"/>
        <w:jc w:val="center"/>
        <w:rPr>
          <w:rFonts w:hint="default" w:ascii="BIZ UDPゴシック" w:hAnsi="BIZ UDPゴシック" w:eastAsia="BIZ UDPゴシック"/>
          <w:color w:val="auto"/>
          <w:highlight w:val="none"/>
        </w:rPr>
      </w:pPr>
      <w:r>
        <w:rPr>
          <w:rFonts w:hint="default"/>
          <w:color w:val="auto"/>
          <w:highlight w:val="none"/>
        </w:rPr>
        <w:drawing>
          <wp:anchor distT="0" distB="0" distL="114300" distR="114300" simplePos="0" relativeHeight="150" behindDoc="0" locked="0" layoutInCell="1" hidden="0" allowOverlap="1">
            <wp:simplePos x="0" y="0"/>
            <wp:positionH relativeFrom="column">
              <wp:posOffset>374650</wp:posOffset>
            </wp:positionH>
            <wp:positionV relativeFrom="paragraph">
              <wp:posOffset>240030</wp:posOffset>
            </wp:positionV>
            <wp:extent cx="5534025" cy="2400300"/>
            <wp:effectExtent l="0" t="0" r="0" b="0"/>
            <wp:wrapNone/>
            <wp:docPr id="1088" name="Picture 8"/>
            <a:graphic xmlns:a="http://schemas.openxmlformats.org/drawingml/2006/main">
              <a:graphicData uri="http://schemas.openxmlformats.org/drawingml/2006/picture">
                <pic:pic xmlns:pic="http://schemas.openxmlformats.org/drawingml/2006/picture">
                  <pic:nvPicPr>
                    <pic:cNvPr id="1088" name="Picture 8"/>
                    <pic:cNvPicPr>
                      <a:picLocks noChangeAspect="1" noChangeArrowheads="1"/>
                    </pic:cNvPicPr>
                  </pic:nvPicPr>
                  <pic:blipFill>
                    <a:blip r:embed="rId32"/>
                    <a:stretch>
                      <a:fillRect/>
                    </a:stretch>
                  </pic:blipFill>
                  <pic:spPr>
                    <a:xfrm>
                      <a:off x="0" y="0"/>
                      <a:ext cx="5534025" cy="2400300"/>
                    </a:xfrm>
                    <a:prstGeom prst="rect">
                      <a:avLst/>
                    </a:prstGeom>
                    <a:noFill/>
                    <a:ln>
                      <a:noFill/>
                    </a:ln>
                  </pic:spPr>
                </pic:pic>
              </a:graphicData>
            </a:graphic>
          </wp:anchor>
        </w:drawing>
      </w:r>
      <w:r>
        <w:rPr>
          <w:rFonts w:hint="eastAsia" w:ascii="BIZ UDPゴシック" w:hAnsi="BIZ UDPゴシック" w:eastAsia="BIZ UDPゴシック"/>
          <w:color w:val="auto"/>
          <w:highlight w:val="none"/>
        </w:rPr>
        <w:t>〔図　廿日市西部圏域の人口の推計〕</w:t>
      </w: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jc w:val="right"/>
        <w:rPr>
          <w:rFonts w:hint="default" w:ascii="BIZ UDPゴシック" w:hAnsi="BIZ UDPゴシック" w:eastAsia="BIZ UDPゴシック"/>
          <w:color w:val="auto"/>
          <w:sz w:val="20"/>
          <w:highlight w:val="none"/>
        </w:rPr>
      </w:pPr>
      <w:r>
        <w:rPr>
          <w:rFonts w:hint="eastAsia" w:ascii="BIZ UDPゴシック" w:hAnsi="BIZ UDPゴシック" w:eastAsia="BIZ UDPゴシック"/>
          <w:color w:val="auto"/>
          <w:sz w:val="20"/>
          <w:highlight w:val="none"/>
        </w:rPr>
        <w:t>資料：住民基本台帳人口及び推計値</w:t>
      </w:r>
    </w:p>
    <w:p>
      <w:pPr>
        <w:pStyle w:val="0"/>
        <w:rPr>
          <w:rFonts w:hint="default" w:ascii="BIZ UDPゴシック" w:hAnsi="BIZ UDPゴシック" w:eastAsia="BIZ UDPゴシック"/>
          <w:color w:val="auto"/>
          <w:highlight w:val="none"/>
        </w:rPr>
      </w:pPr>
    </w:p>
    <w:p>
      <w:pPr>
        <w:pStyle w:val="0"/>
        <w:spacing w:line="240" w:lineRule="exact"/>
        <w:jc w:val="center"/>
        <w:rPr>
          <w:rFonts w:hint="default"/>
          <w:color w:val="auto"/>
          <w:highlight w:val="none"/>
        </w:rPr>
      </w:pPr>
      <w:r>
        <w:rPr>
          <w:rFonts w:hint="eastAsia" w:ascii="BIZ UDPゴシック" w:hAnsi="BIZ UDPゴシック" w:eastAsia="BIZ UDPゴシック"/>
          <w:color w:val="auto"/>
          <w:highlight w:val="none"/>
        </w:rPr>
        <w:t>〔廿日市西部圏域の要支援・要介護認定者数（第</w:t>
      </w:r>
      <w:r>
        <w:rPr>
          <w:rFonts w:hint="eastAsia" w:ascii="BIZ UDPゴシック" w:hAnsi="BIZ UDPゴシック" w:eastAsia="BIZ UDPゴシック"/>
          <w:color w:val="auto"/>
          <w:highlight w:val="none"/>
        </w:rPr>
        <w:t>1</w:t>
      </w:r>
      <w:r>
        <w:rPr>
          <w:rFonts w:hint="eastAsia" w:ascii="BIZ UDPゴシック" w:hAnsi="BIZ UDPゴシック" w:eastAsia="BIZ UDPゴシック"/>
          <w:color w:val="auto"/>
          <w:highlight w:val="none"/>
        </w:rPr>
        <w:t>号被保険者）の推計〕</w:t>
      </w:r>
    </w:p>
    <w:p>
      <w:pPr>
        <w:pStyle w:val="0"/>
        <w:rPr>
          <w:rFonts w:hint="default" w:ascii="BIZ UDPゴシック" w:hAnsi="BIZ UDPゴシック" w:eastAsia="BIZ UDPゴシック"/>
          <w:color w:val="auto"/>
          <w:highlight w:val="none"/>
        </w:rPr>
      </w:pPr>
      <w:r>
        <w:rPr>
          <w:rFonts w:hint="default"/>
          <w:color w:val="auto"/>
          <w:highlight w:val="none"/>
        </w:rPr>
        <w:drawing>
          <wp:anchor distT="0" distB="0" distL="114300" distR="114300" simplePos="0" relativeHeight="157" behindDoc="0" locked="0" layoutInCell="1" hidden="0" allowOverlap="1">
            <wp:simplePos x="0" y="0"/>
            <wp:positionH relativeFrom="column">
              <wp:posOffset>1395095</wp:posOffset>
            </wp:positionH>
            <wp:positionV relativeFrom="paragraph">
              <wp:posOffset>84455</wp:posOffset>
            </wp:positionV>
            <wp:extent cx="3686175" cy="2057400"/>
            <wp:effectExtent l="0" t="0" r="0" b="0"/>
            <wp:wrapNone/>
            <wp:docPr id="1089" name="Picture 3"/>
            <a:graphic xmlns:a="http://schemas.openxmlformats.org/drawingml/2006/main">
              <a:graphicData uri="http://schemas.openxmlformats.org/drawingml/2006/picture">
                <pic:pic xmlns:pic="http://schemas.openxmlformats.org/drawingml/2006/picture">
                  <pic:nvPicPr>
                    <pic:cNvPr id="1089" name="Picture 3"/>
                    <pic:cNvPicPr>
                      <a:picLocks noChangeAspect="1" noChangeArrowheads="1"/>
                    </pic:cNvPicPr>
                  </pic:nvPicPr>
                  <pic:blipFill>
                    <a:blip r:embed="rId33"/>
                    <a:stretch>
                      <a:fillRect/>
                    </a:stretch>
                  </pic:blipFill>
                  <pic:spPr>
                    <a:xfrm>
                      <a:off x="0" y="0"/>
                      <a:ext cx="3686175" cy="2057400"/>
                    </a:xfrm>
                    <a:prstGeom prst="rect">
                      <a:avLst/>
                    </a:prstGeom>
                    <a:noFill/>
                    <a:ln>
                      <a:noFill/>
                    </a:ln>
                  </pic:spPr>
                </pic:pic>
              </a:graphicData>
            </a:graphic>
          </wp:anchor>
        </w:drawing>
      </w: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〔地域の特徴〕</w:t>
      </w:r>
    </w:p>
    <w:p>
      <w:pPr>
        <w:pStyle w:val="34"/>
        <w:numPr>
          <w:ilvl w:val="0"/>
          <w:numId w:val="2"/>
        </w:numPr>
        <w:spacing w:before="185" w:beforeLines="50" w:beforeAutospacing="0"/>
        <w:ind w:left="652" w:leftChars="0" w:hanging="442"/>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沿岸部の中では最も人口が少なく、高齢化率も高くなっています。</w:t>
      </w:r>
    </w:p>
    <w:p>
      <w:pPr>
        <w:pStyle w:val="34"/>
        <w:numPr>
          <w:ilvl w:val="0"/>
          <w:numId w:val="2"/>
        </w:numPr>
        <w:ind w:left="650" w:leftChars="0" w:hanging="44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今後、総人口は減少し、高齢者数も令和７（</w:t>
      </w:r>
      <w:r>
        <w:rPr>
          <w:rFonts w:hint="eastAsia" w:ascii="BIZ UDPゴシック" w:hAnsi="BIZ UDPゴシック" w:eastAsia="BIZ UDPゴシック"/>
          <w:color w:val="auto"/>
          <w:highlight w:val="none"/>
        </w:rPr>
        <w:t>2025</w:t>
      </w:r>
      <w:r>
        <w:rPr>
          <w:rFonts w:hint="eastAsia" w:ascii="BIZ UDPゴシック" w:hAnsi="BIZ UDPゴシック" w:eastAsia="BIZ UDPゴシック"/>
          <w:color w:val="auto"/>
          <w:highlight w:val="none"/>
        </w:rPr>
        <w:t>）年以降減少しますが、後期高齢者数は令和</w:t>
      </w:r>
      <w:r>
        <w:rPr>
          <w:rFonts w:hint="eastAsia" w:ascii="BIZ UDPゴシック" w:hAnsi="BIZ UDPゴシック" w:eastAsia="BIZ UDPゴシック"/>
          <w:color w:val="auto"/>
          <w:highlight w:val="none"/>
        </w:rPr>
        <w:t>12</w:t>
      </w:r>
      <w:r>
        <w:rPr>
          <w:rFonts w:hint="eastAsia" w:ascii="BIZ UDPゴシック" w:hAnsi="BIZ UDPゴシック" w:eastAsia="BIZ UDPゴシック"/>
          <w:color w:val="auto"/>
          <w:highlight w:val="none"/>
        </w:rPr>
        <w:t>（</w:t>
      </w:r>
      <w:r>
        <w:rPr>
          <w:rFonts w:hint="eastAsia" w:ascii="BIZ UDPゴシック" w:hAnsi="BIZ UDPゴシック" w:eastAsia="BIZ UDPゴシック"/>
          <w:color w:val="auto"/>
          <w:highlight w:val="none"/>
        </w:rPr>
        <w:t>2030</w:t>
      </w:r>
      <w:r>
        <w:rPr>
          <w:rFonts w:hint="eastAsia" w:ascii="BIZ UDPゴシック" w:hAnsi="BIZ UDPゴシック" w:eastAsia="BIZ UDPゴシック"/>
          <w:color w:val="auto"/>
          <w:highlight w:val="none"/>
        </w:rPr>
        <w:t>）年、</w:t>
      </w:r>
      <w:r>
        <w:rPr>
          <w:rFonts w:hint="eastAsia" w:ascii="BIZ UDPゴシック" w:hAnsi="BIZ UDPゴシック" w:eastAsia="BIZ UDPゴシック"/>
          <w:color w:val="auto"/>
          <w:highlight w:val="none"/>
        </w:rPr>
        <w:t>85</w:t>
      </w:r>
      <w:r>
        <w:rPr>
          <w:rFonts w:hint="eastAsia" w:ascii="BIZ UDPゴシック" w:hAnsi="BIZ UDPゴシック" w:eastAsia="BIZ UDPゴシック"/>
          <w:color w:val="auto"/>
          <w:highlight w:val="none"/>
        </w:rPr>
        <w:t>歳以上の高齢者数は令和</w:t>
      </w:r>
      <w:r>
        <w:rPr>
          <w:rFonts w:hint="eastAsia" w:ascii="BIZ UDPゴシック" w:hAnsi="BIZ UDPゴシック" w:eastAsia="BIZ UDPゴシック"/>
          <w:color w:val="auto"/>
          <w:highlight w:val="none"/>
        </w:rPr>
        <w:t>20</w:t>
      </w:r>
      <w:r>
        <w:rPr>
          <w:rFonts w:hint="eastAsia" w:ascii="BIZ UDPゴシック" w:hAnsi="BIZ UDPゴシック" w:eastAsia="BIZ UDPゴシック"/>
          <w:color w:val="auto"/>
          <w:highlight w:val="none"/>
        </w:rPr>
        <w:t>（</w:t>
      </w:r>
      <w:r>
        <w:rPr>
          <w:rFonts w:hint="eastAsia" w:ascii="BIZ UDPゴシック" w:hAnsi="BIZ UDPゴシック" w:eastAsia="BIZ UDPゴシック"/>
          <w:color w:val="auto"/>
          <w:highlight w:val="none"/>
        </w:rPr>
        <w:t>2038</w:t>
      </w:r>
      <w:r>
        <w:rPr>
          <w:rFonts w:hint="eastAsia" w:ascii="BIZ UDPゴシック" w:hAnsi="BIZ UDPゴシック" w:eastAsia="BIZ UDPゴシック"/>
          <w:color w:val="auto"/>
          <w:highlight w:val="none"/>
        </w:rPr>
        <w:t>）年まで増加する見込みです。</w:t>
      </w:r>
    </w:p>
    <w:p>
      <w:pPr>
        <w:pStyle w:val="34"/>
        <w:numPr>
          <w:ilvl w:val="0"/>
          <w:numId w:val="2"/>
        </w:numPr>
        <w:ind w:left="650" w:leftChars="0" w:hanging="44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要支援・要介護認定率は</w:t>
      </w:r>
      <w:r>
        <w:rPr>
          <w:rFonts w:hint="eastAsia" w:ascii="BIZ UDPゴシック" w:hAnsi="BIZ UDPゴシック" w:eastAsia="BIZ UDPゴシック"/>
          <w:color w:val="auto"/>
          <w:highlight w:val="none"/>
        </w:rPr>
        <w:t>7</w:t>
      </w:r>
      <w:r>
        <w:rPr>
          <w:rFonts w:hint="eastAsia" w:ascii="BIZ UDPゴシック" w:hAnsi="BIZ UDPゴシック" w:eastAsia="BIZ UDPゴシック"/>
          <w:color w:val="auto"/>
          <w:highlight w:val="none"/>
        </w:rPr>
        <w:t>圏域の中で２番目に低くなっていますが、今後</w:t>
      </w:r>
      <w:r>
        <w:rPr>
          <w:rFonts w:hint="default" w:ascii="BIZ UDPゴシック" w:hAnsi="BIZ UDPゴシック" w:eastAsia="BIZ UDPゴシック"/>
          <w:color w:val="auto"/>
          <w:highlight w:val="none"/>
        </w:rPr>
        <w:t>85</w:t>
      </w:r>
      <w:r>
        <w:rPr>
          <w:rFonts w:hint="default" w:ascii="BIZ UDPゴシック" w:hAnsi="BIZ UDPゴシック" w:eastAsia="BIZ UDPゴシック"/>
          <w:color w:val="auto"/>
          <w:highlight w:val="none"/>
        </w:rPr>
        <w:t>歳以上の高齢者数の増加に伴い、認定者数は大きく増加し、認定率も上昇すると見込まれます。</w:t>
      </w:r>
    </w:p>
    <w:p>
      <w:pPr>
        <w:pStyle w:val="34"/>
        <w:numPr>
          <w:ilvl w:val="0"/>
          <w:numId w:val="2"/>
        </w:numPr>
        <w:ind w:left="650" w:leftChars="0" w:hanging="440"/>
        <w:rPr>
          <w:rFonts w:hint="default"/>
          <w:color w:val="auto"/>
          <w:highlight w:val="none"/>
        </w:rPr>
      </w:pPr>
      <w:r>
        <w:rPr>
          <w:rFonts w:hint="eastAsia" w:ascii="BIZ UDPゴシック" w:hAnsi="BIZ UDPゴシック" w:eastAsia="BIZ UDPゴシック"/>
          <w:color w:val="auto"/>
          <w:highlight w:val="none"/>
        </w:rPr>
        <w:t>医療機関や介護保険サービスが充実している地域です。</w:t>
      </w:r>
    </w:p>
    <w:p>
      <w:pPr>
        <w:pStyle w:val="34"/>
        <w:numPr>
          <w:ilvl w:val="0"/>
          <w:numId w:val="2"/>
        </w:numPr>
        <w:ind w:left="650" w:leftChars="0" w:hanging="440"/>
        <w:rPr>
          <w:rFonts w:hint="default"/>
          <w:color w:val="auto"/>
          <w:highlight w:val="none"/>
        </w:rPr>
      </w:pPr>
      <w:r>
        <w:rPr>
          <w:rFonts w:hint="eastAsia" w:ascii="BIZ UDPゴシック" w:hAnsi="BIZ UDPゴシック" w:eastAsia="BIZ UDPゴシック"/>
          <w:color w:val="auto"/>
          <w:highlight w:val="none"/>
        </w:rPr>
        <w:t>ニーズ調査の結果では、「夫婦二人暮らし」、「公営賃貸住宅に住んでいる」、「地域活動でスポーツ関係の活動に週１回以上参加している」の割合が高くなっています。</w:t>
      </w:r>
    </w:p>
    <w:p>
      <w:pPr>
        <w:pStyle w:val="0"/>
        <w:widowControl w:val="1"/>
        <w:spacing w:line="380" w:lineRule="exact"/>
        <w:jc w:val="left"/>
        <w:rPr>
          <w:rFonts w:hint="default"/>
          <w:color w:val="auto"/>
          <w:highlight w:val="none"/>
        </w:rPr>
      </w:pPr>
      <w:r>
        <w:rPr>
          <w:rFonts w:hint="default"/>
          <w:color w:val="auto"/>
          <w:highlight w:val="none"/>
        </w:rPr>
        <w:br w:type="page"/>
      </w:r>
    </w:p>
    <w:p>
      <w:pPr>
        <w:pStyle w:val="0"/>
        <w:jc w:val="center"/>
        <w:rPr>
          <w:rFonts w:hint="default" w:ascii="BIZ UDPゴシック" w:hAnsi="BIZ UDPゴシック" w:eastAsia="BIZ UDPゴシック"/>
          <w:color w:val="auto"/>
          <w:sz w:val="28"/>
          <w:highlight w:val="none"/>
        </w:rPr>
      </w:pPr>
      <w:r>
        <w:rPr>
          <w:rFonts w:hint="eastAsia" w:ascii="BIZ UDPゴシック" w:hAnsi="BIZ UDPゴシック" w:eastAsia="BIZ UDPゴシック"/>
          <w:color w:val="auto"/>
          <w:sz w:val="28"/>
          <w:highlight w:val="none"/>
        </w:rPr>
        <w:t>≪佐伯圏域≫</w:t>
      </w:r>
    </w:p>
    <w:tbl>
      <w:tblPr>
        <w:tblStyle w:val="81"/>
        <w:tblW w:w="9250" w:type="dxa"/>
        <w:jc w:val="center"/>
        <w:tblInd w:w="0" w:type="dxa"/>
        <w:tblLayout w:type="fixed"/>
        <w:tblLook w:firstRow="1" w:lastRow="0" w:firstColumn="1" w:lastColumn="0" w:noHBand="0" w:noVBand="1" w:val="04A0"/>
      </w:tblPr>
      <w:tblGrid>
        <w:gridCol w:w="1850"/>
        <w:gridCol w:w="1850"/>
        <w:gridCol w:w="1850"/>
        <w:gridCol w:w="1850"/>
        <w:gridCol w:w="1850"/>
      </w:tblGrid>
      <w:tr>
        <w:trPr>
          <w:trHeight w:val="1191" w:hRule="atLeast"/>
        </w:trPr>
        <w:tc>
          <w:tcPr>
            <w:tcW w:w="1850" w:type="dxa"/>
            <w:shd w:val="clear" w:color="auto" w:themeFill="accent5" w:themeFillTint="66" w:themeFillShade="FF"/>
            <w:vAlign w:val="center"/>
          </w:tcPr>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総人口</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8"/>
                <w:highlight w:val="none"/>
              </w:rPr>
              <w:t>（Ｒ</w:t>
            </w:r>
            <w:r>
              <w:rPr>
                <w:rFonts w:hint="eastAsia" w:ascii="BIZ UDPゴシック" w:hAnsi="BIZ UDPゴシック" w:eastAsia="BIZ UDPゴシック"/>
                <w:color w:val="auto"/>
                <w:sz w:val="18"/>
                <w:highlight w:val="none"/>
              </w:rPr>
              <w:t>5.9</w:t>
            </w:r>
            <w:r>
              <w:rPr>
                <w:rFonts w:hint="eastAsia" w:ascii="BIZ UDPゴシック" w:hAnsi="BIZ UDPゴシック" w:eastAsia="BIZ UDPゴシック"/>
                <w:color w:val="auto"/>
                <w:sz w:val="18"/>
                <w:highlight w:val="none"/>
              </w:rPr>
              <w:t>月末現在）</w:t>
            </w:r>
          </w:p>
        </w:tc>
        <w:tc>
          <w:tcPr>
            <w:tcW w:w="1850" w:type="dxa"/>
            <w:shd w:val="clear" w:color="auto" w:themeFill="accent5" w:themeFillTint="66" w:themeFillShade="FF"/>
            <w:vAlign w:val="center"/>
          </w:tcPr>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高齢者数</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高齢化率</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6"/>
                <w:highlight w:val="none"/>
              </w:rPr>
              <w:t>（Ｒ</w:t>
            </w:r>
            <w:r>
              <w:rPr>
                <w:rFonts w:hint="eastAsia" w:ascii="BIZ UDPゴシック" w:hAnsi="BIZ UDPゴシック" w:eastAsia="BIZ UDPゴシック"/>
                <w:color w:val="auto"/>
                <w:sz w:val="16"/>
                <w:highlight w:val="none"/>
              </w:rPr>
              <w:t>5.9</w:t>
            </w:r>
            <w:r>
              <w:rPr>
                <w:rFonts w:hint="eastAsia" w:ascii="BIZ UDPゴシック" w:hAnsi="BIZ UDPゴシック" w:eastAsia="BIZ UDPゴシック"/>
                <w:color w:val="auto"/>
                <w:sz w:val="16"/>
                <w:highlight w:val="none"/>
              </w:rPr>
              <w:t>月末現在）</w:t>
            </w:r>
          </w:p>
        </w:tc>
        <w:tc>
          <w:tcPr>
            <w:tcW w:w="1850" w:type="dxa"/>
            <w:shd w:val="clear" w:color="auto" w:themeFill="accent5" w:themeFillTint="66" w:themeFillShade="FF"/>
            <w:vAlign w:val="center"/>
          </w:tcPr>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後期高齢者数</w:t>
            </w:r>
          </w:p>
          <w:p>
            <w:pPr>
              <w:pStyle w:val="0"/>
              <w:ind w:left="-110" w:leftChars="-50" w:right="-110" w:rightChars="-50"/>
              <w:jc w:val="center"/>
              <w:rPr>
                <w:rFonts w:hint="default" w:ascii="BIZ UDPゴシック" w:hAnsi="BIZ UDPゴシック" w:eastAsia="BIZ UDPゴシック"/>
                <w:color w:val="auto"/>
                <w:sz w:val="20"/>
                <w:highlight w:val="none"/>
              </w:rPr>
            </w:pPr>
            <w:r>
              <w:rPr>
                <w:rFonts w:hint="eastAsia" w:ascii="BIZ UDPゴシック" w:hAnsi="BIZ UDPゴシック" w:eastAsia="BIZ UDPゴシック"/>
                <w:color w:val="auto"/>
                <w:sz w:val="20"/>
                <w:highlight w:val="none"/>
              </w:rPr>
              <w:t>後期高齢者数割合</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6"/>
                <w:highlight w:val="none"/>
              </w:rPr>
              <w:t>（Ｒ</w:t>
            </w:r>
            <w:r>
              <w:rPr>
                <w:rFonts w:hint="eastAsia" w:ascii="BIZ UDPゴシック" w:hAnsi="BIZ UDPゴシック" w:eastAsia="BIZ UDPゴシック"/>
                <w:color w:val="auto"/>
                <w:sz w:val="16"/>
                <w:highlight w:val="none"/>
              </w:rPr>
              <w:t>5.9</w:t>
            </w:r>
            <w:r>
              <w:rPr>
                <w:rFonts w:hint="eastAsia" w:ascii="BIZ UDPゴシック" w:hAnsi="BIZ UDPゴシック" w:eastAsia="BIZ UDPゴシック"/>
                <w:color w:val="auto"/>
                <w:sz w:val="16"/>
                <w:highlight w:val="none"/>
              </w:rPr>
              <w:t>月末現在）</w:t>
            </w:r>
          </w:p>
        </w:tc>
        <w:tc>
          <w:tcPr>
            <w:tcW w:w="1850" w:type="dxa"/>
            <w:shd w:val="clear" w:color="auto" w:themeFill="accent5" w:themeFillTint="66" w:themeFillShade="FF"/>
            <w:vAlign w:val="center"/>
          </w:tcPr>
          <w:p>
            <w:pPr>
              <w:pStyle w:val="0"/>
              <w:spacing w:line="220" w:lineRule="exact"/>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要支援・要介護</w:t>
            </w:r>
          </w:p>
          <w:p>
            <w:pPr>
              <w:pStyle w:val="0"/>
              <w:spacing w:line="220" w:lineRule="exact"/>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認定者数</w:t>
            </w:r>
          </w:p>
          <w:p>
            <w:pPr>
              <w:pStyle w:val="0"/>
              <w:spacing w:line="220" w:lineRule="exact"/>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認定率</w:t>
            </w:r>
          </w:p>
          <w:p>
            <w:pPr>
              <w:pStyle w:val="0"/>
              <w:jc w:val="center"/>
              <w:rPr>
                <w:rFonts w:hint="default" w:ascii="BIZ UDPゴシック" w:hAnsi="BIZ UDPゴシック" w:eastAsia="BIZ UDPゴシック"/>
                <w:color w:val="auto"/>
                <w:sz w:val="16"/>
                <w:highlight w:val="none"/>
              </w:rPr>
            </w:pPr>
            <w:r>
              <w:rPr>
                <w:rFonts w:hint="eastAsia" w:ascii="BIZ UDPゴシック" w:hAnsi="BIZ UDPゴシック" w:eastAsia="BIZ UDPゴシック"/>
                <w:color w:val="auto"/>
                <w:sz w:val="16"/>
                <w:highlight w:val="none"/>
              </w:rPr>
              <w:t>（第</w:t>
            </w:r>
            <w:r>
              <w:rPr>
                <w:rFonts w:hint="eastAsia" w:ascii="BIZ UDPゴシック" w:hAnsi="BIZ UDPゴシック" w:eastAsia="BIZ UDPゴシック"/>
                <w:color w:val="auto"/>
                <w:sz w:val="16"/>
                <w:highlight w:val="none"/>
              </w:rPr>
              <w:t>1</w:t>
            </w:r>
            <w:r>
              <w:rPr>
                <w:rFonts w:hint="eastAsia" w:ascii="BIZ UDPゴシック" w:hAnsi="BIZ UDPゴシック" w:eastAsia="BIZ UDPゴシック"/>
                <w:color w:val="auto"/>
                <w:sz w:val="16"/>
                <w:highlight w:val="none"/>
              </w:rPr>
              <w:t>号被保険者）</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6"/>
                <w:highlight w:val="none"/>
              </w:rPr>
              <w:t>（Ｒ</w:t>
            </w:r>
            <w:r>
              <w:rPr>
                <w:rFonts w:hint="eastAsia" w:ascii="BIZ UDPゴシック" w:hAnsi="BIZ UDPゴシック" w:eastAsia="BIZ UDPゴシック"/>
                <w:color w:val="auto"/>
                <w:sz w:val="16"/>
                <w:highlight w:val="none"/>
              </w:rPr>
              <w:t>5.9</w:t>
            </w:r>
            <w:r>
              <w:rPr>
                <w:rFonts w:hint="eastAsia" w:ascii="BIZ UDPゴシック" w:hAnsi="BIZ UDPゴシック" w:eastAsia="BIZ UDPゴシック"/>
                <w:color w:val="auto"/>
                <w:sz w:val="16"/>
                <w:highlight w:val="none"/>
              </w:rPr>
              <w:t>月末現在）</w:t>
            </w:r>
          </w:p>
        </w:tc>
        <w:tc>
          <w:tcPr>
            <w:tcW w:w="1850" w:type="dxa"/>
            <w:shd w:val="clear" w:color="auto" w:themeFill="accent5" w:themeFillTint="66" w:themeFillShade="FF"/>
            <w:vAlign w:val="center"/>
          </w:tcPr>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認知症高齢者数</w:t>
            </w:r>
          </w:p>
          <w:p>
            <w:pPr>
              <w:pStyle w:val="0"/>
              <w:ind w:left="-110" w:leftChars="-50" w:right="-110" w:rightChars="-50"/>
              <w:jc w:val="center"/>
              <w:rPr>
                <w:rFonts w:hint="default" w:ascii="BIZ UDPゴシック" w:hAnsi="BIZ UDPゴシック" w:eastAsia="BIZ UDPゴシック"/>
                <w:color w:val="auto"/>
                <w:sz w:val="18"/>
                <w:highlight w:val="none"/>
              </w:rPr>
            </w:pPr>
            <w:r>
              <w:rPr>
                <w:rFonts w:hint="eastAsia" w:ascii="BIZ UDPゴシック" w:hAnsi="BIZ UDPゴシック" w:eastAsia="BIZ UDPゴシック"/>
                <w:color w:val="auto"/>
                <w:sz w:val="18"/>
                <w:highlight w:val="none"/>
              </w:rPr>
              <w:t>高齢者数に占める割合</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6"/>
                <w:highlight w:val="none"/>
              </w:rPr>
              <w:t>（Ｒ</w:t>
            </w:r>
            <w:r>
              <w:rPr>
                <w:rFonts w:hint="eastAsia" w:ascii="BIZ UDPゴシック" w:hAnsi="BIZ UDPゴシック" w:eastAsia="BIZ UDPゴシック"/>
                <w:color w:val="auto"/>
                <w:sz w:val="16"/>
                <w:highlight w:val="none"/>
              </w:rPr>
              <w:t>5.9</w:t>
            </w:r>
            <w:r>
              <w:rPr>
                <w:rFonts w:hint="eastAsia" w:ascii="BIZ UDPゴシック" w:hAnsi="BIZ UDPゴシック" w:eastAsia="BIZ UDPゴシック"/>
                <w:color w:val="auto"/>
                <w:sz w:val="16"/>
                <w:highlight w:val="none"/>
              </w:rPr>
              <w:t>月末現在）</w:t>
            </w:r>
          </w:p>
        </w:tc>
      </w:tr>
      <w:tr>
        <w:trPr>
          <w:trHeight w:val="680" w:hRule="atLeast"/>
        </w:trPr>
        <w:tc>
          <w:tcPr>
            <w:tcW w:w="1850" w:type="dxa"/>
            <w:vAlign w:val="center"/>
          </w:tcPr>
          <w:p>
            <w:pPr>
              <w:pStyle w:val="0"/>
              <w:jc w:val="righ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8</w:t>
            </w:r>
            <w:r>
              <w:rPr>
                <w:rFonts w:hint="default" w:ascii="BIZ UDPゴシック" w:hAnsi="BIZ UDPゴシック" w:eastAsia="BIZ UDPゴシック"/>
                <w:color w:val="auto"/>
                <w:sz w:val="21"/>
                <w:highlight w:val="none"/>
              </w:rPr>
              <w:t>,</w:t>
            </w:r>
            <w:r>
              <w:rPr>
                <w:rFonts w:hint="eastAsia" w:ascii="BIZ UDPゴシック" w:hAnsi="BIZ UDPゴシック" w:eastAsia="BIZ UDPゴシック"/>
                <w:color w:val="auto"/>
                <w:sz w:val="21"/>
                <w:highlight w:val="none"/>
              </w:rPr>
              <w:t>890</w:t>
            </w:r>
            <w:r>
              <w:rPr>
                <w:rFonts w:hint="eastAsia" w:ascii="BIZ UDPゴシック" w:hAnsi="BIZ UDPゴシック" w:eastAsia="BIZ UDPゴシック"/>
                <w:color w:val="auto"/>
                <w:sz w:val="21"/>
                <w:highlight w:val="none"/>
              </w:rPr>
              <w:t>人</w:t>
            </w:r>
          </w:p>
        </w:tc>
        <w:tc>
          <w:tcPr>
            <w:tcW w:w="1850" w:type="dxa"/>
            <w:vAlign w:val="center"/>
          </w:tcPr>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3,9</w:t>
            </w:r>
            <w:r>
              <w:rPr>
                <w:rFonts w:hint="eastAsia" w:ascii="BIZ UDPゴシック" w:hAnsi="BIZ UDPゴシック" w:eastAsia="BIZ UDPゴシック"/>
                <w:color w:val="auto"/>
                <w:sz w:val="21"/>
                <w:highlight w:val="none"/>
              </w:rPr>
              <w:t>33</w:t>
            </w:r>
            <w:r>
              <w:rPr>
                <w:rFonts w:hint="eastAsia" w:ascii="BIZ UDPゴシック" w:hAnsi="BIZ UDPゴシック" w:eastAsia="BIZ UDPゴシック"/>
                <w:color w:val="auto"/>
                <w:sz w:val="21"/>
                <w:highlight w:val="none"/>
              </w:rPr>
              <w:t>人</w:t>
            </w:r>
          </w:p>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4</w:t>
            </w:r>
            <w:r>
              <w:rPr>
                <w:rFonts w:hint="eastAsia" w:ascii="BIZ UDPゴシック" w:hAnsi="BIZ UDPゴシック" w:eastAsia="BIZ UDPゴシック"/>
                <w:color w:val="auto"/>
                <w:sz w:val="21"/>
                <w:highlight w:val="none"/>
              </w:rPr>
              <w:t>4.2</w:t>
            </w:r>
            <w:r>
              <w:rPr>
                <w:rFonts w:hint="eastAsia" w:ascii="BIZ UDPゴシック" w:hAnsi="BIZ UDPゴシック" w:eastAsia="BIZ UDPゴシック"/>
                <w:color w:val="auto"/>
                <w:sz w:val="21"/>
                <w:highlight w:val="none"/>
              </w:rPr>
              <w:t>％</w:t>
            </w:r>
          </w:p>
        </w:tc>
        <w:tc>
          <w:tcPr>
            <w:tcW w:w="1850" w:type="dxa"/>
            <w:vAlign w:val="center"/>
          </w:tcPr>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2,</w:t>
            </w:r>
            <w:r>
              <w:rPr>
                <w:rFonts w:hint="eastAsia" w:ascii="BIZ UDPゴシック" w:hAnsi="BIZ UDPゴシック" w:eastAsia="BIZ UDPゴシック"/>
                <w:color w:val="auto"/>
                <w:sz w:val="21"/>
                <w:highlight w:val="none"/>
              </w:rPr>
              <w:t>121</w:t>
            </w:r>
            <w:r>
              <w:rPr>
                <w:rFonts w:hint="eastAsia" w:ascii="BIZ UDPゴシック" w:hAnsi="BIZ UDPゴシック" w:eastAsia="BIZ UDPゴシック"/>
                <w:color w:val="auto"/>
                <w:sz w:val="21"/>
                <w:highlight w:val="none"/>
              </w:rPr>
              <w:t>人</w:t>
            </w:r>
          </w:p>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2</w:t>
            </w:r>
            <w:r>
              <w:rPr>
                <w:rFonts w:hint="eastAsia" w:ascii="BIZ UDPゴシック" w:hAnsi="BIZ UDPゴシック" w:eastAsia="BIZ UDPゴシック"/>
                <w:color w:val="auto"/>
                <w:sz w:val="21"/>
                <w:highlight w:val="none"/>
              </w:rPr>
              <w:t>3.9</w:t>
            </w:r>
            <w:r>
              <w:rPr>
                <w:rFonts w:hint="eastAsia" w:ascii="BIZ UDPゴシック" w:hAnsi="BIZ UDPゴシック" w:eastAsia="BIZ UDPゴシック"/>
                <w:color w:val="auto"/>
                <w:sz w:val="21"/>
                <w:highlight w:val="none"/>
              </w:rPr>
              <w:t>％</w:t>
            </w:r>
          </w:p>
        </w:tc>
        <w:tc>
          <w:tcPr>
            <w:tcW w:w="1850" w:type="dxa"/>
            <w:vAlign w:val="center"/>
          </w:tcPr>
          <w:p>
            <w:pPr>
              <w:pStyle w:val="0"/>
              <w:jc w:val="righ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705</w:t>
            </w:r>
            <w:r>
              <w:rPr>
                <w:rFonts w:hint="eastAsia" w:ascii="BIZ UDPゴシック" w:hAnsi="BIZ UDPゴシック" w:eastAsia="BIZ UDPゴシック"/>
                <w:color w:val="auto"/>
                <w:sz w:val="21"/>
                <w:highlight w:val="none"/>
              </w:rPr>
              <w:t>人</w:t>
            </w:r>
          </w:p>
          <w:p>
            <w:pPr>
              <w:pStyle w:val="0"/>
              <w:jc w:val="righ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17.9</w:t>
            </w:r>
            <w:r>
              <w:rPr>
                <w:rFonts w:hint="eastAsia" w:ascii="BIZ UDPゴシック" w:hAnsi="BIZ UDPゴシック" w:eastAsia="BIZ UDPゴシック"/>
                <w:color w:val="auto"/>
                <w:sz w:val="21"/>
                <w:highlight w:val="none"/>
              </w:rPr>
              <w:t>％</w:t>
            </w:r>
          </w:p>
        </w:tc>
        <w:tc>
          <w:tcPr>
            <w:tcW w:w="1850" w:type="dxa"/>
            <w:vAlign w:val="center"/>
          </w:tcPr>
          <w:p>
            <w:pPr>
              <w:pStyle w:val="0"/>
              <w:jc w:val="righ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445</w:t>
            </w:r>
            <w:r>
              <w:rPr>
                <w:rFonts w:hint="eastAsia" w:ascii="BIZ UDPゴシック" w:hAnsi="BIZ UDPゴシック" w:eastAsia="BIZ UDPゴシック"/>
                <w:color w:val="auto"/>
                <w:sz w:val="21"/>
                <w:highlight w:val="none"/>
              </w:rPr>
              <w:t>人</w:t>
            </w:r>
          </w:p>
          <w:p>
            <w:pPr>
              <w:pStyle w:val="0"/>
              <w:jc w:val="righ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11.3</w:t>
            </w:r>
            <w:r>
              <w:rPr>
                <w:rFonts w:hint="eastAsia" w:ascii="BIZ UDPゴシック" w:hAnsi="BIZ UDPゴシック" w:eastAsia="BIZ UDPゴシック"/>
                <w:color w:val="auto"/>
                <w:sz w:val="21"/>
                <w:highlight w:val="none"/>
              </w:rPr>
              <w:t>％</w:t>
            </w:r>
          </w:p>
        </w:tc>
      </w:tr>
    </w:tbl>
    <w:tbl>
      <w:tblPr>
        <w:tblStyle w:val="90"/>
        <w:tblpPr w:leftFromText="142" w:rightFromText="142" w:topFromText="0" w:bottomFromText="0" w:vertAnchor="text" w:horzAnchor="text" w:tblpX="3076" w:tblpY="134"/>
        <w:tblW w:w="0" w:type="auto"/>
        <w:tblLayout w:type="fixed"/>
        <w:tblLook w:firstRow="1" w:lastRow="0" w:firstColumn="1" w:lastColumn="0" w:noHBand="0" w:noVBand="1" w:val="04A0"/>
      </w:tblPr>
      <w:tblGrid>
        <w:gridCol w:w="1817"/>
        <w:gridCol w:w="4238"/>
      </w:tblGrid>
      <w:tr>
        <w:trPr/>
        <w:tc>
          <w:tcPr>
            <w:tcW w:w="1817" w:type="dxa"/>
            <w:vAlign w:val="top"/>
          </w:tcPr>
          <w:p>
            <w:pPr>
              <w:pStyle w:val="0"/>
              <w:spacing w:line="260" w:lineRule="exac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小学校</w:t>
            </w:r>
          </w:p>
        </w:tc>
        <w:tc>
          <w:tcPr>
            <w:tcW w:w="4238" w:type="dxa"/>
            <w:vAlign w:val="top"/>
          </w:tcPr>
          <w:p>
            <w:pPr>
              <w:pStyle w:val="0"/>
              <w:spacing w:line="260" w:lineRule="exac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友和、津田</w:t>
            </w:r>
          </w:p>
        </w:tc>
      </w:tr>
      <w:tr>
        <w:trPr/>
        <w:tc>
          <w:tcPr>
            <w:tcW w:w="1817" w:type="dxa"/>
            <w:vAlign w:val="top"/>
          </w:tcPr>
          <w:p>
            <w:pPr>
              <w:pStyle w:val="0"/>
              <w:spacing w:line="260" w:lineRule="exac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中学校</w:t>
            </w:r>
          </w:p>
        </w:tc>
        <w:tc>
          <w:tcPr>
            <w:tcW w:w="4238" w:type="dxa"/>
            <w:vAlign w:val="top"/>
          </w:tcPr>
          <w:p>
            <w:pPr>
              <w:pStyle w:val="0"/>
              <w:spacing w:line="260" w:lineRule="exac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佐伯</w:t>
            </w:r>
          </w:p>
        </w:tc>
      </w:tr>
      <w:tr>
        <w:trPr/>
        <w:tc>
          <w:tcPr>
            <w:tcW w:w="1817" w:type="dxa"/>
            <w:vAlign w:val="top"/>
          </w:tcPr>
          <w:p>
            <w:pPr>
              <w:pStyle w:val="0"/>
              <w:spacing w:line="260" w:lineRule="exac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交通機関</w:t>
            </w:r>
          </w:p>
        </w:tc>
        <w:tc>
          <w:tcPr>
            <w:tcW w:w="4238" w:type="dxa"/>
            <w:vAlign w:val="top"/>
          </w:tcPr>
          <w:p>
            <w:pPr>
              <w:pStyle w:val="0"/>
              <w:spacing w:line="260" w:lineRule="exac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バス：広島電鉄（津田線）、佐伯さくらバス（玖島線、浅原線）、吉和さくらバス</w:t>
            </w:r>
          </w:p>
          <w:p>
            <w:pPr>
              <w:pStyle w:val="0"/>
              <w:spacing w:line="260" w:lineRule="exac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デマンドバス：玖島・友和線、所山線、浅原線、中道・栗栖線</w:t>
            </w:r>
          </w:p>
        </w:tc>
      </w:tr>
      <w:tr>
        <w:trPr/>
        <w:tc>
          <w:tcPr>
            <w:tcW w:w="1817" w:type="dxa"/>
            <w:vAlign w:val="top"/>
          </w:tcPr>
          <w:p>
            <w:pPr>
              <w:pStyle w:val="0"/>
              <w:spacing w:line="260" w:lineRule="exac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市営住宅</w:t>
            </w:r>
          </w:p>
        </w:tc>
        <w:tc>
          <w:tcPr>
            <w:tcW w:w="4238" w:type="dxa"/>
            <w:vAlign w:val="top"/>
          </w:tcPr>
          <w:p>
            <w:pPr>
              <w:pStyle w:val="0"/>
              <w:spacing w:line="260" w:lineRule="exac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法伝平、心和、新宮原、中央、本郷、大別府、向原、所山、泉水</w:t>
            </w:r>
          </w:p>
        </w:tc>
      </w:tr>
      <w:tr>
        <w:trPr/>
        <w:tc>
          <w:tcPr>
            <w:tcW w:w="1817" w:type="dxa"/>
            <w:vAlign w:val="top"/>
          </w:tcPr>
          <w:p>
            <w:pPr>
              <w:pStyle w:val="0"/>
              <w:spacing w:line="260" w:lineRule="exac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市民センター等</w:t>
            </w:r>
          </w:p>
        </w:tc>
        <w:tc>
          <w:tcPr>
            <w:tcW w:w="4238" w:type="dxa"/>
            <w:vAlign w:val="top"/>
          </w:tcPr>
          <w:p>
            <w:pPr>
              <w:pStyle w:val="0"/>
              <w:spacing w:line="260" w:lineRule="exac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友和、玖島、浅原、津田</w:t>
            </w:r>
          </w:p>
        </w:tc>
      </w:tr>
      <w:tr>
        <w:trPr/>
        <w:tc>
          <w:tcPr>
            <w:tcW w:w="1817" w:type="dxa"/>
            <w:vAlign w:val="top"/>
          </w:tcPr>
          <w:p>
            <w:pPr>
              <w:pStyle w:val="0"/>
              <w:spacing w:line="260" w:lineRule="exac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集会所</w:t>
            </w:r>
          </w:p>
        </w:tc>
        <w:tc>
          <w:tcPr>
            <w:tcW w:w="4238" w:type="dxa"/>
            <w:vAlign w:val="top"/>
          </w:tcPr>
          <w:p>
            <w:pPr>
              <w:pStyle w:val="0"/>
              <w:spacing w:line="260" w:lineRule="exac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本郷、永原、花上、吉末、林、戸屋原、小田原、中道、飯山、友田（下友田）、下川上、大町（下大町）、下栗栖、平谷、グランドハイツ、上川上、佐伯光ヶ丘、大沢、所山、上大町、冷川、助藤、成ヶ原、小更、市野、大虫、昭和、小市、権現ハウス、中村、河津原、峠（新生）岩組、正之原、林西、上峠、下峠、一丁田、流田、河本、猪の迫、泉水、栗栖、かじや河内、上岩倉、下岩倉、上市、永原上、楢原西、道秀、上ヶ原・槇ヶ峠、保曽原、大久保、八幡迫、楢原、小原、峠青年会館（中の下）、郷上、佐伯苑</w:t>
            </w:r>
          </w:p>
        </w:tc>
      </w:tr>
      <w:tr>
        <w:trPr>
          <w:trHeight w:val="510" w:hRule="atLeast"/>
        </w:trPr>
        <w:tc>
          <w:tcPr>
            <w:tcW w:w="1817" w:type="dxa"/>
            <w:vAlign w:val="top"/>
          </w:tcPr>
          <w:p>
            <w:pPr>
              <w:pStyle w:val="0"/>
              <w:spacing w:line="260" w:lineRule="exac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その他</w:t>
            </w:r>
          </w:p>
        </w:tc>
        <w:tc>
          <w:tcPr>
            <w:tcW w:w="4238" w:type="dxa"/>
            <w:vAlign w:val="top"/>
          </w:tcPr>
          <w:p>
            <w:pPr>
              <w:pStyle w:val="0"/>
              <w:spacing w:line="260" w:lineRule="exact"/>
              <w:rPr>
                <w:rFonts w:hint="default" w:ascii="BIZ UDPゴシック" w:hAnsi="BIZ UDPゴシック" w:eastAsia="BIZ UDPゴシック"/>
                <w:color w:val="auto"/>
                <w:w w:val="95"/>
                <w:sz w:val="21"/>
                <w:highlight w:val="none"/>
              </w:rPr>
            </w:pPr>
            <w:r>
              <w:rPr>
                <w:rFonts w:hint="eastAsia" w:ascii="BIZ UDPゴシック" w:hAnsi="BIZ UDPゴシック" w:eastAsia="BIZ UDPゴシック"/>
                <w:color w:val="auto"/>
                <w:w w:val="95"/>
                <w:sz w:val="21"/>
                <w:highlight w:val="none"/>
              </w:rPr>
              <w:t>佐伯社会福祉センター、文化ホール、図書館、玖島花咲く館、浅原交流会館、県立佐伯高校</w:t>
            </w:r>
          </w:p>
        </w:tc>
      </w:tr>
    </w:tbl>
    <w:p>
      <w:pPr>
        <w:pStyle w:val="0"/>
        <w:rPr>
          <w:rFonts w:hint="default" w:ascii="BIZ UDPゴシック" w:hAnsi="BIZ UDPゴシック" w:eastAsia="BIZ UDPゴシック"/>
          <w:color w:val="auto"/>
          <w:highlight w:val="none"/>
        </w:rPr>
      </w:pPr>
      <w:r>
        <w:rPr>
          <w:rFonts w:hint="eastAsia"/>
          <w:color w:val="auto"/>
          <w:highlight w:val="none"/>
        </w:rPr>
        <w:drawing>
          <wp:anchor distT="0" distB="0" distL="203200" distR="203200" simplePos="0" relativeHeight="105" behindDoc="0" locked="0" layoutInCell="1" hidden="0" allowOverlap="1">
            <wp:simplePos x="0" y="0"/>
            <wp:positionH relativeFrom="column">
              <wp:posOffset>-59690</wp:posOffset>
            </wp:positionH>
            <wp:positionV relativeFrom="page">
              <wp:posOffset>2613660</wp:posOffset>
            </wp:positionV>
            <wp:extent cx="1929130" cy="2286000"/>
            <wp:effectExtent l="0" t="0" r="0" b="0"/>
            <wp:wrapNone/>
            <wp:docPr id="1090" name="オブジェクト 0"/>
            <a:graphic xmlns:a="http://schemas.openxmlformats.org/drawingml/2006/main">
              <a:graphicData uri="http://schemas.openxmlformats.org/drawingml/2006/picture">
                <pic:pic xmlns:pic="http://schemas.openxmlformats.org/drawingml/2006/picture">
                  <pic:nvPicPr>
                    <pic:cNvPr id="1090" name="オブジェクト 0"/>
                    <pic:cNvPicPr>
                      <a:picLocks noChangeAspect="1"/>
                    </pic:cNvPicPr>
                  </pic:nvPicPr>
                  <pic:blipFill>
                    <a:blip r:embed="rId34"/>
                    <a:stretch>
                      <a:fillRect/>
                    </a:stretch>
                  </pic:blipFill>
                  <pic:spPr>
                    <a:xfrm>
                      <a:off x="0" y="0"/>
                      <a:ext cx="1929130" cy="2286000"/>
                    </a:xfrm>
                    <a:prstGeom prst="rect">
                      <a:avLst/>
                    </a:prstGeom>
                  </pic:spPr>
                </pic:pic>
              </a:graphicData>
            </a:graphic>
          </wp:anchor>
        </w:drawing>
      </w:r>
      <w:r>
        <w:rPr>
          <w:rFonts w:hint="eastAsia" w:ascii="BIZ UDPゴシック" w:hAnsi="BIZ UDPゴシック" w:eastAsia="BIZ UDPゴシック"/>
          <w:color w:val="auto"/>
          <w:highlight w:val="none"/>
        </w:rPr>
        <w:t>〔地理的特徴〕</w:t>
      </w: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tabs>
          <w:tab w:val="left" w:leader="none" w:pos="3045"/>
        </w:tabs>
        <w:spacing w:line="40" w:lineRule="exact"/>
        <w:ind w:firstLine="3300" w:firstLineChars="150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〔地域資源〕</w:t>
      </w:r>
    </w:p>
    <w:tbl>
      <w:tblPr>
        <w:tblStyle w:val="81"/>
        <w:tblW w:w="9180" w:type="dxa"/>
        <w:tblInd w:w="0" w:type="dxa"/>
        <w:tblLayout w:type="fixed"/>
        <w:tblLook w:firstRow="1" w:lastRow="0" w:firstColumn="1" w:lastColumn="0" w:noHBand="0" w:noVBand="1" w:val="04A0"/>
      </w:tblPr>
      <w:tblGrid>
        <w:gridCol w:w="2515"/>
        <w:gridCol w:w="525"/>
        <w:gridCol w:w="2520"/>
        <w:gridCol w:w="560"/>
        <w:gridCol w:w="2493"/>
        <w:gridCol w:w="567"/>
      </w:tblGrid>
      <w:tr>
        <w:trPr/>
        <w:tc>
          <w:tcPr>
            <w:tcW w:w="9180" w:type="dxa"/>
            <w:gridSpan w:val="6"/>
            <w:shd w:val="clear" w:color="auto" w:fill="0070C0"/>
            <w:vAlign w:val="top"/>
          </w:tcPr>
          <w:p>
            <w:pPr>
              <w:pStyle w:val="0"/>
              <w:jc w:val="center"/>
              <w:rPr>
                <w:rFonts w:hint="default"/>
                <w:color w:val="auto"/>
                <w:sz w:val="20"/>
                <w:highlight w:val="none"/>
              </w:rPr>
            </w:pPr>
            <w:r>
              <w:rPr>
                <w:rFonts w:hint="eastAsia"/>
                <w:color w:val="auto"/>
                <w:sz w:val="20"/>
                <w:highlight w:val="none"/>
              </w:rPr>
              <w:t>生活関連（令和</w:t>
            </w:r>
            <w:r>
              <w:rPr>
                <w:rFonts w:hint="eastAsia"/>
                <w:color w:val="auto"/>
                <w:sz w:val="20"/>
                <w:highlight w:val="none"/>
              </w:rPr>
              <w:t>5</w:t>
            </w:r>
            <w:r>
              <w:rPr>
                <w:rFonts w:hint="eastAsia"/>
                <w:color w:val="auto"/>
                <w:sz w:val="20"/>
                <w:highlight w:val="none"/>
              </w:rPr>
              <w:t>年</w:t>
            </w:r>
            <w:r>
              <w:rPr>
                <w:rFonts w:hint="eastAsia"/>
                <w:color w:val="auto"/>
                <w:sz w:val="20"/>
                <w:highlight w:val="none"/>
              </w:rPr>
              <w:t>8</w:t>
            </w:r>
            <w:r>
              <w:rPr>
                <w:rFonts w:hint="eastAsia"/>
                <w:color w:val="auto"/>
                <w:sz w:val="20"/>
                <w:highlight w:val="none"/>
              </w:rPr>
              <w:t>月末現在）</w:t>
            </w:r>
          </w:p>
        </w:tc>
      </w:tr>
      <w:tr>
        <w:trPr/>
        <w:tc>
          <w:tcPr>
            <w:tcW w:w="2515" w:type="dxa"/>
            <w:vAlign w:val="top"/>
          </w:tcPr>
          <w:p>
            <w:pPr>
              <w:pStyle w:val="0"/>
              <w:rPr>
                <w:rFonts w:hint="default"/>
                <w:color w:val="auto"/>
                <w:sz w:val="20"/>
                <w:highlight w:val="none"/>
              </w:rPr>
            </w:pPr>
            <w:r>
              <w:rPr>
                <w:rFonts w:hint="eastAsia"/>
                <w:color w:val="auto"/>
                <w:sz w:val="20"/>
                <w:highlight w:val="none"/>
              </w:rPr>
              <w:t>地域包括支援センター</w:t>
            </w:r>
          </w:p>
        </w:tc>
        <w:tc>
          <w:tcPr>
            <w:tcW w:w="525" w:type="dxa"/>
            <w:vAlign w:val="top"/>
          </w:tcPr>
          <w:p>
            <w:pPr>
              <w:pStyle w:val="0"/>
              <w:jc w:val="right"/>
              <w:rPr>
                <w:rFonts w:hint="default"/>
                <w:color w:val="auto"/>
                <w:sz w:val="20"/>
                <w:highlight w:val="none"/>
              </w:rPr>
            </w:pPr>
            <w:r>
              <w:rPr>
                <w:rFonts w:hint="eastAsia"/>
                <w:color w:val="auto"/>
                <w:sz w:val="20"/>
                <w:highlight w:val="none"/>
              </w:rPr>
              <w:t>1</w:t>
            </w:r>
          </w:p>
        </w:tc>
        <w:tc>
          <w:tcPr>
            <w:tcW w:w="2520" w:type="dxa"/>
            <w:vAlign w:val="top"/>
          </w:tcPr>
          <w:p>
            <w:pPr>
              <w:pStyle w:val="0"/>
              <w:rPr>
                <w:rFonts w:hint="default"/>
                <w:color w:val="auto"/>
                <w:sz w:val="20"/>
                <w:highlight w:val="none"/>
              </w:rPr>
            </w:pPr>
            <w:r>
              <w:rPr>
                <w:rFonts w:hint="eastAsia"/>
                <w:color w:val="auto"/>
                <w:sz w:val="20"/>
                <w:highlight w:val="none"/>
              </w:rPr>
              <w:t>認知症の人と家族の会</w:t>
            </w:r>
          </w:p>
        </w:tc>
        <w:tc>
          <w:tcPr>
            <w:tcW w:w="560" w:type="dxa"/>
            <w:vAlign w:val="top"/>
          </w:tcPr>
          <w:p>
            <w:pPr>
              <w:pStyle w:val="0"/>
              <w:jc w:val="right"/>
              <w:rPr>
                <w:rFonts w:hint="default"/>
                <w:color w:val="auto"/>
                <w:sz w:val="20"/>
                <w:highlight w:val="none"/>
              </w:rPr>
            </w:pPr>
            <w:r>
              <w:rPr>
                <w:rFonts w:hint="eastAsia"/>
                <w:color w:val="auto"/>
                <w:sz w:val="20"/>
                <w:highlight w:val="none"/>
              </w:rPr>
              <w:t>1</w:t>
            </w:r>
          </w:p>
        </w:tc>
        <w:tc>
          <w:tcPr>
            <w:tcW w:w="2493" w:type="dxa"/>
            <w:vAlign w:val="top"/>
          </w:tcPr>
          <w:p>
            <w:pPr>
              <w:pStyle w:val="0"/>
              <w:rPr>
                <w:rFonts w:hint="default"/>
                <w:color w:val="auto"/>
                <w:sz w:val="20"/>
                <w:highlight w:val="none"/>
              </w:rPr>
            </w:pPr>
            <w:r>
              <w:rPr>
                <w:rFonts w:hint="eastAsia"/>
                <w:color w:val="auto"/>
                <w:sz w:val="20"/>
                <w:highlight w:val="none"/>
              </w:rPr>
              <w:t>シルバー人材センター</w:t>
            </w:r>
          </w:p>
        </w:tc>
        <w:tc>
          <w:tcPr>
            <w:tcW w:w="567" w:type="dxa"/>
            <w:vAlign w:val="top"/>
          </w:tcPr>
          <w:p>
            <w:pPr>
              <w:pStyle w:val="0"/>
              <w:jc w:val="right"/>
              <w:rPr>
                <w:rFonts w:hint="default"/>
                <w:color w:val="auto"/>
                <w:sz w:val="20"/>
                <w:highlight w:val="none"/>
              </w:rPr>
            </w:pPr>
            <w:r>
              <w:rPr>
                <w:rFonts w:hint="eastAsia"/>
                <w:color w:val="auto"/>
                <w:sz w:val="20"/>
                <w:highlight w:val="none"/>
              </w:rPr>
              <w:t>1</w:t>
            </w:r>
          </w:p>
        </w:tc>
      </w:tr>
      <w:tr>
        <w:trPr/>
        <w:tc>
          <w:tcPr>
            <w:tcW w:w="2515" w:type="dxa"/>
            <w:vAlign w:val="top"/>
          </w:tcPr>
          <w:p>
            <w:pPr>
              <w:pStyle w:val="0"/>
              <w:rPr>
                <w:rFonts w:hint="default"/>
                <w:color w:val="auto"/>
                <w:sz w:val="20"/>
                <w:highlight w:val="none"/>
              </w:rPr>
            </w:pPr>
            <w:r>
              <w:rPr>
                <w:rFonts w:hint="eastAsia"/>
                <w:color w:val="auto"/>
                <w:sz w:val="20"/>
                <w:highlight w:val="none"/>
              </w:rPr>
              <w:t>コミュニティ</w:t>
            </w:r>
          </w:p>
        </w:tc>
        <w:tc>
          <w:tcPr>
            <w:tcW w:w="525" w:type="dxa"/>
            <w:vAlign w:val="top"/>
          </w:tcPr>
          <w:p>
            <w:pPr>
              <w:pStyle w:val="0"/>
              <w:jc w:val="right"/>
              <w:rPr>
                <w:rFonts w:hint="default"/>
                <w:color w:val="auto"/>
                <w:sz w:val="20"/>
                <w:highlight w:val="none"/>
              </w:rPr>
            </w:pPr>
            <w:r>
              <w:rPr>
                <w:rFonts w:hint="eastAsia"/>
                <w:color w:val="auto"/>
                <w:sz w:val="20"/>
                <w:highlight w:val="none"/>
              </w:rPr>
              <w:t>4</w:t>
            </w:r>
          </w:p>
        </w:tc>
        <w:tc>
          <w:tcPr>
            <w:tcW w:w="2520" w:type="dxa"/>
            <w:vAlign w:val="top"/>
          </w:tcPr>
          <w:p>
            <w:pPr>
              <w:pStyle w:val="0"/>
              <w:rPr>
                <w:rFonts w:hint="default"/>
                <w:color w:val="auto"/>
                <w:sz w:val="20"/>
                <w:highlight w:val="none"/>
              </w:rPr>
            </w:pPr>
            <w:r>
              <w:rPr>
                <w:rFonts w:hint="eastAsia"/>
                <w:color w:val="auto"/>
                <w:sz w:val="20"/>
                <w:highlight w:val="none"/>
              </w:rPr>
              <w:t>チームオレンジ</w:t>
            </w:r>
          </w:p>
        </w:tc>
        <w:tc>
          <w:tcPr>
            <w:tcW w:w="560" w:type="dxa"/>
            <w:vAlign w:val="top"/>
          </w:tcPr>
          <w:p>
            <w:pPr>
              <w:pStyle w:val="0"/>
              <w:jc w:val="right"/>
              <w:rPr>
                <w:rFonts w:hint="default"/>
                <w:color w:val="auto"/>
                <w:sz w:val="20"/>
                <w:highlight w:val="none"/>
              </w:rPr>
            </w:pPr>
            <w:r>
              <w:rPr>
                <w:rFonts w:hint="eastAsia"/>
                <w:color w:val="auto"/>
                <w:sz w:val="20"/>
                <w:highlight w:val="none"/>
              </w:rPr>
              <w:t>1</w:t>
            </w:r>
          </w:p>
        </w:tc>
        <w:tc>
          <w:tcPr>
            <w:tcW w:w="2493" w:type="dxa"/>
            <w:vAlign w:val="top"/>
          </w:tcPr>
          <w:p>
            <w:pPr>
              <w:pStyle w:val="0"/>
              <w:rPr>
                <w:rFonts w:hint="default"/>
                <w:color w:val="auto"/>
                <w:sz w:val="20"/>
                <w:highlight w:val="none"/>
              </w:rPr>
            </w:pPr>
            <w:r>
              <w:rPr>
                <w:rFonts w:hint="eastAsia"/>
                <w:color w:val="auto"/>
                <w:sz w:val="20"/>
                <w:highlight w:val="none"/>
              </w:rPr>
              <w:t>民生委員</w:t>
            </w:r>
          </w:p>
        </w:tc>
        <w:tc>
          <w:tcPr>
            <w:tcW w:w="567" w:type="dxa"/>
            <w:vAlign w:val="top"/>
          </w:tcPr>
          <w:p>
            <w:pPr>
              <w:pStyle w:val="0"/>
              <w:jc w:val="right"/>
              <w:rPr>
                <w:rFonts w:hint="default"/>
                <w:color w:val="auto"/>
                <w:sz w:val="20"/>
                <w:highlight w:val="none"/>
              </w:rPr>
            </w:pPr>
            <w:r>
              <w:rPr>
                <w:rFonts w:hint="eastAsia"/>
                <w:color w:val="auto"/>
                <w:sz w:val="20"/>
                <w:highlight w:val="none"/>
              </w:rPr>
              <w:t>36</w:t>
            </w:r>
          </w:p>
        </w:tc>
      </w:tr>
      <w:tr>
        <w:trPr/>
        <w:tc>
          <w:tcPr>
            <w:tcW w:w="2515" w:type="dxa"/>
            <w:shd w:val="clear" w:color="auto" w:fill="auto"/>
            <w:vAlign w:val="top"/>
          </w:tcPr>
          <w:p>
            <w:pPr>
              <w:pStyle w:val="0"/>
              <w:rPr>
                <w:rFonts w:hint="default"/>
                <w:color w:val="auto"/>
                <w:sz w:val="20"/>
                <w:highlight w:val="none"/>
              </w:rPr>
            </w:pPr>
            <w:r>
              <w:rPr>
                <w:rFonts w:hint="eastAsia"/>
                <w:color w:val="auto"/>
                <w:sz w:val="20"/>
                <w:highlight w:val="none"/>
              </w:rPr>
              <w:t>単位老人クラブ</w:t>
            </w:r>
          </w:p>
        </w:tc>
        <w:tc>
          <w:tcPr>
            <w:tcW w:w="525" w:type="dxa"/>
            <w:shd w:val="clear" w:color="auto" w:fill="auto"/>
            <w:vAlign w:val="top"/>
          </w:tcPr>
          <w:p>
            <w:pPr>
              <w:pStyle w:val="0"/>
              <w:jc w:val="right"/>
              <w:rPr>
                <w:rFonts w:hint="default"/>
                <w:color w:val="auto"/>
                <w:sz w:val="20"/>
                <w:highlight w:val="none"/>
              </w:rPr>
            </w:pPr>
            <w:r>
              <w:rPr>
                <w:rFonts w:hint="eastAsia"/>
                <w:color w:val="auto"/>
                <w:sz w:val="20"/>
                <w:highlight w:val="none"/>
              </w:rPr>
              <w:t>8</w:t>
            </w:r>
          </w:p>
        </w:tc>
        <w:tc>
          <w:tcPr>
            <w:tcW w:w="2520" w:type="dxa"/>
            <w:vAlign w:val="top"/>
          </w:tcPr>
          <w:p>
            <w:pPr>
              <w:pStyle w:val="0"/>
              <w:rPr>
                <w:rFonts w:hint="default"/>
                <w:color w:val="auto"/>
                <w:sz w:val="20"/>
                <w:highlight w:val="none"/>
              </w:rPr>
            </w:pPr>
            <w:r>
              <w:rPr>
                <w:rFonts w:hint="eastAsia"/>
                <w:color w:val="auto"/>
                <w:sz w:val="20"/>
                <w:highlight w:val="none"/>
              </w:rPr>
              <w:t>認知症カフェ</w:t>
            </w:r>
          </w:p>
        </w:tc>
        <w:tc>
          <w:tcPr>
            <w:tcW w:w="560" w:type="dxa"/>
            <w:vAlign w:val="top"/>
          </w:tcPr>
          <w:p>
            <w:pPr>
              <w:pStyle w:val="0"/>
              <w:jc w:val="right"/>
              <w:rPr>
                <w:rFonts w:hint="default"/>
                <w:color w:val="auto"/>
                <w:sz w:val="20"/>
                <w:highlight w:val="none"/>
              </w:rPr>
            </w:pPr>
            <w:r>
              <w:rPr>
                <w:rFonts w:hint="eastAsia"/>
                <w:color w:val="auto"/>
                <w:sz w:val="20"/>
                <w:highlight w:val="none"/>
              </w:rPr>
              <w:t>2</w:t>
            </w:r>
          </w:p>
        </w:tc>
        <w:tc>
          <w:tcPr>
            <w:tcW w:w="2493" w:type="dxa"/>
            <w:vAlign w:val="top"/>
          </w:tcPr>
          <w:p>
            <w:pPr>
              <w:pStyle w:val="0"/>
              <w:rPr>
                <w:rFonts w:hint="default"/>
                <w:color w:val="auto"/>
                <w:sz w:val="20"/>
                <w:highlight w:val="none"/>
              </w:rPr>
            </w:pPr>
            <w:r>
              <w:rPr>
                <w:rFonts w:hint="eastAsia"/>
                <w:color w:val="auto"/>
                <w:sz w:val="20"/>
                <w:highlight w:val="none"/>
              </w:rPr>
              <w:t>健康づくり応援団</w:t>
            </w:r>
          </w:p>
        </w:tc>
        <w:tc>
          <w:tcPr>
            <w:tcW w:w="567" w:type="dxa"/>
            <w:vAlign w:val="top"/>
          </w:tcPr>
          <w:p>
            <w:pPr>
              <w:pStyle w:val="0"/>
              <w:jc w:val="right"/>
              <w:rPr>
                <w:rFonts w:hint="default"/>
                <w:color w:val="auto"/>
                <w:sz w:val="20"/>
                <w:highlight w:val="none"/>
              </w:rPr>
            </w:pPr>
            <w:r>
              <w:rPr>
                <w:rFonts w:hint="eastAsia"/>
                <w:color w:val="auto"/>
                <w:sz w:val="20"/>
                <w:highlight w:val="none"/>
              </w:rPr>
              <w:t>2</w:t>
            </w:r>
          </w:p>
        </w:tc>
      </w:tr>
      <w:tr>
        <w:trPr/>
        <w:tc>
          <w:tcPr>
            <w:tcW w:w="2515" w:type="dxa"/>
            <w:vAlign w:val="top"/>
          </w:tcPr>
          <w:p>
            <w:pPr>
              <w:pStyle w:val="0"/>
              <w:rPr>
                <w:rFonts w:hint="default"/>
                <w:color w:val="auto"/>
                <w:sz w:val="20"/>
                <w:highlight w:val="none"/>
              </w:rPr>
            </w:pPr>
            <w:r>
              <w:rPr>
                <w:rFonts w:hint="eastAsia"/>
                <w:color w:val="auto"/>
                <w:sz w:val="20"/>
                <w:highlight w:val="none"/>
              </w:rPr>
              <w:t>サロン</w:t>
            </w:r>
          </w:p>
        </w:tc>
        <w:tc>
          <w:tcPr>
            <w:tcW w:w="525" w:type="dxa"/>
            <w:vAlign w:val="top"/>
          </w:tcPr>
          <w:p>
            <w:pPr>
              <w:pStyle w:val="0"/>
              <w:jc w:val="right"/>
              <w:rPr>
                <w:rFonts w:hint="default"/>
                <w:color w:val="auto"/>
                <w:sz w:val="20"/>
                <w:highlight w:val="none"/>
              </w:rPr>
            </w:pPr>
            <w:r>
              <w:rPr>
                <w:rFonts w:hint="eastAsia"/>
                <w:color w:val="auto"/>
                <w:sz w:val="20"/>
                <w:highlight w:val="none"/>
              </w:rPr>
              <w:t>34</w:t>
            </w:r>
          </w:p>
        </w:tc>
        <w:tc>
          <w:tcPr>
            <w:tcW w:w="2520" w:type="dxa"/>
            <w:vAlign w:val="top"/>
          </w:tcPr>
          <w:p>
            <w:pPr>
              <w:pStyle w:val="0"/>
              <w:rPr>
                <w:rFonts w:hint="default"/>
                <w:color w:val="auto"/>
                <w:sz w:val="20"/>
                <w:highlight w:val="none"/>
              </w:rPr>
            </w:pPr>
            <w:r>
              <w:rPr>
                <w:rFonts w:hint="eastAsia"/>
                <w:color w:val="auto"/>
                <w:sz w:val="20"/>
                <w:highlight w:val="none"/>
              </w:rPr>
              <w:t>移動支援</w:t>
            </w:r>
          </w:p>
        </w:tc>
        <w:tc>
          <w:tcPr>
            <w:tcW w:w="560" w:type="dxa"/>
            <w:vAlign w:val="top"/>
          </w:tcPr>
          <w:p>
            <w:pPr>
              <w:pStyle w:val="0"/>
              <w:jc w:val="right"/>
              <w:rPr>
                <w:rFonts w:hint="default"/>
                <w:color w:val="auto"/>
                <w:sz w:val="20"/>
                <w:highlight w:val="none"/>
              </w:rPr>
            </w:pPr>
            <w:r>
              <w:rPr>
                <w:rFonts w:hint="eastAsia"/>
                <w:color w:val="auto"/>
                <w:sz w:val="20"/>
                <w:highlight w:val="none"/>
              </w:rPr>
              <w:t>1</w:t>
            </w:r>
          </w:p>
        </w:tc>
        <w:tc>
          <w:tcPr>
            <w:tcW w:w="2493" w:type="dxa"/>
            <w:vAlign w:val="top"/>
          </w:tcPr>
          <w:p>
            <w:pPr>
              <w:pStyle w:val="0"/>
              <w:rPr>
                <w:rFonts w:hint="default"/>
                <w:color w:val="auto"/>
                <w:sz w:val="20"/>
                <w:highlight w:val="none"/>
              </w:rPr>
            </w:pPr>
            <w:r>
              <w:rPr>
                <w:rFonts w:hint="eastAsia"/>
                <w:color w:val="auto"/>
                <w:sz w:val="20"/>
                <w:highlight w:val="none"/>
              </w:rPr>
              <w:t>オレンジドクター</w:t>
            </w:r>
          </w:p>
        </w:tc>
        <w:tc>
          <w:tcPr>
            <w:tcW w:w="567" w:type="dxa"/>
            <w:vAlign w:val="top"/>
          </w:tcPr>
          <w:p>
            <w:pPr>
              <w:pStyle w:val="0"/>
              <w:jc w:val="right"/>
              <w:rPr>
                <w:rFonts w:hint="default"/>
                <w:color w:val="auto"/>
                <w:sz w:val="20"/>
                <w:highlight w:val="none"/>
              </w:rPr>
            </w:pPr>
            <w:r>
              <w:rPr>
                <w:rFonts w:hint="eastAsia"/>
                <w:color w:val="auto"/>
                <w:sz w:val="20"/>
                <w:highlight w:val="none"/>
              </w:rPr>
              <w:t>5</w:t>
            </w:r>
          </w:p>
        </w:tc>
      </w:tr>
      <w:tr>
        <w:trPr/>
        <w:tc>
          <w:tcPr>
            <w:tcW w:w="2515" w:type="dxa"/>
            <w:vAlign w:val="top"/>
          </w:tcPr>
          <w:p>
            <w:pPr>
              <w:pStyle w:val="0"/>
              <w:rPr>
                <w:rFonts w:hint="default"/>
                <w:color w:val="auto"/>
                <w:sz w:val="20"/>
                <w:highlight w:val="none"/>
              </w:rPr>
            </w:pPr>
            <w:r>
              <w:rPr>
                <w:rFonts w:hint="eastAsia"/>
                <w:color w:val="auto"/>
                <w:sz w:val="20"/>
                <w:highlight w:val="none"/>
              </w:rPr>
              <w:t>百歳体操</w:t>
            </w:r>
          </w:p>
        </w:tc>
        <w:tc>
          <w:tcPr>
            <w:tcW w:w="525" w:type="dxa"/>
            <w:vAlign w:val="top"/>
          </w:tcPr>
          <w:p>
            <w:pPr>
              <w:pStyle w:val="0"/>
              <w:jc w:val="right"/>
              <w:rPr>
                <w:rFonts w:hint="default"/>
                <w:color w:val="auto"/>
                <w:sz w:val="20"/>
                <w:highlight w:val="none"/>
              </w:rPr>
            </w:pPr>
            <w:r>
              <w:rPr>
                <w:rFonts w:hint="eastAsia"/>
                <w:color w:val="auto"/>
                <w:sz w:val="20"/>
                <w:highlight w:val="none"/>
              </w:rPr>
              <w:t>16</w:t>
            </w:r>
          </w:p>
        </w:tc>
        <w:tc>
          <w:tcPr>
            <w:tcW w:w="2520" w:type="dxa"/>
            <w:vAlign w:val="top"/>
          </w:tcPr>
          <w:p>
            <w:pPr>
              <w:pStyle w:val="0"/>
              <w:rPr>
                <w:rFonts w:hint="default"/>
                <w:color w:val="auto"/>
                <w:sz w:val="20"/>
                <w:highlight w:val="none"/>
              </w:rPr>
            </w:pPr>
            <w:r>
              <w:rPr>
                <w:rFonts w:hint="eastAsia"/>
                <w:color w:val="auto"/>
                <w:sz w:val="20"/>
                <w:highlight w:val="none"/>
              </w:rPr>
              <w:t>スーパーマーケット</w:t>
            </w:r>
          </w:p>
        </w:tc>
        <w:tc>
          <w:tcPr>
            <w:tcW w:w="560" w:type="dxa"/>
            <w:vAlign w:val="top"/>
          </w:tcPr>
          <w:p>
            <w:pPr>
              <w:pStyle w:val="0"/>
              <w:jc w:val="right"/>
              <w:rPr>
                <w:rFonts w:hint="default"/>
                <w:color w:val="auto"/>
                <w:sz w:val="20"/>
                <w:highlight w:val="none"/>
              </w:rPr>
            </w:pPr>
            <w:r>
              <w:rPr>
                <w:rFonts w:hint="eastAsia"/>
                <w:color w:val="auto"/>
                <w:sz w:val="20"/>
                <w:highlight w:val="none"/>
              </w:rPr>
              <w:t>3</w:t>
            </w:r>
          </w:p>
        </w:tc>
        <w:tc>
          <w:tcPr>
            <w:tcW w:w="2493" w:type="dxa"/>
            <w:vAlign w:val="top"/>
          </w:tcPr>
          <w:p>
            <w:pPr>
              <w:pStyle w:val="0"/>
              <w:rPr>
                <w:rFonts w:hint="default"/>
                <w:color w:val="auto"/>
                <w:sz w:val="20"/>
                <w:highlight w:val="none"/>
              </w:rPr>
            </w:pPr>
            <w:r>
              <w:rPr>
                <w:rFonts w:hint="eastAsia"/>
                <w:color w:val="auto"/>
                <w:sz w:val="20"/>
                <w:highlight w:val="none"/>
              </w:rPr>
              <w:t>生活支援ｺｰﾃﾞｨﾈｰﾀｰ</w:t>
            </w:r>
          </w:p>
        </w:tc>
        <w:tc>
          <w:tcPr>
            <w:tcW w:w="567" w:type="dxa"/>
            <w:vAlign w:val="top"/>
          </w:tcPr>
          <w:p>
            <w:pPr>
              <w:pStyle w:val="0"/>
              <w:jc w:val="right"/>
              <w:rPr>
                <w:rFonts w:hint="default"/>
                <w:color w:val="auto"/>
                <w:sz w:val="20"/>
                <w:highlight w:val="none"/>
              </w:rPr>
            </w:pPr>
            <w:r>
              <w:rPr>
                <w:rFonts w:hint="eastAsia"/>
                <w:color w:val="auto"/>
                <w:sz w:val="20"/>
                <w:highlight w:val="none"/>
              </w:rPr>
              <w:t>1</w:t>
            </w:r>
          </w:p>
        </w:tc>
      </w:tr>
      <w:tr>
        <w:trPr>
          <w:trHeight w:val="35" w:hRule="atLeast"/>
        </w:trPr>
        <w:tc>
          <w:tcPr>
            <w:tcW w:w="2515" w:type="dxa"/>
            <w:vAlign w:val="top"/>
          </w:tcPr>
          <w:p>
            <w:pPr>
              <w:pStyle w:val="0"/>
              <w:rPr>
                <w:rFonts w:hint="default"/>
                <w:color w:val="auto"/>
                <w:w w:val="95"/>
                <w:sz w:val="20"/>
                <w:highlight w:val="none"/>
              </w:rPr>
            </w:pPr>
            <w:r>
              <w:rPr>
                <w:rFonts w:hint="eastAsia"/>
                <w:color w:val="auto"/>
                <w:w w:val="95"/>
                <w:sz w:val="20"/>
                <w:highlight w:val="none"/>
              </w:rPr>
              <w:t>病院・診療所・歯科・薬局</w:t>
            </w:r>
          </w:p>
        </w:tc>
        <w:tc>
          <w:tcPr>
            <w:tcW w:w="525" w:type="dxa"/>
            <w:vAlign w:val="top"/>
          </w:tcPr>
          <w:p>
            <w:pPr>
              <w:pStyle w:val="0"/>
              <w:jc w:val="right"/>
              <w:rPr>
                <w:rFonts w:hint="default"/>
                <w:color w:val="auto"/>
                <w:sz w:val="20"/>
                <w:highlight w:val="none"/>
              </w:rPr>
            </w:pPr>
            <w:r>
              <w:rPr>
                <w:rFonts w:hint="eastAsia"/>
                <w:color w:val="auto"/>
                <w:sz w:val="20"/>
                <w:highlight w:val="none"/>
              </w:rPr>
              <w:t>9</w:t>
            </w:r>
          </w:p>
        </w:tc>
        <w:tc>
          <w:tcPr>
            <w:tcW w:w="2520" w:type="dxa"/>
            <w:vAlign w:val="top"/>
          </w:tcPr>
          <w:p>
            <w:pPr>
              <w:pStyle w:val="0"/>
              <w:rPr>
                <w:rFonts w:hint="default"/>
                <w:color w:val="auto"/>
                <w:sz w:val="20"/>
                <w:highlight w:val="none"/>
              </w:rPr>
            </w:pPr>
            <w:r>
              <w:rPr>
                <w:rFonts w:hint="eastAsia"/>
                <w:color w:val="auto"/>
                <w:sz w:val="20"/>
                <w:highlight w:val="none"/>
              </w:rPr>
              <w:t>コンビニエンスストア</w:t>
            </w:r>
          </w:p>
        </w:tc>
        <w:tc>
          <w:tcPr>
            <w:tcW w:w="560" w:type="dxa"/>
            <w:vAlign w:val="top"/>
          </w:tcPr>
          <w:p>
            <w:pPr>
              <w:pStyle w:val="0"/>
              <w:jc w:val="right"/>
              <w:rPr>
                <w:rFonts w:hint="default"/>
                <w:color w:val="auto"/>
                <w:sz w:val="20"/>
                <w:highlight w:val="none"/>
              </w:rPr>
            </w:pPr>
            <w:r>
              <w:rPr>
                <w:rFonts w:hint="eastAsia"/>
                <w:color w:val="auto"/>
                <w:sz w:val="20"/>
                <w:highlight w:val="none"/>
              </w:rPr>
              <w:t>4</w:t>
            </w:r>
          </w:p>
        </w:tc>
        <w:tc>
          <w:tcPr>
            <w:tcW w:w="2493" w:type="dxa"/>
            <w:vAlign w:val="top"/>
          </w:tcPr>
          <w:p>
            <w:pPr>
              <w:pStyle w:val="0"/>
              <w:rPr>
                <w:rFonts w:hint="default"/>
                <w:color w:val="auto"/>
                <w:sz w:val="20"/>
                <w:highlight w:val="none"/>
              </w:rPr>
            </w:pPr>
          </w:p>
        </w:tc>
        <w:tc>
          <w:tcPr>
            <w:tcW w:w="567" w:type="dxa"/>
            <w:vAlign w:val="top"/>
          </w:tcPr>
          <w:p>
            <w:pPr>
              <w:pStyle w:val="0"/>
              <w:jc w:val="right"/>
              <w:rPr>
                <w:rFonts w:hint="default"/>
                <w:color w:val="auto"/>
                <w:sz w:val="20"/>
                <w:highlight w:val="none"/>
              </w:rPr>
            </w:pPr>
          </w:p>
        </w:tc>
      </w:tr>
    </w:tbl>
    <w:p>
      <w:pPr>
        <w:pStyle w:val="0"/>
        <w:spacing w:before="74" w:beforeLines="20" w:beforeAutospacing="0" w:line="320" w:lineRule="exact"/>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〔介護サービス資源等〕</w:t>
      </w:r>
    </w:p>
    <w:tbl>
      <w:tblPr>
        <w:tblStyle w:val="81"/>
        <w:tblW w:w="9180" w:type="dxa"/>
        <w:tblInd w:w="0" w:type="dxa"/>
        <w:tblLayout w:type="fixed"/>
        <w:tblLook w:firstRow="1" w:lastRow="0" w:firstColumn="1" w:lastColumn="0" w:noHBand="0" w:noVBand="1" w:val="04A0"/>
      </w:tblPr>
      <w:tblGrid>
        <w:gridCol w:w="2547"/>
        <w:gridCol w:w="567"/>
        <w:gridCol w:w="2410"/>
        <w:gridCol w:w="596"/>
        <w:gridCol w:w="2493"/>
        <w:gridCol w:w="567"/>
      </w:tblGrid>
      <w:tr>
        <w:trPr/>
        <w:tc>
          <w:tcPr>
            <w:tcW w:w="9180" w:type="dxa"/>
            <w:gridSpan w:val="6"/>
            <w:shd w:val="clear" w:color="auto" w:fill="0070C0"/>
            <w:vAlign w:val="top"/>
          </w:tcPr>
          <w:p>
            <w:pPr>
              <w:pStyle w:val="0"/>
              <w:spacing w:line="240" w:lineRule="exact"/>
              <w:jc w:val="center"/>
              <w:rPr>
                <w:rFonts w:hint="default"/>
                <w:color w:val="auto"/>
                <w:sz w:val="20"/>
                <w:highlight w:val="none"/>
              </w:rPr>
            </w:pPr>
            <w:r>
              <w:rPr>
                <w:rFonts w:hint="eastAsia"/>
                <w:color w:val="auto"/>
                <w:sz w:val="20"/>
                <w:highlight w:val="none"/>
              </w:rPr>
              <w:t>介護サービス事業所等数（令和</w:t>
            </w:r>
            <w:r>
              <w:rPr>
                <w:rFonts w:hint="eastAsia"/>
                <w:color w:val="auto"/>
                <w:sz w:val="20"/>
                <w:highlight w:val="none"/>
              </w:rPr>
              <w:t>5</w:t>
            </w:r>
            <w:r>
              <w:rPr>
                <w:rFonts w:hint="eastAsia"/>
                <w:color w:val="auto"/>
                <w:sz w:val="20"/>
                <w:highlight w:val="none"/>
              </w:rPr>
              <w:t>年</w:t>
            </w:r>
            <w:r>
              <w:rPr>
                <w:rFonts w:hint="eastAsia"/>
                <w:color w:val="auto"/>
                <w:sz w:val="20"/>
                <w:highlight w:val="none"/>
              </w:rPr>
              <w:t>8</w:t>
            </w:r>
            <w:r>
              <w:rPr>
                <w:rFonts w:hint="eastAsia"/>
                <w:color w:val="auto"/>
                <w:sz w:val="20"/>
                <w:highlight w:val="none"/>
              </w:rPr>
              <w:t>月現在）</w:t>
            </w:r>
          </w:p>
        </w:tc>
      </w:tr>
      <w:tr>
        <w:trPr>
          <w:trHeight w:val="194" w:hRule="atLeast"/>
        </w:trPr>
        <w:tc>
          <w:tcPr>
            <w:tcW w:w="2547" w:type="dxa"/>
            <w:shd w:val="clear" w:color="auto" w:themeFill="accent5" w:themeFillTint="33" w:themeFillShade="FF"/>
            <w:vAlign w:val="top"/>
          </w:tcPr>
          <w:p>
            <w:pPr>
              <w:pStyle w:val="0"/>
              <w:spacing w:line="240" w:lineRule="exact"/>
              <w:rPr>
                <w:rFonts w:hint="default"/>
                <w:b w:val="1"/>
                <w:color w:val="auto"/>
                <w:sz w:val="20"/>
                <w:highlight w:val="none"/>
              </w:rPr>
            </w:pPr>
            <w:r>
              <w:rPr>
                <w:rFonts w:hint="eastAsia"/>
                <w:b w:val="1"/>
                <w:color w:val="auto"/>
                <w:sz w:val="20"/>
                <w:highlight w:val="none"/>
              </w:rPr>
              <w:t>居宅サービス</w:t>
            </w:r>
          </w:p>
        </w:tc>
        <w:tc>
          <w:tcPr>
            <w:tcW w:w="567" w:type="dxa"/>
            <w:shd w:val="clear" w:color="auto" w:themeFill="accent5" w:themeFillTint="33" w:themeFillShade="FF"/>
            <w:vAlign w:val="top"/>
          </w:tcPr>
          <w:p>
            <w:pPr>
              <w:pStyle w:val="0"/>
              <w:spacing w:line="240" w:lineRule="exact"/>
              <w:jc w:val="right"/>
              <w:rPr>
                <w:rFonts w:hint="default"/>
                <w:b w:val="1"/>
                <w:color w:val="auto"/>
                <w:sz w:val="20"/>
                <w:highlight w:val="none"/>
              </w:rPr>
            </w:pPr>
          </w:p>
        </w:tc>
        <w:tc>
          <w:tcPr>
            <w:tcW w:w="2410" w:type="dxa"/>
            <w:shd w:val="clear" w:color="auto" w:themeFill="accent5" w:themeFillTint="33" w:themeFillShade="FF"/>
            <w:vAlign w:val="top"/>
          </w:tcPr>
          <w:p>
            <w:pPr>
              <w:pStyle w:val="0"/>
              <w:spacing w:line="240" w:lineRule="exact"/>
              <w:rPr>
                <w:rFonts w:hint="default"/>
                <w:b w:val="1"/>
                <w:color w:val="auto"/>
                <w:sz w:val="20"/>
                <w:highlight w:val="none"/>
              </w:rPr>
            </w:pPr>
            <w:r>
              <w:rPr>
                <w:rFonts w:hint="eastAsia"/>
                <w:b w:val="1"/>
                <w:color w:val="auto"/>
                <w:sz w:val="20"/>
                <w:highlight w:val="none"/>
              </w:rPr>
              <w:t>地域密着型サービス</w:t>
            </w:r>
          </w:p>
        </w:tc>
        <w:tc>
          <w:tcPr>
            <w:tcW w:w="596" w:type="dxa"/>
            <w:shd w:val="clear" w:color="auto" w:themeFill="accent5" w:themeFillTint="33" w:themeFillShade="FF"/>
            <w:vAlign w:val="top"/>
          </w:tcPr>
          <w:p>
            <w:pPr>
              <w:pStyle w:val="0"/>
              <w:spacing w:line="240" w:lineRule="exact"/>
              <w:rPr>
                <w:rFonts w:hint="default"/>
                <w:b w:val="1"/>
                <w:color w:val="auto"/>
                <w:sz w:val="20"/>
                <w:highlight w:val="none"/>
              </w:rPr>
            </w:pPr>
          </w:p>
        </w:tc>
        <w:tc>
          <w:tcPr>
            <w:tcW w:w="2493" w:type="dxa"/>
            <w:shd w:val="clear" w:color="auto" w:themeFill="accent5" w:themeFillTint="33" w:themeFillShade="FF"/>
            <w:vAlign w:val="top"/>
          </w:tcPr>
          <w:p>
            <w:pPr>
              <w:pStyle w:val="0"/>
              <w:spacing w:line="240" w:lineRule="exact"/>
              <w:rPr>
                <w:rFonts w:hint="default"/>
                <w:b w:val="1"/>
                <w:color w:val="auto"/>
                <w:sz w:val="20"/>
                <w:highlight w:val="none"/>
              </w:rPr>
            </w:pPr>
            <w:r>
              <w:rPr>
                <w:rFonts w:hint="eastAsia"/>
                <w:b w:val="1"/>
                <w:color w:val="auto"/>
                <w:sz w:val="20"/>
                <w:highlight w:val="none"/>
              </w:rPr>
              <w:t>施設サービス</w:t>
            </w:r>
          </w:p>
        </w:tc>
        <w:tc>
          <w:tcPr>
            <w:tcW w:w="567" w:type="dxa"/>
            <w:shd w:val="clear" w:color="auto" w:themeFill="accent5" w:themeFillTint="33" w:themeFillShade="FF"/>
            <w:vAlign w:val="top"/>
          </w:tcPr>
          <w:p>
            <w:pPr>
              <w:pStyle w:val="0"/>
              <w:spacing w:line="240" w:lineRule="exact"/>
              <w:jc w:val="center"/>
              <w:rPr>
                <w:rFonts w:hint="default"/>
                <w:b w:val="1"/>
                <w:color w:val="auto"/>
                <w:sz w:val="20"/>
                <w:highlight w:val="none"/>
              </w:rPr>
            </w:pPr>
          </w:p>
        </w:tc>
      </w:tr>
      <w:tr>
        <w:trPr/>
        <w:tc>
          <w:tcPr>
            <w:tcW w:w="2547" w:type="dxa"/>
            <w:vAlign w:val="top"/>
          </w:tcPr>
          <w:p>
            <w:pPr>
              <w:pStyle w:val="0"/>
              <w:spacing w:line="240" w:lineRule="exact"/>
              <w:ind w:left="220" w:leftChars="100"/>
              <w:rPr>
                <w:rFonts w:hint="default"/>
                <w:color w:val="auto"/>
                <w:sz w:val="20"/>
                <w:highlight w:val="none"/>
              </w:rPr>
            </w:pPr>
            <w:r>
              <w:rPr>
                <w:rFonts w:hint="eastAsia"/>
                <w:color w:val="auto"/>
                <w:sz w:val="20"/>
                <w:highlight w:val="none"/>
              </w:rPr>
              <w:t>居宅介護支援</w:t>
            </w:r>
          </w:p>
        </w:tc>
        <w:tc>
          <w:tcPr>
            <w:tcW w:w="567" w:type="dxa"/>
            <w:vAlign w:val="top"/>
          </w:tcPr>
          <w:p>
            <w:pPr>
              <w:pStyle w:val="0"/>
              <w:spacing w:line="240" w:lineRule="exact"/>
              <w:jc w:val="right"/>
              <w:rPr>
                <w:rFonts w:hint="default"/>
                <w:color w:val="auto"/>
                <w:sz w:val="20"/>
                <w:highlight w:val="none"/>
              </w:rPr>
            </w:pPr>
            <w:r>
              <w:rPr>
                <w:rFonts w:hint="eastAsia"/>
                <w:color w:val="auto"/>
                <w:sz w:val="20"/>
                <w:highlight w:val="none"/>
              </w:rPr>
              <w:t>3</w:t>
            </w:r>
          </w:p>
        </w:tc>
        <w:tc>
          <w:tcPr>
            <w:tcW w:w="2410" w:type="dxa"/>
            <w:vAlign w:val="top"/>
          </w:tcPr>
          <w:p>
            <w:pPr>
              <w:pStyle w:val="0"/>
              <w:spacing w:line="240" w:lineRule="exact"/>
              <w:ind w:left="220" w:leftChars="100"/>
              <w:rPr>
                <w:rFonts w:hint="default"/>
                <w:color w:val="auto"/>
                <w:sz w:val="20"/>
                <w:highlight w:val="none"/>
              </w:rPr>
            </w:pPr>
            <w:r>
              <w:rPr>
                <w:rFonts w:hint="eastAsia"/>
                <w:color w:val="auto"/>
                <w:sz w:val="20"/>
                <w:highlight w:val="none"/>
              </w:rPr>
              <w:t>定期巡回</w:t>
            </w:r>
          </w:p>
        </w:tc>
        <w:tc>
          <w:tcPr>
            <w:tcW w:w="596" w:type="dxa"/>
            <w:vAlign w:val="top"/>
          </w:tcPr>
          <w:p>
            <w:pPr>
              <w:pStyle w:val="0"/>
              <w:spacing w:line="240" w:lineRule="exact"/>
              <w:jc w:val="right"/>
              <w:rPr>
                <w:rFonts w:hint="default"/>
                <w:color w:val="auto"/>
                <w:sz w:val="20"/>
                <w:highlight w:val="none"/>
              </w:rPr>
            </w:pPr>
            <w:r>
              <w:rPr>
                <w:rFonts w:hint="eastAsia"/>
                <w:color w:val="auto"/>
                <w:sz w:val="20"/>
                <w:highlight w:val="none"/>
              </w:rPr>
              <w:t>0</w:t>
            </w:r>
          </w:p>
        </w:tc>
        <w:tc>
          <w:tcPr>
            <w:tcW w:w="2493" w:type="dxa"/>
            <w:vAlign w:val="top"/>
          </w:tcPr>
          <w:p>
            <w:pPr>
              <w:pStyle w:val="0"/>
              <w:spacing w:line="240" w:lineRule="exact"/>
              <w:ind w:left="220" w:leftChars="100" w:right="-110" w:rightChars="-50"/>
              <w:rPr>
                <w:rFonts w:hint="default"/>
                <w:color w:val="auto"/>
                <w:sz w:val="20"/>
                <w:highlight w:val="none"/>
              </w:rPr>
            </w:pPr>
            <w:r>
              <w:rPr>
                <w:rFonts w:hint="eastAsia"/>
                <w:color w:val="auto"/>
                <w:sz w:val="20"/>
                <w:highlight w:val="none"/>
              </w:rPr>
              <w:t>介護老人福祉施設</w:t>
            </w:r>
          </w:p>
        </w:tc>
        <w:tc>
          <w:tcPr>
            <w:tcW w:w="567" w:type="dxa"/>
            <w:vAlign w:val="top"/>
          </w:tcPr>
          <w:p>
            <w:pPr>
              <w:pStyle w:val="0"/>
              <w:spacing w:line="240" w:lineRule="exact"/>
              <w:jc w:val="right"/>
              <w:rPr>
                <w:rFonts w:hint="default"/>
                <w:color w:val="auto"/>
                <w:sz w:val="20"/>
                <w:highlight w:val="none"/>
              </w:rPr>
            </w:pPr>
            <w:r>
              <w:rPr>
                <w:rFonts w:hint="eastAsia"/>
                <w:color w:val="auto"/>
                <w:sz w:val="20"/>
                <w:highlight w:val="none"/>
              </w:rPr>
              <w:t>1</w:t>
            </w:r>
          </w:p>
        </w:tc>
      </w:tr>
      <w:tr>
        <w:trPr/>
        <w:tc>
          <w:tcPr>
            <w:tcW w:w="2547" w:type="dxa"/>
            <w:vAlign w:val="top"/>
          </w:tcPr>
          <w:p>
            <w:pPr>
              <w:pStyle w:val="0"/>
              <w:spacing w:line="240" w:lineRule="exact"/>
              <w:ind w:left="220" w:leftChars="100"/>
              <w:rPr>
                <w:rFonts w:hint="default"/>
                <w:color w:val="auto"/>
                <w:sz w:val="20"/>
                <w:highlight w:val="none"/>
              </w:rPr>
            </w:pPr>
            <w:r>
              <w:rPr>
                <w:rFonts w:hint="eastAsia"/>
                <w:color w:val="auto"/>
                <w:sz w:val="20"/>
                <w:highlight w:val="none"/>
              </w:rPr>
              <w:t>訪問介護</w:t>
            </w:r>
          </w:p>
        </w:tc>
        <w:tc>
          <w:tcPr>
            <w:tcW w:w="567" w:type="dxa"/>
            <w:vAlign w:val="top"/>
          </w:tcPr>
          <w:p>
            <w:pPr>
              <w:pStyle w:val="0"/>
              <w:spacing w:line="240" w:lineRule="exact"/>
              <w:jc w:val="right"/>
              <w:rPr>
                <w:rFonts w:hint="default"/>
                <w:color w:val="auto"/>
                <w:sz w:val="20"/>
                <w:highlight w:val="none"/>
              </w:rPr>
            </w:pPr>
            <w:r>
              <w:rPr>
                <w:rFonts w:hint="eastAsia"/>
                <w:color w:val="auto"/>
                <w:sz w:val="20"/>
                <w:highlight w:val="none"/>
              </w:rPr>
              <w:t>1</w:t>
            </w:r>
          </w:p>
        </w:tc>
        <w:tc>
          <w:tcPr>
            <w:tcW w:w="2410" w:type="dxa"/>
            <w:vAlign w:val="top"/>
          </w:tcPr>
          <w:p>
            <w:pPr>
              <w:pStyle w:val="0"/>
              <w:spacing w:line="240" w:lineRule="exact"/>
              <w:ind w:left="220" w:leftChars="100"/>
              <w:rPr>
                <w:rFonts w:hint="default"/>
                <w:color w:val="auto"/>
                <w:sz w:val="20"/>
                <w:highlight w:val="none"/>
              </w:rPr>
            </w:pPr>
            <w:r>
              <w:rPr>
                <w:rFonts w:hint="eastAsia"/>
                <w:color w:val="auto"/>
                <w:sz w:val="20"/>
                <w:highlight w:val="none"/>
              </w:rPr>
              <w:t>認知症対応型通所</w:t>
            </w:r>
          </w:p>
        </w:tc>
        <w:tc>
          <w:tcPr>
            <w:tcW w:w="596" w:type="dxa"/>
            <w:vAlign w:val="top"/>
          </w:tcPr>
          <w:p>
            <w:pPr>
              <w:pStyle w:val="0"/>
              <w:spacing w:line="240" w:lineRule="exact"/>
              <w:jc w:val="right"/>
              <w:rPr>
                <w:rFonts w:hint="default"/>
                <w:color w:val="auto"/>
                <w:sz w:val="20"/>
                <w:highlight w:val="none"/>
              </w:rPr>
            </w:pPr>
            <w:r>
              <w:rPr>
                <w:rFonts w:hint="eastAsia"/>
                <w:color w:val="auto"/>
                <w:sz w:val="20"/>
                <w:highlight w:val="none"/>
              </w:rPr>
              <w:t>0</w:t>
            </w:r>
          </w:p>
        </w:tc>
        <w:tc>
          <w:tcPr>
            <w:tcW w:w="2493" w:type="dxa"/>
            <w:vAlign w:val="top"/>
          </w:tcPr>
          <w:p>
            <w:pPr>
              <w:pStyle w:val="0"/>
              <w:spacing w:line="240" w:lineRule="exact"/>
              <w:ind w:left="220" w:leftChars="100" w:right="-110" w:rightChars="-50"/>
              <w:rPr>
                <w:rFonts w:hint="default"/>
                <w:color w:val="auto"/>
                <w:sz w:val="20"/>
                <w:highlight w:val="none"/>
              </w:rPr>
            </w:pPr>
            <w:r>
              <w:rPr>
                <w:rFonts w:hint="eastAsia"/>
                <w:color w:val="auto"/>
                <w:sz w:val="20"/>
                <w:highlight w:val="none"/>
              </w:rPr>
              <w:t>介護老人保健施設</w:t>
            </w:r>
          </w:p>
        </w:tc>
        <w:tc>
          <w:tcPr>
            <w:tcW w:w="567" w:type="dxa"/>
            <w:vAlign w:val="top"/>
          </w:tcPr>
          <w:p>
            <w:pPr>
              <w:pStyle w:val="0"/>
              <w:spacing w:line="240" w:lineRule="exact"/>
              <w:jc w:val="right"/>
              <w:rPr>
                <w:rFonts w:hint="default"/>
                <w:color w:val="auto"/>
                <w:sz w:val="20"/>
                <w:highlight w:val="none"/>
              </w:rPr>
            </w:pPr>
            <w:r>
              <w:rPr>
                <w:rFonts w:hint="eastAsia"/>
                <w:color w:val="auto"/>
                <w:sz w:val="20"/>
                <w:highlight w:val="none"/>
              </w:rPr>
              <w:t>0</w:t>
            </w:r>
          </w:p>
        </w:tc>
      </w:tr>
      <w:tr>
        <w:trPr/>
        <w:tc>
          <w:tcPr>
            <w:tcW w:w="2547" w:type="dxa"/>
            <w:vAlign w:val="top"/>
          </w:tcPr>
          <w:p>
            <w:pPr>
              <w:pStyle w:val="0"/>
              <w:spacing w:line="240" w:lineRule="exact"/>
              <w:ind w:left="220" w:leftChars="100"/>
              <w:rPr>
                <w:rFonts w:hint="default"/>
                <w:color w:val="auto"/>
                <w:sz w:val="20"/>
                <w:highlight w:val="none"/>
              </w:rPr>
            </w:pPr>
            <w:r>
              <w:rPr>
                <w:rFonts w:hint="eastAsia"/>
                <w:color w:val="auto"/>
                <w:sz w:val="20"/>
                <w:highlight w:val="none"/>
              </w:rPr>
              <w:t>訪問入浴介護</w:t>
            </w:r>
          </w:p>
        </w:tc>
        <w:tc>
          <w:tcPr>
            <w:tcW w:w="567" w:type="dxa"/>
            <w:vAlign w:val="top"/>
          </w:tcPr>
          <w:p>
            <w:pPr>
              <w:pStyle w:val="0"/>
              <w:spacing w:line="240" w:lineRule="exact"/>
              <w:jc w:val="right"/>
              <w:rPr>
                <w:rFonts w:hint="default"/>
                <w:color w:val="auto"/>
                <w:sz w:val="20"/>
                <w:highlight w:val="none"/>
              </w:rPr>
            </w:pPr>
            <w:r>
              <w:rPr>
                <w:rFonts w:hint="eastAsia"/>
                <w:color w:val="auto"/>
                <w:sz w:val="20"/>
                <w:highlight w:val="none"/>
              </w:rPr>
              <w:t>0</w:t>
            </w:r>
          </w:p>
        </w:tc>
        <w:tc>
          <w:tcPr>
            <w:tcW w:w="2410" w:type="dxa"/>
            <w:vAlign w:val="top"/>
          </w:tcPr>
          <w:p>
            <w:pPr>
              <w:pStyle w:val="0"/>
              <w:spacing w:line="240" w:lineRule="exact"/>
              <w:ind w:left="220" w:leftChars="100"/>
              <w:rPr>
                <w:rFonts w:hint="default"/>
                <w:color w:val="auto"/>
                <w:sz w:val="20"/>
                <w:highlight w:val="none"/>
              </w:rPr>
            </w:pPr>
            <w:r>
              <w:rPr>
                <w:rFonts w:hint="eastAsia"/>
                <w:color w:val="auto"/>
                <w:sz w:val="20"/>
                <w:highlight w:val="none"/>
              </w:rPr>
              <w:t>地域密着型通所</w:t>
            </w:r>
          </w:p>
        </w:tc>
        <w:tc>
          <w:tcPr>
            <w:tcW w:w="596" w:type="dxa"/>
            <w:vAlign w:val="top"/>
          </w:tcPr>
          <w:p>
            <w:pPr>
              <w:pStyle w:val="0"/>
              <w:spacing w:line="240" w:lineRule="exact"/>
              <w:jc w:val="right"/>
              <w:rPr>
                <w:rFonts w:hint="default"/>
                <w:color w:val="auto"/>
                <w:sz w:val="20"/>
                <w:highlight w:val="none"/>
              </w:rPr>
            </w:pPr>
            <w:r>
              <w:rPr>
                <w:rFonts w:hint="eastAsia"/>
                <w:color w:val="auto"/>
                <w:sz w:val="20"/>
                <w:highlight w:val="none"/>
              </w:rPr>
              <w:t>3</w:t>
            </w:r>
          </w:p>
        </w:tc>
        <w:tc>
          <w:tcPr>
            <w:tcW w:w="2493" w:type="dxa"/>
            <w:vAlign w:val="top"/>
          </w:tcPr>
          <w:p>
            <w:pPr>
              <w:pStyle w:val="0"/>
              <w:spacing w:line="240" w:lineRule="exact"/>
              <w:ind w:firstLine="200" w:firstLineChars="100"/>
              <w:rPr>
                <w:rFonts w:hint="default"/>
                <w:color w:val="auto"/>
                <w:sz w:val="20"/>
                <w:highlight w:val="none"/>
              </w:rPr>
            </w:pPr>
            <w:r>
              <w:rPr>
                <w:rFonts w:hint="eastAsia"/>
                <w:color w:val="auto"/>
                <w:sz w:val="20"/>
                <w:highlight w:val="none"/>
              </w:rPr>
              <w:t>介護医療院</w:t>
            </w:r>
          </w:p>
        </w:tc>
        <w:tc>
          <w:tcPr>
            <w:tcW w:w="567" w:type="dxa"/>
            <w:vAlign w:val="top"/>
          </w:tcPr>
          <w:p>
            <w:pPr>
              <w:pStyle w:val="0"/>
              <w:spacing w:line="240" w:lineRule="exact"/>
              <w:jc w:val="right"/>
              <w:rPr>
                <w:rFonts w:hint="default"/>
                <w:color w:val="auto"/>
                <w:sz w:val="20"/>
                <w:highlight w:val="none"/>
              </w:rPr>
            </w:pPr>
            <w:r>
              <w:rPr>
                <w:rFonts w:hint="eastAsia"/>
                <w:color w:val="auto"/>
                <w:sz w:val="20"/>
                <w:highlight w:val="none"/>
              </w:rPr>
              <w:t>1</w:t>
            </w:r>
          </w:p>
        </w:tc>
      </w:tr>
      <w:tr>
        <w:trPr/>
        <w:tc>
          <w:tcPr>
            <w:tcW w:w="2547" w:type="dxa"/>
            <w:vAlign w:val="top"/>
          </w:tcPr>
          <w:p>
            <w:pPr>
              <w:pStyle w:val="0"/>
              <w:spacing w:line="240" w:lineRule="exact"/>
              <w:ind w:left="220" w:leftChars="100"/>
              <w:rPr>
                <w:rFonts w:hint="default"/>
                <w:color w:val="auto"/>
                <w:sz w:val="20"/>
                <w:highlight w:val="none"/>
              </w:rPr>
            </w:pPr>
            <w:r>
              <w:rPr>
                <w:rFonts w:hint="eastAsia"/>
                <w:color w:val="auto"/>
                <w:sz w:val="20"/>
                <w:highlight w:val="none"/>
              </w:rPr>
              <w:t>訪問看護</w:t>
            </w:r>
          </w:p>
        </w:tc>
        <w:tc>
          <w:tcPr>
            <w:tcW w:w="567" w:type="dxa"/>
            <w:vAlign w:val="top"/>
          </w:tcPr>
          <w:p>
            <w:pPr>
              <w:pStyle w:val="0"/>
              <w:spacing w:line="240" w:lineRule="exact"/>
              <w:jc w:val="right"/>
              <w:rPr>
                <w:rFonts w:hint="default"/>
                <w:color w:val="auto"/>
                <w:sz w:val="20"/>
                <w:highlight w:val="none"/>
              </w:rPr>
            </w:pPr>
            <w:r>
              <w:rPr>
                <w:rFonts w:hint="eastAsia"/>
                <w:color w:val="auto"/>
                <w:sz w:val="20"/>
                <w:highlight w:val="none"/>
              </w:rPr>
              <w:t>1</w:t>
            </w:r>
          </w:p>
        </w:tc>
        <w:tc>
          <w:tcPr>
            <w:tcW w:w="2410" w:type="dxa"/>
            <w:vAlign w:val="top"/>
          </w:tcPr>
          <w:p>
            <w:pPr>
              <w:pStyle w:val="0"/>
              <w:spacing w:line="240" w:lineRule="exact"/>
              <w:ind w:left="220" w:leftChars="100"/>
              <w:rPr>
                <w:rFonts w:hint="default"/>
                <w:color w:val="auto"/>
                <w:sz w:val="20"/>
                <w:highlight w:val="none"/>
              </w:rPr>
            </w:pPr>
            <w:r>
              <w:rPr>
                <w:rFonts w:hint="eastAsia"/>
                <w:color w:val="auto"/>
                <w:sz w:val="20"/>
                <w:highlight w:val="none"/>
              </w:rPr>
              <w:t>グループホーム</w:t>
            </w:r>
          </w:p>
        </w:tc>
        <w:tc>
          <w:tcPr>
            <w:tcW w:w="596" w:type="dxa"/>
            <w:vAlign w:val="top"/>
          </w:tcPr>
          <w:p>
            <w:pPr>
              <w:pStyle w:val="0"/>
              <w:spacing w:line="240" w:lineRule="exact"/>
              <w:jc w:val="right"/>
              <w:rPr>
                <w:rFonts w:hint="default"/>
                <w:color w:val="auto"/>
                <w:sz w:val="20"/>
                <w:highlight w:val="none"/>
              </w:rPr>
            </w:pPr>
            <w:r>
              <w:rPr>
                <w:rFonts w:hint="eastAsia"/>
                <w:color w:val="auto"/>
                <w:sz w:val="20"/>
                <w:highlight w:val="none"/>
              </w:rPr>
              <w:t>1</w:t>
            </w:r>
          </w:p>
        </w:tc>
        <w:tc>
          <w:tcPr>
            <w:tcW w:w="2493" w:type="dxa"/>
            <w:shd w:val="clear" w:color="auto" w:themeFill="text2" w:themeFillTint="33" w:themeFillShade="FF"/>
            <w:vAlign w:val="top"/>
          </w:tcPr>
          <w:p>
            <w:pPr>
              <w:pStyle w:val="0"/>
              <w:spacing w:line="240" w:lineRule="exact"/>
              <w:rPr>
                <w:rFonts w:hint="default"/>
                <w:b w:val="1"/>
                <w:color w:val="auto"/>
                <w:sz w:val="20"/>
                <w:highlight w:val="none"/>
              </w:rPr>
            </w:pPr>
            <w:r>
              <w:rPr>
                <w:rFonts w:hint="eastAsia"/>
                <w:b w:val="1"/>
                <w:color w:val="auto"/>
                <w:sz w:val="20"/>
                <w:highlight w:val="none"/>
              </w:rPr>
              <w:t>総合事業</w:t>
            </w:r>
          </w:p>
        </w:tc>
        <w:tc>
          <w:tcPr>
            <w:tcW w:w="567" w:type="dxa"/>
            <w:shd w:val="clear" w:color="auto" w:themeFill="text2" w:themeFillTint="33" w:themeFillShade="FF"/>
            <w:vAlign w:val="top"/>
          </w:tcPr>
          <w:p>
            <w:pPr>
              <w:pStyle w:val="0"/>
              <w:spacing w:line="240" w:lineRule="exact"/>
              <w:jc w:val="right"/>
              <w:rPr>
                <w:rFonts w:hint="default"/>
                <w:b w:val="1"/>
                <w:color w:val="auto"/>
                <w:sz w:val="20"/>
                <w:highlight w:val="none"/>
              </w:rPr>
            </w:pPr>
            <w:r>
              <w:rPr>
                <w:rFonts w:hint="eastAsia"/>
                <w:color w:val="auto"/>
                <w:sz w:val="20"/>
                <w:highlight w:val="none"/>
              </w:rPr>
              <w:t>5</w:t>
            </w:r>
          </w:p>
        </w:tc>
      </w:tr>
      <w:tr>
        <w:trPr/>
        <w:tc>
          <w:tcPr>
            <w:tcW w:w="2547" w:type="dxa"/>
            <w:vAlign w:val="top"/>
          </w:tcPr>
          <w:p>
            <w:pPr>
              <w:pStyle w:val="0"/>
              <w:spacing w:line="240" w:lineRule="exact"/>
              <w:ind w:left="220" w:leftChars="100"/>
              <w:rPr>
                <w:rFonts w:hint="default"/>
                <w:color w:val="auto"/>
                <w:sz w:val="20"/>
                <w:highlight w:val="none"/>
              </w:rPr>
            </w:pPr>
            <w:r>
              <w:rPr>
                <w:rFonts w:hint="eastAsia"/>
                <w:color w:val="auto"/>
                <w:sz w:val="20"/>
                <w:highlight w:val="none"/>
              </w:rPr>
              <w:t>訪問ﾘﾊﾋﾞﾘﾃｰｼｮﾝ</w:t>
            </w:r>
          </w:p>
        </w:tc>
        <w:tc>
          <w:tcPr>
            <w:tcW w:w="567" w:type="dxa"/>
            <w:vAlign w:val="top"/>
          </w:tcPr>
          <w:p>
            <w:pPr>
              <w:pStyle w:val="0"/>
              <w:spacing w:line="240" w:lineRule="exact"/>
              <w:jc w:val="right"/>
              <w:rPr>
                <w:rFonts w:hint="default"/>
                <w:color w:val="auto"/>
                <w:sz w:val="20"/>
                <w:highlight w:val="none"/>
              </w:rPr>
            </w:pPr>
            <w:r>
              <w:rPr>
                <w:rFonts w:hint="eastAsia"/>
                <w:color w:val="auto"/>
                <w:sz w:val="20"/>
                <w:highlight w:val="none"/>
              </w:rPr>
              <w:t>0</w:t>
            </w:r>
          </w:p>
        </w:tc>
        <w:tc>
          <w:tcPr>
            <w:tcW w:w="2410" w:type="dxa"/>
            <w:vAlign w:val="top"/>
          </w:tcPr>
          <w:p>
            <w:pPr>
              <w:pStyle w:val="0"/>
              <w:spacing w:line="240" w:lineRule="exact"/>
              <w:ind w:firstLine="200" w:firstLineChars="100"/>
              <w:rPr>
                <w:rFonts w:hint="default"/>
                <w:color w:val="auto"/>
                <w:sz w:val="20"/>
                <w:highlight w:val="none"/>
              </w:rPr>
            </w:pPr>
            <w:r>
              <w:rPr>
                <w:rFonts w:hint="eastAsia"/>
                <w:color w:val="auto"/>
                <w:sz w:val="20"/>
                <w:highlight w:val="none"/>
              </w:rPr>
              <w:t>小規模多機能</w:t>
            </w:r>
          </w:p>
        </w:tc>
        <w:tc>
          <w:tcPr>
            <w:tcW w:w="596" w:type="dxa"/>
            <w:vAlign w:val="top"/>
          </w:tcPr>
          <w:p>
            <w:pPr>
              <w:pStyle w:val="0"/>
              <w:spacing w:line="240" w:lineRule="exact"/>
              <w:jc w:val="right"/>
              <w:rPr>
                <w:rFonts w:hint="default"/>
                <w:color w:val="auto"/>
                <w:sz w:val="20"/>
                <w:highlight w:val="none"/>
              </w:rPr>
            </w:pPr>
            <w:r>
              <w:rPr>
                <w:rFonts w:hint="eastAsia"/>
                <w:color w:val="auto"/>
                <w:sz w:val="20"/>
                <w:highlight w:val="none"/>
              </w:rPr>
              <w:t>0</w:t>
            </w:r>
          </w:p>
        </w:tc>
        <w:tc>
          <w:tcPr>
            <w:tcW w:w="2493" w:type="dxa"/>
            <w:shd w:val="clear" w:color="auto" w:themeFill="text2" w:themeFillTint="33" w:themeFillShade="FF"/>
            <w:vAlign w:val="top"/>
          </w:tcPr>
          <w:p>
            <w:pPr>
              <w:pStyle w:val="0"/>
              <w:spacing w:line="240" w:lineRule="exact"/>
              <w:rPr>
                <w:rFonts w:hint="default"/>
                <w:b w:val="1"/>
                <w:color w:val="auto"/>
                <w:sz w:val="20"/>
                <w:highlight w:val="none"/>
              </w:rPr>
            </w:pPr>
            <w:r>
              <w:rPr>
                <w:rFonts w:hint="eastAsia"/>
                <w:b w:val="1"/>
                <w:color w:val="auto"/>
                <w:sz w:val="20"/>
                <w:highlight w:val="none"/>
              </w:rPr>
              <w:t>その他</w:t>
            </w:r>
          </w:p>
        </w:tc>
        <w:tc>
          <w:tcPr>
            <w:tcW w:w="567" w:type="dxa"/>
            <w:shd w:val="clear" w:color="auto" w:themeFill="text2" w:themeFillTint="33" w:themeFillShade="FF"/>
            <w:vAlign w:val="top"/>
          </w:tcPr>
          <w:p>
            <w:pPr>
              <w:pStyle w:val="0"/>
              <w:spacing w:line="240" w:lineRule="exact"/>
              <w:jc w:val="right"/>
              <w:rPr>
                <w:rFonts w:hint="default"/>
                <w:b w:val="1"/>
                <w:color w:val="auto"/>
                <w:sz w:val="20"/>
                <w:highlight w:val="none"/>
              </w:rPr>
            </w:pPr>
          </w:p>
        </w:tc>
      </w:tr>
      <w:tr>
        <w:trPr>
          <w:trHeight w:val="122" w:hRule="atLeast"/>
        </w:trPr>
        <w:tc>
          <w:tcPr>
            <w:tcW w:w="2547" w:type="dxa"/>
            <w:vAlign w:val="top"/>
          </w:tcPr>
          <w:p>
            <w:pPr>
              <w:pStyle w:val="0"/>
              <w:spacing w:line="240" w:lineRule="exact"/>
              <w:ind w:left="220" w:leftChars="100"/>
              <w:rPr>
                <w:rFonts w:hint="default"/>
                <w:color w:val="auto"/>
                <w:sz w:val="20"/>
                <w:highlight w:val="none"/>
              </w:rPr>
            </w:pPr>
            <w:r>
              <w:rPr>
                <w:rFonts w:hint="eastAsia"/>
                <w:color w:val="auto"/>
                <w:sz w:val="20"/>
                <w:highlight w:val="none"/>
              </w:rPr>
              <w:t>通所介護</w:t>
            </w:r>
          </w:p>
        </w:tc>
        <w:tc>
          <w:tcPr>
            <w:tcW w:w="567" w:type="dxa"/>
            <w:vAlign w:val="top"/>
          </w:tcPr>
          <w:p>
            <w:pPr>
              <w:pStyle w:val="0"/>
              <w:spacing w:line="240" w:lineRule="exact"/>
              <w:jc w:val="right"/>
              <w:rPr>
                <w:rFonts w:hint="default"/>
                <w:color w:val="auto"/>
                <w:sz w:val="20"/>
                <w:highlight w:val="none"/>
              </w:rPr>
            </w:pPr>
            <w:r>
              <w:rPr>
                <w:rFonts w:hint="eastAsia"/>
                <w:color w:val="auto"/>
                <w:sz w:val="20"/>
                <w:highlight w:val="none"/>
              </w:rPr>
              <w:t>2</w:t>
            </w:r>
          </w:p>
        </w:tc>
        <w:tc>
          <w:tcPr>
            <w:tcW w:w="2410" w:type="dxa"/>
            <w:vAlign w:val="top"/>
          </w:tcPr>
          <w:p>
            <w:pPr>
              <w:pStyle w:val="0"/>
              <w:spacing w:line="240" w:lineRule="exact"/>
              <w:ind w:firstLine="200" w:firstLineChars="100"/>
              <w:rPr>
                <w:rFonts w:hint="default"/>
                <w:color w:val="auto"/>
                <w:sz w:val="20"/>
                <w:highlight w:val="none"/>
              </w:rPr>
            </w:pPr>
            <w:r>
              <w:rPr>
                <w:rFonts w:hint="eastAsia"/>
                <w:color w:val="auto"/>
                <w:sz w:val="20"/>
                <w:highlight w:val="none"/>
              </w:rPr>
              <w:t>看護小規模多機能</w:t>
            </w:r>
          </w:p>
        </w:tc>
        <w:tc>
          <w:tcPr>
            <w:tcW w:w="596" w:type="dxa"/>
            <w:vAlign w:val="top"/>
          </w:tcPr>
          <w:p>
            <w:pPr>
              <w:pStyle w:val="0"/>
              <w:spacing w:line="240" w:lineRule="exact"/>
              <w:jc w:val="right"/>
              <w:rPr>
                <w:rFonts w:hint="default"/>
                <w:color w:val="auto"/>
                <w:sz w:val="20"/>
                <w:highlight w:val="none"/>
              </w:rPr>
            </w:pPr>
            <w:r>
              <w:rPr>
                <w:rFonts w:hint="eastAsia"/>
                <w:color w:val="auto"/>
                <w:sz w:val="20"/>
                <w:highlight w:val="none"/>
              </w:rPr>
              <w:t>0</w:t>
            </w:r>
          </w:p>
        </w:tc>
        <w:tc>
          <w:tcPr>
            <w:tcW w:w="2493" w:type="dxa"/>
            <w:shd w:val="clear" w:color="auto" w:fill="auto"/>
            <w:vAlign w:val="top"/>
          </w:tcPr>
          <w:p>
            <w:pPr>
              <w:pStyle w:val="0"/>
              <w:spacing w:line="240" w:lineRule="exact"/>
              <w:ind w:firstLine="200" w:firstLineChars="100"/>
              <w:rPr>
                <w:rFonts w:hint="default"/>
                <w:color w:val="auto"/>
                <w:sz w:val="20"/>
                <w:highlight w:val="none"/>
              </w:rPr>
            </w:pPr>
            <w:r>
              <w:rPr>
                <w:rFonts w:hint="eastAsia"/>
                <w:color w:val="auto"/>
                <w:sz w:val="20"/>
                <w:highlight w:val="none"/>
              </w:rPr>
              <w:t>ｹｱﾊｳｽ</w:t>
            </w:r>
            <w:r>
              <w:rPr>
                <w:rFonts w:hint="eastAsia"/>
                <w:color w:val="auto"/>
                <w:sz w:val="20"/>
                <w:highlight w:val="none"/>
              </w:rPr>
              <w:t>(</w:t>
            </w:r>
            <w:r>
              <w:rPr>
                <w:rFonts w:hint="eastAsia"/>
                <w:color w:val="auto"/>
                <w:sz w:val="20"/>
                <w:highlight w:val="none"/>
              </w:rPr>
              <w:t>軽費老人ﾎｰﾑ</w:t>
            </w:r>
            <w:r>
              <w:rPr>
                <w:rFonts w:hint="eastAsia"/>
                <w:color w:val="auto"/>
                <w:sz w:val="20"/>
                <w:highlight w:val="none"/>
              </w:rPr>
              <w:t>)</w:t>
            </w:r>
          </w:p>
        </w:tc>
        <w:tc>
          <w:tcPr>
            <w:tcW w:w="567" w:type="dxa"/>
            <w:shd w:val="clear" w:color="auto" w:fill="auto"/>
            <w:vAlign w:val="top"/>
          </w:tcPr>
          <w:p>
            <w:pPr>
              <w:pStyle w:val="0"/>
              <w:spacing w:line="240" w:lineRule="exact"/>
              <w:jc w:val="right"/>
              <w:rPr>
                <w:rFonts w:hint="default"/>
                <w:color w:val="auto"/>
                <w:sz w:val="20"/>
                <w:highlight w:val="none"/>
              </w:rPr>
            </w:pPr>
            <w:r>
              <w:rPr>
                <w:rFonts w:hint="eastAsia"/>
                <w:color w:val="auto"/>
                <w:sz w:val="20"/>
                <w:highlight w:val="none"/>
              </w:rPr>
              <w:t>1</w:t>
            </w:r>
          </w:p>
        </w:tc>
      </w:tr>
      <w:tr>
        <w:trPr/>
        <w:tc>
          <w:tcPr>
            <w:tcW w:w="2547" w:type="dxa"/>
            <w:vAlign w:val="top"/>
          </w:tcPr>
          <w:p>
            <w:pPr>
              <w:pStyle w:val="0"/>
              <w:spacing w:line="240" w:lineRule="exact"/>
              <w:ind w:left="220" w:leftChars="100"/>
              <w:rPr>
                <w:rFonts w:hint="default"/>
                <w:color w:val="auto"/>
                <w:sz w:val="20"/>
                <w:highlight w:val="none"/>
              </w:rPr>
            </w:pPr>
            <w:r>
              <w:rPr>
                <w:rFonts w:hint="eastAsia"/>
                <w:color w:val="auto"/>
                <w:sz w:val="20"/>
                <w:highlight w:val="none"/>
              </w:rPr>
              <w:t>通所ﾘﾊﾋﾞﾘﾃｰｼｮﾝ</w:t>
            </w:r>
          </w:p>
        </w:tc>
        <w:tc>
          <w:tcPr>
            <w:tcW w:w="567" w:type="dxa"/>
            <w:vAlign w:val="top"/>
          </w:tcPr>
          <w:p>
            <w:pPr>
              <w:pStyle w:val="0"/>
              <w:spacing w:line="240" w:lineRule="exact"/>
              <w:jc w:val="right"/>
              <w:rPr>
                <w:rFonts w:hint="default"/>
                <w:color w:val="auto"/>
                <w:sz w:val="20"/>
                <w:highlight w:val="none"/>
              </w:rPr>
            </w:pPr>
            <w:r>
              <w:rPr>
                <w:rFonts w:hint="eastAsia"/>
                <w:color w:val="auto"/>
                <w:sz w:val="20"/>
                <w:highlight w:val="none"/>
              </w:rPr>
              <w:t>0</w:t>
            </w:r>
          </w:p>
        </w:tc>
        <w:tc>
          <w:tcPr>
            <w:tcW w:w="2410" w:type="dxa"/>
            <w:vAlign w:val="top"/>
          </w:tcPr>
          <w:p>
            <w:pPr>
              <w:pStyle w:val="0"/>
              <w:spacing w:line="240" w:lineRule="exact"/>
              <w:rPr>
                <w:rFonts w:hint="default"/>
                <w:color w:val="auto"/>
                <w:sz w:val="20"/>
                <w:highlight w:val="none"/>
              </w:rPr>
            </w:pPr>
            <w:r>
              <w:rPr>
                <w:rFonts w:hint="eastAsia"/>
                <w:color w:val="auto"/>
                <w:sz w:val="20"/>
                <w:highlight w:val="none"/>
              </w:rPr>
              <w:t>　</w:t>
            </w:r>
            <w:r>
              <w:rPr>
                <w:rFonts w:hint="eastAsia"/>
                <w:color w:val="auto"/>
                <w:sz w:val="20"/>
                <w:highlight w:val="none"/>
              </w:rPr>
              <w:t xml:space="preserve"> </w:t>
            </w:r>
            <w:r>
              <w:rPr>
                <w:rFonts w:hint="eastAsia"/>
                <w:color w:val="auto"/>
                <w:sz w:val="20"/>
                <w:highlight w:val="none"/>
              </w:rPr>
              <w:t>地域密着型特養</w:t>
            </w:r>
          </w:p>
        </w:tc>
        <w:tc>
          <w:tcPr>
            <w:tcW w:w="596" w:type="dxa"/>
            <w:vAlign w:val="top"/>
          </w:tcPr>
          <w:p>
            <w:pPr>
              <w:pStyle w:val="0"/>
              <w:spacing w:line="240" w:lineRule="exact"/>
              <w:jc w:val="right"/>
              <w:rPr>
                <w:rFonts w:hint="default"/>
                <w:color w:val="auto"/>
                <w:sz w:val="20"/>
                <w:highlight w:val="none"/>
              </w:rPr>
            </w:pPr>
            <w:r>
              <w:rPr>
                <w:rFonts w:hint="eastAsia"/>
                <w:color w:val="auto"/>
                <w:sz w:val="20"/>
                <w:highlight w:val="none"/>
              </w:rPr>
              <w:t>0</w:t>
            </w:r>
          </w:p>
        </w:tc>
        <w:tc>
          <w:tcPr>
            <w:tcW w:w="2493" w:type="dxa"/>
            <w:shd w:val="clear" w:color="auto" w:fill="auto"/>
            <w:vAlign w:val="top"/>
          </w:tcPr>
          <w:p>
            <w:pPr>
              <w:pStyle w:val="0"/>
              <w:spacing w:line="240" w:lineRule="exact"/>
              <w:ind w:right="-110" w:rightChars="-50" w:firstLine="200" w:firstLineChars="100"/>
              <w:rPr>
                <w:rFonts w:hint="default"/>
                <w:color w:val="auto"/>
                <w:sz w:val="20"/>
                <w:highlight w:val="none"/>
              </w:rPr>
            </w:pPr>
            <w:r>
              <w:rPr>
                <w:rFonts w:hint="eastAsia"/>
                <w:color w:val="auto"/>
                <w:sz w:val="20"/>
                <w:highlight w:val="none"/>
              </w:rPr>
              <w:t>サ高住</w:t>
            </w:r>
          </w:p>
        </w:tc>
        <w:tc>
          <w:tcPr>
            <w:tcW w:w="567" w:type="dxa"/>
            <w:shd w:val="clear" w:color="auto" w:fill="auto"/>
            <w:vAlign w:val="top"/>
          </w:tcPr>
          <w:p>
            <w:pPr>
              <w:pStyle w:val="0"/>
              <w:spacing w:line="240" w:lineRule="exact"/>
              <w:jc w:val="right"/>
              <w:rPr>
                <w:rFonts w:hint="default"/>
                <w:color w:val="auto"/>
                <w:sz w:val="20"/>
                <w:highlight w:val="none"/>
              </w:rPr>
            </w:pPr>
            <w:r>
              <w:rPr>
                <w:rFonts w:hint="eastAsia"/>
                <w:color w:val="auto"/>
                <w:sz w:val="20"/>
                <w:highlight w:val="none"/>
              </w:rPr>
              <w:t>0</w:t>
            </w:r>
          </w:p>
        </w:tc>
      </w:tr>
      <w:tr>
        <w:trPr/>
        <w:tc>
          <w:tcPr>
            <w:tcW w:w="2547" w:type="dxa"/>
            <w:vAlign w:val="top"/>
          </w:tcPr>
          <w:p>
            <w:pPr>
              <w:pStyle w:val="0"/>
              <w:spacing w:line="240" w:lineRule="exact"/>
              <w:ind w:left="220" w:leftChars="100"/>
              <w:rPr>
                <w:rFonts w:hint="default"/>
                <w:color w:val="auto"/>
                <w:sz w:val="20"/>
                <w:highlight w:val="none"/>
              </w:rPr>
            </w:pPr>
            <w:r>
              <w:rPr>
                <w:rFonts w:hint="eastAsia"/>
                <w:color w:val="auto"/>
                <w:sz w:val="20"/>
                <w:highlight w:val="none"/>
              </w:rPr>
              <w:t>ショートステイ</w:t>
            </w:r>
          </w:p>
        </w:tc>
        <w:tc>
          <w:tcPr>
            <w:tcW w:w="567" w:type="dxa"/>
            <w:vAlign w:val="top"/>
          </w:tcPr>
          <w:p>
            <w:pPr>
              <w:pStyle w:val="0"/>
              <w:spacing w:line="240" w:lineRule="exact"/>
              <w:jc w:val="right"/>
              <w:rPr>
                <w:rFonts w:hint="default"/>
                <w:color w:val="auto"/>
                <w:sz w:val="20"/>
                <w:highlight w:val="none"/>
              </w:rPr>
            </w:pPr>
            <w:r>
              <w:rPr>
                <w:rFonts w:hint="eastAsia"/>
                <w:color w:val="auto"/>
                <w:sz w:val="20"/>
                <w:highlight w:val="none"/>
              </w:rPr>
              <w:t>3</w:t>
            </w:r>
          </w:p>
        </w:tc>
        <w:tc>
          <w:tcPr>
            <w:tcW w:w="2410" w:type="dxa"/>
            <w:vAlign w:val="top"/>
          </w:tcPr>
          <w:p>
            <w:pPr>
              <w:pStyle w:val="0"/>
              <w:spacing w:line="240" w:lineRule="exact"/>
              <w:ind w:left="220" w:leftChars="100"/>
              <w:rPr>
                <w:rFonts w:hint="default"/>
                <w:color w:val="auto"/>
                <w:sz w:val="20"/>
                <w:highlight w:val="none"/>
              </w:rPr>
            </w:pPr>
            <w:r>
              <w:rPr>
                <w:rFonts w:hint="eastAsia"/>
                <w:color w:val="auto"/>
                <w:sz w:val="20"/>
                <w:highlight w:val="none"/>
              </w:rPr>
              <w:t>地域密着型特定入居</w:t>
            </w:r>
          </w:p>
        </w:tc>
        <w:tc>
          <w:tcPr>
            <w:tcW w:w="596" w:type="dxa"/>
            <w:vAlign w:val="top"/>
          </w:tcPr>
          <w:p>
            <w:pPr>
              <w:pStyle w:val="0"/>
              <w:spacing w:line="240" w:lineRule="exact"/>
              <w:jc w:val="right"/>
              <w:rPr>
                <w:rFonts w:hint="default"/>
                <w:color w:val="auto"/>
                <w:sz w:val="20"/>
                <w:highlight w:val="none"/>
              </w:rPr>
            </w:pPr>
            <w:r>
              <w:rPr>
                <w:rFonts w:hint="eastAsia"/>
                <w:color w:val="auto"/>
                <w:sz w:val="20"/>
                <w:highlight w:val="none"/>
              </w:rPr>
              <w:t>0</w:t>
            </w:r>
          </w:p>
        </w:tc>
        <w:tc>
          <w:tcPr>
            <w:tcW w:w="2493" w:type="dxa"/>
            <w:shd w:val="clear" w:color="auto" w:fill="auto"/>
            <w:vAlign w:val="top"/>
          </w:tcPr>
          <w:p>
            <w:pPr>
              <w:pStyle w:val="0"/>
              <w:spacing w:line="240" w:lineRule="exact"/>
              <w:ind w:right="-110" w:rightChars="-50" w:firstLine="200" w:firstLineChars="100"/>
              <w:rPr>
                <w:rFonts w:hint="default"/>
                <w:color w:val="auto"/>
                <w:sz w:val="20"/>
                <w:highlight w:val="none"/>
              </w:rPr>
            </w:pPr>
            <w:r>
              <w:rPr>
                <w:rFonts w:hint="eastAsia"/>
                <w:color w:val="auto"/>
                <w:sz w:val="20"/>
                <w:highlight w:val="none"/>
              </w:rPr>
              <w:t>有料老人ホーム</w:t>
            </w:r>
          </w:p>
        </w:tc>
        <w:tc>
          <w:tcPr>
            <w:tcW w:w="567" w:type="dxa"/>
            <w:shd w:val="clear" w:color="auto" w:fill="auto"/>
            <w:vAlign w:val="top"/>
          </w:tcPr>
          <w:p>
            <w:pPr>
              <w:pStyle w:val="0"/>
              <w:spacing w:line="240" w:lineRule="exact"/>
              <w:jc w:val="right"/>
              <w:rPr>
                <w:rFonts w:hint="default"/>
                <w:color w:val="auto"/>
                <w:sz w:val="20"/>
                <w:highlight w:val="none"/>
              </w:rPr>
            </w:pPr>
            <w:r>
              <w:rPr>
                <w:rFonts w:hint="eastAsia"/>
                <w:color w:val="auto"/>
                <w:sz w:val="20"/>
                <w:highlight w:val="none"/>
              </w:rPr>
              <w:t>0</w:t>
            </w:r>
          </w:p>
        </w:tc>
      </w:tr>
      <w:tr>
        <w:trPr/>
        <w:tc>
          <w:tcPr>
            <w:tcW w:w="2547" w:type="dxa"/>
            <w:vAlign w:val="top"/>
          </w:tcPr>
          <w:p>
            <w:pPr>
              <w:pStyle w:val="0"/>
              <w:spacing w:line="240" w:lineRule="exact"/>
              <w:ind w:left="220" w:leftChars="100"/>
              <w:rPr>
                <w:rFonts w:hint="default"/>
                <w:color w:val="auto"/>
                <w:sz w:val="20"/>
                <w:highlight w:val="none"/>
              </w:rPr>
            </w:pPr>
            <w:r>
              <w:rPr>
                <w:rFonts w:hint="eastAsia"/>
                <w:color w:val="auto"/>
                <w:sz w:val="20"/>
                <w:highlight w:val="none"/>
              </w:rPr>
              <w:t>特定入居</w:t>
            </w:r>
            <w:r>
              <w:rPr>
                <w:rFonts w:hint="eastAsia"/>
                <w:color w:val="auto"/>
                <w:sz w:val="20"/>
                <w:highlight w:val="none"/>
              </w:rPr>
              <w:t>(</w:t>
            </w:r>
            <w:r>
              <w:rPr>
                <w:rFonts w:hint="eastAsia"/>
                <w:color w:val="auto"/>
                <w:sz w:val="20"/>
                <w:highlight w:val="none"/>
              </w:rPr>
              <w:t>生・療</w:t>
            </w:r>
            <w:r>
              <w:rPr>
                <w:rFonts w:hint="eastAsia"/>
                <w:color w:val="auto"/>
                <w:sz w:val="20"/>
                <w:highlight w:val="none"/>
              </w:rPr>
              <w:t>)</w:t>
            </w:r>
          </w:p>
        </w:tc>
        <w:tc>
          <w:tcPr>
            <w:tcW w:w="567" w:type="dxa"/>
            <w:vAlign w:val="top"/>
          </w:tcPr>
          <w:p>
            <w:pPr>
              <w:pStyle w:val="0"/>
              <w:spacing w:line="240" w:lineRule="exact"/>
              <w:jc w:val="right"/>
              <w:rPr>
                <w:rFonts w:hint="default"/>
                <w:color w:val="auto"/>
                <w:sz w:val="20"/>
                <w:highlight w:val="none"/>
              </w:rPr>
            </w:pPr>
            <w:r>
              <w:rPr>
                <w:rFonts w:hint="eastAsia"/>
                <w:color w:val="auto"/>
                <w:sz w:val="20"/>
                <w:highlight w:val="none"/>
              </w:rPr>
              <w:t>1</w:t>
            </w:r>
          </w:p>
        </w:tc>
        <w:tc>
          <w:tcPr>
            <w:tcW w:w="2410" w:type="dxa"/>
            <w:vAlign w:val="top"/>
          </w:tcPr>
          <w:p>
            <w:pPr>
              <w:pStyle w:val="0"/>
              <w:spacing w:line="240" w:lineRule="exact"/>
              <w:ind w:left="220" w:leftChars="100"/>
              <w:rPr>
                <w:rFonts w:hint="default"/>
                <w:color w:val="auto"/>
                <w:sz w:val="20"/>
                <w:highlight w:val="none"/>
              </w:rPr>
            </w:pPr>
          </w:p>
        </w:tc>
        <w:tc>
          <w:tcPr>
            <w:tcW w:w="596" w:type="dxa"/>
            <w:vAlign w:val="top"/>
          </w:tcPr>
          <w:p>
            <w:pPr>
              <w:pStyle w:val="0"/>
              <w:spacing w:line="240" w:lineRule="exact"/>
              <w:jc w:val="right"/>
              <w:rPr>
                <w:rFonts w:hint="default"/>
                <w:color w:val="auto"/>
                <w:sz w:val="20"/>
                <w:highlight w:val="none"/>
              </w:rPr>
            </w:pPr>
          </w:p>
        </w:tc>
        <w:tc>
          <w:tcPr>
            <w:tcW w:w="2493" w:type="dxa"/>
            <w:shd w:val="clear" w:color="auto" w:fill="auto"/>
            <w:vAlign w:val="top"/>
          </w:tcPr>
          <w:p>
            <w:pPr>
              <w:pStyle w:val="0"/>
              <w:spacing w:line="240" w:lineRule="exact"/>
              <w:ind w:right="-110" w:rightChars="-50" w:firstLine="200" w:firstLineChars="100"/>
              <w:rPr>
                <w:rFonts w:hint="default"/>
                <w:color w:val="auto"/>
                <w:sz w:val="20"/>
                <w:highlight w:val="none"/>
              </w:rPr>
            </w:pPr>
            <w:r>
              <w:rPr>
                <w:rFonts w:hint="eastAsia"/>
                <w:color w:val="auto"/>
                <w:sz w:val="20"/>
                <w:highlight w:val="none"/>
              </w:rPr>
              <w:t>養護老人ホーム</w:t>
            </w:r>
          </w:p>
        </w:tc>
        <w:tc>
          <w:tcPr>
            <w:tcW w:w="567" w:type="dxa"/>
            <w:shd w:val="clear" w:color="auto" w:fill="auto"/>
            <w:vAlign w:val="top"/>
          </w:tcPr>
          <w:p>
            <w:pPr>
              <w:pStyle w:val="0"/>
              <w:spacing w:line="240" w:lineRule="exact"/>
              <w:jc w:val="right"/>
              <w:rPr>
                <w:rFonts w:hint="default"/>
                <w:color w:val="auto"/>
                <w:sz w:val="20"/>
                <w:highlight w:val="none"/>
              </w:rPr>
            </w:pPr>
            <w:r>
              <w:rPr>
                <w:rFonts w:hint="eastAsia"/>
                <w:color w:val="auto"/>
                <w:sz w:val="20"/>
                <w:highlight w:val="none"/>
              </w:rPr>
              <w:t>1</w:t>
            </w:r>
          </w:p>
        </w:tc>
      </w:tr>
    </w:tbl>
    <w:p>
      <w:pPr>
        <w:pStyle w:val="0"/>
        <w:jc w:val="center"/>
        <w:rPr>
          <w:rFonts w:hint="default" w:ascii="BIZ UDPゴシック" w:hAnsi="BIZ UDPゴシック" w:eastAsia="BIZ UDPゴシック"/>
        </w:rPr>
      </w:pPr>
      <w:r>
        <w:rPr>
          <w:rFonts w:hint="eastAsia" w:ascii="BIZ UDPゴシック" w:hAnsi="BIZ UDPゴシック" w:eastAsia="BIZ UDPゴシック"/>
        </w:rPr>
        <w:t>〔図　佐伯圏域の人口の推計〕</w:t>
      </w:r>
    </w:p>
    <w:p>
      <w:pPr>
        <w:pStyle w:val="0"/>
        <w:rPr>
          <w:rFonts w:hint="default" w:ascii="BIZ UDPゴシック" w:hAnsi="BIZ UDPゴシック" w:eastAsia="BIZ UDPゴシック"/>
        </w:rPr>
      </w:pPr>
      <w:r>
        <w:rPr>
          <w:rFonts w:hint="default"/>
        </w:rPr>
        <w:drawing>
          <wp:anchor distT="0" distB="0" distL="114300" distR="114300" simplePos="0" relativeHeight="5120" behindDoc="0" locked="0" layoutInCell="1" hidden="0" allowOverlap="1">
            <wp:simplePos x="0" y="0"/>
            <wp:positionH relativeFrom="column">
              <wp:posOffset>394970</wp:posOffset>
            </wp:positionH>
            <wp:positionV relativeFrom="paragraph">
              <wp:posOffset>38100</wp:posOffset>
            </wp:positionV>
            <wp:extent cx="5534025" cy="2400300"/>
            <wp:effectExtent l="0" t="0" r="0" b="0"/>
            <wp:wrapNone/>
            <wp:docPr id="1091" name="Picture 1"/>
            <a:graphic xmlns:a="http://schemas.openxmlformats.org/drawingml/2006/main">
              <a:graphicData uri="http://schemas.openxmlformats.org/drawingml/2006/picture">
                <pic:pic xmlns:pic="http://schemas.openxmlformats.org/drawingml/2006/picture">
                  <pic:nvPicPr>
                    <pic:cNvPr id="1091" name="Picture 1"/>
                    <pic:cNvPicPr>
                      <a:picLocks noChangeAspect="1" noChangeArrowheads="1"/>
                    </pic:cNvPicPr>
                  </pic:nvPicPr>
                  <pic:blipFill>
                    <a:blip r:embed="rId35"/>
                    <a:stretch>
                      <a:fillRect/>
                    </a:stretch>
                  </pic:blipFill>
                  <pic:spPr>
                    <a:xfrm>
                      <a:off x="0" y="0"/>
                      <a:ext cx="5534025" cy="2400300"/>
                    </a:xfrm>
                    <a:prstGeom prst="rect">
                      <a:avLst/>
                    </a:prstGeom>
                    <a:noFill/>
                    <a:ln>
                      <a:noFill/>
                    </a:ln>
                  </pic:spPr>
                </pic:pic>
              </a:graphicData>
            </a:graphic>
          </wp:anchor>
        </w:drawing>
      </w:r>
    </w:p>
    <w:p>
      <w:pPr>
        <w:pStyle w:val="0"/>
        <w:rPr>
          <w:rFonts w:hint="default" w:ascii="BIZ UDPゴシック" w:hAnsi="BIZ UDPゴシック" w:eastAsia="BIZ UDPゴシック"/>
        </w:rPr>
      </w:pPr>
    </w:p>
    <w:p>
      <w:pPr>
        <w:pStyle w:val="0"/>
        <w:rPr>
          <w:rFonts w:hint="default" w:ascii="BIZ UDPゴシック" w:hAnsi="BIZ UDPゴシック" w:eastAsia="BIZ UDPゴシック"/>
        </w:rPr>
      </w:pPr>
    </w:p>
    <w:p>
      <w:pPr>
        <w:pStyle w:val="0"/>
        <w:rPr>
          <w:rFonts w:hint="default" w:ascii="BIZ UDPゴシック" w:hAnsi="BIZ UDPゴシック" w:eastAsia="BIZ UDPゴシック"/>
        </w:rPr>
      </w:pPr>
    </w:p>
    <w:p>
      <w:pPr>
        <w:pStyle w:val="0"/>
        <w:rPr>
          <w:rFonts w:hint="default" w:ascii="BIZ UDPゴシック" w:hAnsi="BIZ UDPゴシック" w:eastAsia="BIZ UDPゴシック"/>
        </w:rPr>
      </w:pPr>
    </w:p>
    <w:p>
      <w:pPr>
        <w:pStyle w:val="0"/>
        <w:rPr>
          <w:rFonts w:hint="default" w:ascii="BIZ UDPゴシック" w:hAnsi="BIZ UDPゴシック" w:eastAsia="BIZ UDPゴシック"/>
        </w:rPr>
      </w:pPr>
    </w:p>
    <w:p>
      <w:pPr>
        <w:pStyle w:val="0"/>
        <w:rPr>
          <w:rFonts w:hint="default" w:ascii="BIZ UDPゴシック" w:hAnsi="BIZ UDPゴシック" w:eastAsia="BIZ UDPゴシック"/>
        </w:rPr>
      </w:pPr>
    </w:p>
    <w:p>
      <w:pPr>
        <w:pStyle w:val="0"/>
        <w:rPr>
          <w:rFonts w:hint="default" w:ascii="BIZ UDPゴシック" w:hAnsi="BIZ UDPゴシック" w:eastAsia="BIZ UDPゴシック"/>
        </w:rPr>
      </w:pPr>
    </w:p>
    <w:p>
      <w:pPr>
        <w:pStyle w:val="0"/>
        <w:rPr>
          <w:rFonts w:hint="default" w:ascii="BIZ UDPゴシック" w:hAnsi="BIZ UDPゴシック" w:eastAsia="BIZ UDPゴシック"/>
        </w:rPr>
      </w:pPr>
    </w:p>
    <w:p>
      <w:pPr>
        <w:pStyle w:val="0"/>
        <w:jc w:val="right"/>
        <w:rPr>
          <w:rFonts w:hint="default" w:ascii="BIZ UDPゴシック" w:hAnsi="BIZ UDPゴシック" w:eastAsia="BIZ UDPゴシック"/>
          <w:sz w:val="20"/>
        </w:rPr>
      </w:pPr>
      <w:r>
        <w:rPr>
          <w:rFonts w:hint="eastAsia" w:ascii="BIZ UDPゴシック" w:hAnsi="BIZ UDPゴシック" w:eastAsia="BIZ UDPゴシック"/>
          <w:sz w:val="20"/>
        </w:rPr>
        <w:t>資料：住民基本台帳人口及び推計値</w:t>
      </w:r>
    </w:p>
    <w:p>
      <w:pPr>
        <w:pStyle w:val="0"/>
        <w:rPr>
          <w:rFonts w:hint="default" w:ascii="BIZ UDPゴシック" w:hAnsi="BIZ UDPゴシック" w:eastAsia="BIZ UDPゴシック"/>
        </w:rPr>
      </w:pPr>
    </w:p>
    <w:p>
      <w:pPr>
        <w:pStyle w:val="0"/>
        <w:spacing w:line="240" w:lineRule="exact"/>
        <w:jc w:val="center"/>
        <w:rPr>
          <w:rFonts w:hint="default"/>
        </w:rPr>
      </w:pPr>
      <w:r>
        <w:rPr>
          <w:rFonts w:hint="eastAsia" w:ascii="BIZ UDPゴシック" w:hAnsi="BIZ UDPゴシック" w:eastAsia="BIZ UDPゴシック"/>
        </w:rPr>
        <w:t>〔佐伯圏域の要支援・要介護認定者数（第</w:t>
      </w:r>
      <w:r>
        <w:rPr>
          <w:rFonts w:hint="eastAsia" w:ascii="BIZ UDPゴシック" w:hAnsi="BIZ UDPゴシック" w:eastAsia="BIZ UDPゴシック"/>
        </w:rPr>
        <w:t>1</w:t>
      </w:r>
      <w:r>
        <w:rPr>
          <w:rFonts w:hint="eastAsia" w:ascii="BIZ UDPゴシック" w:hAnsi="BIZ UDPゴシック" w:eastAsia="BIZ UDPゴシック"/>
        </w:rPr>
        <w:t>号被保険者）の推計〕</w:t>
      </w:r>
    </w:p>
    <w:p>
      <w:pPr>
        <w:pStyle w:val="0"/>
        <w:rPr>
          <w:rFonts w:hint="default" w:ascii="BIZ UDPゴシック" w:hAnsi="BIZ UDPゴシック" w:eastAsia="BIZ UDPゴシック"/>
        </w:rPr>
      </w:pPr>
      <w:r>
        <w:rPr>
          <w:rFonts w:hint="default"/>
        </w:rPr>
        <w:drawing>
          <wp:anchor distT="0" distB="0" distL="114300" distR="114300" simplePos="0" relativeHeight="5119" behindDoc="0" locked="0" layoutInCell="1" hidden="0" allowOverlap="1">
            <wp:simplePos x="0" y="0"/>
            <wp:positionH relativeFrom="column">
              <wp:posOffset>1404620</wp:posOffset>
            </wp:positionH>
            <wp:positionV relativeFrom="paragraph">
              <wp:posOffset>90805</wp:posOffset>
            </wp:positionV>
            <wp:extent cx="3686175" cy="2057400"/>
            <wp:effectExtent l="0" t="0" r="0" b="0"/>
            <wp:wrapNone/>
            <wp:docPr id="1092" name="Picture 4"/>
            <a:graphic xmlns:a="http://schemas.openxmlformats.org/drawingml/2006/main">
              <a:graphicData uri="http://schemas.openxmlformats.org/drawingml/2006/picture">
                <pic:pic xmlns:pic="http://schemas.openxmlformats.org/drawingml/2006/picture">
                  <pic:nvPicPr>
                    <pic:cNvPr id="1092" name="Picture 4"/>
                    <pic:cNvPicPr>
                      <a:picLocks noChangeAspect="1" noChangeArrowheads="1"/>
                    </pic:cNvPicPr>
                  </pic:nvPicPr>
                  <pic:blipFill>
                    <a:blip r:embed="rId36"/>
                    <a:stretch>
                      <a:fillRect/>
                    </a:stretch>
                  </pic:blipFill>
                  <pic:spPr>
                    <a:xfrm>
                      <a:off x="0" y="0"/>
                      <a:ext cx="3686175" cy="2057400"/>
                    </a:xfrm>
                    <a:prstGeom prst="rect">
                      <a:avLst/>
                    </a:prstGeom>
                    <a:noFill/>
                    <a:ln>
                      <a:noFill/>
                    </a:ln>
                  </pic:spPr>
                </pic:pic>
              </a:graphicData>
            </a:graphic>
          </wp:anchor>
        </w:drawing>
      </w:r>
    </w:p>
    <w:p>
      <w:pPr>
        <w:pStyle w:val="0"/>
        <w:rPr>
          <w:rFonts w:hint="default" w:ascii="BIZ UDPゴシック" w:hAnsi="BIZ UDPゴシック" w:eastAsia="BIZ UDPゴシック"/>
        </w:rPr>
      </w:pPr>
    </w:p>
    <w:p>
      <w:pPr>
        <w:pStyle w:val="0"/>
        <w:rPr>
          <w:rFonts w:hint="default" w:ascii="BIZ UDPゴシック" w:hAnsi="BIZ UDPゴシック" w:eastAsia="BIZ UDPゴシック"/>
        </w:rPr>
      </w:pPr>
    </w:p>
    <w:p>
      <w:pPr>
        <w:pStyle w:val="0"/>
        <w:rPr>
          <w:rFonts w:hint="default" w:ascii="BIZ UDPゴシック" w:hAnsi="BIZ UDPゴシック" w:eastAsia="BIZ UDPゴシック"/>
        </w:rPr>
      </w:pPr>
    </w:p>
    <w:p>
      <w:pPr>
        <w:pStyle w:val="0"/>
        <w:rPr>
          <w:rFonts w:hint="default" w:ascii="BIZ UDPゴシック" w:hAnsi="BIZ UDPゴシック" w:eastAsia="BIZ UDPゴシック"/>
        </w:rPr>
      </w:pPr>
    </w:p>
    <w:p>
      <w:pPr>
        <w:pStyle w:val="0"/>
        <w:rPr>
          <w:rFonts w:hint="default" w:ascii="BIZ UDPゴシック" w:hAnsi="BIZ UDPゴシック" w:eastAsia="BIZ UDPゴシック"/>
        </w:rPr>
      </w:pPr>
    </w:p>
    <w:p>
      <w:pPr>
        <w:pStyle w:val="0"/>
        <w:rPr>
          <w:rFonts w:hint="default" w:ascii="BIZ UDPゴシック" w:hAnsi="BIZ UDPゴシック" w:eastAsia="BIZ UDPゴシック"/>
        </w:rPr>
      </w:pPr>
    </w:p>
    <w:p>
      <w:pPr>
        <w:pStyle w:val="0"/>
        <w:rPr>
          <w:rFonts w:hint="default" w:ascii="BIZ UDPゴシック" w:hAnsi="BIZ UDPゴシック" w:eastAsia="BIZ UDPゴシック"/>
        </w:rPr>
      </w:pPr>
    </w:p>
    <w:p>
      <w:pPr>
        <w:pStyle w:val="0"/>
        <w:rPr>
          <w:rFonts w:hint="default" w:ascii="BIZ UDPゴシック" w:hAnsi="BIZ UDPゴシック" w:eastAsia="BIZ UDPゴシック"/>
        </w:rPr>
      </w:pPr>
    </w:p>
    <w:p>
      <w:pPr>
        <w:pStyle w:val="0"/>
        <w:rPr>
          <w:rFonts w:hint="default"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〔地域の特徴〕</w:t>
      </w:r>
    </w:p>
    <w:p>
      <w:pPr>
        <w:pStyle w:val="34"/>
        <w:numPr>
          <w:ilvl w:val="0"/>
          <w:numId w:val="2"/>
        </w:numPr>
        <w:spacing w:before="185" w:beforeLines="50" w:beforeAutospacing="0"/>
        <w:ind w:left="652" w:leftChars="0" w:hanging="442"/>
        <w:rPr>
          <w:rFonts w:hint="default" w:ascii="BIZ UDPゴシック" w:hAnsi="BIZ UDPゴシック" w:eastAsia="BIZ UDPゴシック"/>
        </w:rPr>
      </w:pPr>
      <w:r>
        <w:rPr>
          <w:rFonts w:hint="eastAsia" w:ascii="BIZ UDPゴシック" w:hAnsi="BIZ UDPゴシック" w:eastAsia="BIZ UDPゴシック"/>
        </w:rPr>
        <w:t>７圏域の中で３番目に人口が少なく、高齢化率は３番目に高く、</w:t>
      </w:r>
      <w:r>
        <w:rPr>
          <w:rFonts w:hint="eastAsia" w:ascii="BIZ UDPゴシック" w:hAnsi="BIZ UDPゴシック" w:eastAsia="BIZ UDPゴシック"/>
        </w:rPr>
        <w:t>40</w:t>
      </w:r>
      <w:r>
        <w:rPr>
          <w:rFonts w:hint="eastAsia" w:ascii="BIZ UDPゴシック" w:hAnsi="BIZ UDPゴシック" w:eastAsia="BIZ UDPゴシック"/>
        </w:rPr>
        <w:t>％を超えています。</w:t>
      </w:r>
    </w:p>
    <w:p>
      <w:pPr>
        <w:pStyle w:val="34"/>
        <w:numPr>
          <w:ilvl w:val="0"/>
          <w:numId w:val="2"/>
        </w:numPr>
        <w:ind w:left="650" w:leftChars="0" w:hanging="440"/>
        <w:rPr>
          <w:rFonts w:hint="default" w:ascii="BIZ UDPゴシック" w:hAnsi="BIZ UDPゴシック" w:eastAsia="BIZ UDPゴシック"/>
        </w:rPr>
      </w:pPr>
      <w:r>
        <w:rPr>
          <w:rFonts w:hint="eastAsia" w:ascii="BIZ UDPゴシック" w:hAnsi="BIZ UDPゴシック" w:eastAsia="BIZ UDPゴシック"/>
        </w:rPr>
        <w:t>総人口、高齢者数ともに減少しま</w:t>
      </w:r>
      <w:bookmarkStart w:id="42" w:name="_GoBack"/>
      <w:bookmarkEnd w:id="42"/>
      <w:r>
        <w:rPr>
          <w:rFonts w:hint="eastAsia" w:ascii="BIZ UDPゴシック" w:hAnsi="BIZ UDPゴシック" w:eastAsia="BIZ UDPゴシック"/>
        </w:rPr>
        <w:t>すが、後期高齢者数は令和</w:t>
      </w:r>
      <w:r>
        <w:rPr>
          <w:rFonts w:hint="eastAsia" w:ascii="BIZ UDPゴシック" w:hAnsi="BIZ UDPゴシック" w:eastAsia="BIZ UDPゴシック"/>
        </w:rPr>
        <w:t>10</w:t>
      </w:r>
      <w:r>
        <w:rPr>
          <w:rFonts w:hint="eastAsia" w:ascii="BIZ UDPゴシック" w:hAnsi="BIZ UDPゴシック" w:eastAsia="BIZ UDPゴシック"/>
        </w:rPr>
        <w:t>（</w:t>
      </w:r>
      <w:r>
        <w:rPr>
          <w:rFonts w:hint="eastAsia" w:ascii="BIZ UDPゴシック" w:hAnsi="BIZ UDPゴシック" w:eastAsia="BIZ UDPゴシック"/>
        </w:rPr>
        <w:t>2028</w:t>
      </w:r>
      <w:r>
        <w:rPr>
          <w:rFonts w:hint="eastAsia" w:ascii="BIZ UDPゴシック" w:hAnsi="BIZ UDPゴシック" w:eastAsia="BIZ UDPゴシック"/>
        </w:rPr>
        <w:t>）年まで、</w:t>
      </w:r>
      <w:r>
        <w:rPr>
          <w:rFonts w:hint="eastAsia" w:ascii="BIZ UDPゴシック" w:hAnsi="BIZ UDPゴシック" w:eastAsia="BIZ UDPゴシック"/>
        </w:rPr>
        <w:t>85</w:t>
      </w:r>
      <w:r>
        <w:rPr>
          <w:rFonts w:hint="eastAsia" w:ascii="BIZ UDPゴシック" w:hAnsi="BIZ UDPゴシック" w:eastAsia="BIZ UDPゴシック"/>
        </w:rPr>
        <w:t>歳以上人口は令和</w:t>
      </w:r>
      <w:r>
        <w:rPr>
          <w:rFonts w:hint="eastAsia" w:ascii="BIZ UDPゴシック" w:hAnsi="BIZ UDPゴシック" w:eastAsia="BIZ UDPゴシック"/>
        </w:rPr>
        <w:t>19</w:t>
      </w:r>
      <w:r>
        <w:rPr>
          <w:rFonts w:hint="eastAsia" w:ascii="BIZ UDPゴシック" w:hAnsi="BIZ UDPゴシック" w:eastAsia="BIZ UDPゴシック"/>
        </w:rPr>
        <w:t>（</w:t>
      </w:r>
      <w:r>
        <w:rPr>
          <w:rFonts w:hint="eastAsia" w:ascii="BIZ UDPゴシック" w:hAnsi="BIZ UDPゴシック" w:eastAsia="BIZ UDPゴシック"/>
        </w:rPr>
        <w:t>2037</w:t>
      </w:r>
      <w:r>
        <w:rPr>
          <w:rFonts w:hint="eastAsia" w:ascii="BIZ UDPゴシック" w:hAnsi="BIZ UDPゴシック" w:eastAsia="BIZ UDPゴシック"/>
        </w:rPr>
        <w:t>）年まで増加すると見込まれます。</w:t>
      </w:r>
    </w:p>
    <w:p>
      <w:pPr>
        <w:pStyle w:val="34"/>
        <w:numPr>
          <w:ilvl w:val="0"/>
          <w:numId w:val="2"/>
        </w:numPr>
        <w:ind w:left="650" w:leftChars="0" w:hanging="440"/>
        <w:rPr>
          <w:rFonts w:hint="default" w:ascii="BIZ UDPゴシック" w:hAnsi="BIZ UDPゴシック" w:eastAsia="BIZ UDPゴシック"/>
        </w:rPr>
      </w:pPr>
      <w:r>
        <w:rPr>
          <w:rFonts w:hint="eastAsia" w:ascii="BIZ UDPゴシック" w:hAnsi="BIZ UDPゴシック" w:eastAsia="BIZ UDPゴシック"/>
        </w:rPr>
        <w:t>要支援・要介護認定率は７圏域の中では平均的ですが、今後</w:t>
      </w:r>
      <w:r>
        <w:rPr>
          <w:rFonts w:hint="default" w:ascii="BIZ UDPゴシック" w:hAnsi="BIZ UDPゴシック" w:eastAsia="BIZ UDPゴシック"/>
        </w:rPr>
        <w:t>85</w:t>
      </w:r>
      <w:r>
        <w:rPr>
          <w:rFonts w:hint="default" w:ascii="BIZ UDPゴシック" w:hAnsi="BIZ UDPゴシック" w:eastAsia="BIZ UDPゴシック"/>
        </w:rPr>
        <w:t>歳以上の高齢者数の増加に伴い、認定者数は増加し、認定率も上昇すると見込まれます。</w:t>
      </w:r>
    </w:p>
    <w:p>
      <w:pPr>
        <w:pStyle w:val="34"/>
        <w:numPr>
          <w:ilvl w:val="0"/>
          <w:numId w:val="2"/>
        </w:numPr>
        <w:ind w:left="650" w:leftChars="0" w:hanging="440"/>
        <w:rPr>
          <w:rFonts w:hint="default" w:ascii="BIZ UDPゴシック" w:hAnsi="BIZ UDPゴシック" w:eastAsia="BIZ UDPゴシック"/>
        </w:rPr>
      </w:pPr>
      <w:r>
        <w:rPr>
          <w:rFonts w:hint="eastAsia" w:ascii="BIZ UDPゴシック" w:hAnsi="BIZ UDPゴシック" w:eastAsia="BIZ UDPゴシック"/>
        </w:rPr>
        <w:t>山間部に位置しており、介護保険サービス提供事業者が少</w:t>
      </w:r>
      <w:r>
        <w:rPr>
          <w:rFonts w:hint="eastAsia" w:ascii="BIZ UDPゴシック" w:hAnsi="BIZ UDPゴシック" w:eastAsia="BIZ UDPゴシック"/>
          <w:color w:val="000000" w:themeColor="text1"/>
        </w:rPr>
        <w:t>ない</w:t>
      </w:r>
      <w:r>
        <w:rPr>
          <w:rFonts w:hint="eastAsia" w:ascii="BIZ UDPゴシック" w:hAnsi="BIZ UDPゴシック" w:eastAsia="BIZ UDPゴシック"/>
        </w:rPr>
        <w:t>地域です。</w:t>
      </w:r>
    </w:p>
    <w:p>
      <w:pPr>
        <w:pStyle w:val="0"/>
        <w:jc w:val="center"/>
        <w:rPr>
          <w:rFonts w:hint="default"/>
          <w:color w:val="auto"/>
          <w:highlight w:val="none"/>
        </w:rPr>
      </w:pPr>
      <w:r>
        <w:rPr>
          <w:rFonts w:hint="eastAsia" w:ascii="BIZ UDPゴシック" w:hAnsi="BIZ UDPゴシック" w:eastAsia="BIZ UDPゴシック"/>
        </w:rPr>
        <w:t>ニーズ調査の結果では、</w:t>
      </w:r>
      <w:r>
        <w:rPr>
          <w:rFonts w:hint="eastAsia" w:ascii="BIZ UDPゴシック" w:hAnsi="BIZ UDPゴシック" w:eastAsia="BIZ UDPゴシック"/>
          <w:color w:val="000000" w:themeColor="text1"/>
        </w:rPr>
        <w:t>「</w:t>
      </w:r>
      <w:r>
        <w:rPr>
          <w:rFonts w:hint="eastAsia" w:ascii="BIZ UDPゴシック" w:hAnsi="BIZ UDPゴシック" w:eastAsia="BIZ UDPゴシック"/>
        </w:rPr>
        <w:t>閉じこもりの傾向がある</w:t>
      </w:r>
      <w:r>
        <w:rPr>
          <w:rFonts w:hint="eastAsia" w:ascii="BIZ UDPゴシック" w:hAnsi="BIZ UDPゴシック" w:eastAsia="BIZ UDPゴシック"/>
          <w:color w:val="000000" w:themeColor="text1"/>
        </w:rPr>
        <w:t>」の</w:t>
      </w:r>
      <w:r>
        <w:rPr>
          <w:rFonts w:hint="eastAsia" w:ascii="BIZ UDPゴシック" w:hAnsi="BIZ UDPゴシック" w:eastAsia="BIZ UDPゴシック"/>
        </w:rPr>
        <w:t>割合が沿岸部より高く、生きがいの内容として「農作業・ガーデニング」の割合が高くなっています。</w:t>
      </w:r>
      <w:r>
        <w:rPr>
          <w:rFonts w:hint="default"/>
          <w:color w:val="auto"/>
          <w:highlight w:val="none"/>
        </w:rPr>
        <w:br w:type="page"/>
      </w:r>
    </w:p>
    <w:p>
      <w:pPr>
        <w:pStyle w:val="0"/>
        <w:jc w:val="center"/>
        <w:rPr>
          <w:rFonts w:hint="default" w:ascii="BIZ UDPゴシック" w:hAnsi="BIZ UDPゴシック" w:eastAsia="BIZ UDPゴシック"/>
          <w:color w:val="auto"/>
          <w:sz w:val="28"/>
          <w:highlight w:val="none"/>
        </w:rPr>
      </w:pPr>
      <w:r>
        <w:rPr>
          <w:rFonts w:hint="eastAsia" w:ascii="BIZ UDPゴシック" w:hAnsi="BIZ UDPゴシック" w:eastAsia="BIZ UDPゴシック"/>
          <w:color w:val="auto"/>
          <w:sz w:val="28"/>
          <w:highlight w:val="none"/>
        </w:rPr>
        <w:t>≪吉和圏域≫</w:t>
      </w:r>
    </w:p>
    <w:tbl>
      <w:tblPr>
        <w:tblStyle w:val="81"/>
        <w:tblW w:w="9090" w:type="dxa"/>
        <w:jc w:val="center"/>
        <w:tblInd w:w="0" w:type="dxa"/>
        <w:tblLayout w:type="fixed"/>
        <w:tblLook w:firstRow="1" w:lastRow="0" w:firstColumn="1" w:lastColumn="0" w:noHBand="0" w:noVBand="1" w:val="04A0"/>
      </w:tblPr>
      <w:tblGrid>
        <w:gridCol w:w="1818"/>
        <w:gridCol w:w="1818"/>
        <w:gridCol w:w="1818"/>
        <w:gridCol w:w="1818"/>
        <w:gridCol w:w="1818"/>
      </w:tblGrid>
      <w:tr>
        <w:trPr>
          <w:trHeight w:val="1191" w:hRule="atLeast"/>
        </w:trPr>
        <w:tc>
          <w:tcPr>
            <w:tcW w:w="1818" w:type="dxa"/>
            <w:shd w:val="clear" w:color="auto" w:themeFill="accent5" w:themeFillTint="66" w:themeFillShade="FF"/>
            <w:vAlign w:val="center"/>
          </w:tcPr>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総人口</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8"/>
                <w:highlight w:val="none"/>
              </w:rPr>
              <w:t>（Ｒ</w:t>
            </w:r>
            <w:r>
              <w:rPr>
                <w:rFonts w:hint="eastAsia" w:ascii="BIZ UDPゴシック" w:hAnsi="BIZ UDPゴシック" w:eastAsia="BIZ UDPゴシック"/>
                <w:color w:val="auto"/>
                <w:sz w:val="18"/>
                <w:highlight w:val="none"/>
              </w:rPr>
              <w:t>5.9</w:t>
            </w:r>
            <w:r>
              <w:rPr>
                <w:rFonts w:hint="eastAsia" w:ascii="BIZ UDPゴシック" w:hAnsi="BIZ UDPゴシック" w:eastAsia="BIZ UDPゴシック"/>
                <w:color w:val="auto"/>
                <w:sz w:val="18"/>
                <w:highlight w:val="none"/>
              </w:rPr>
              <w:t>月末現在）</w:t>
            </w:r>
          </w:p>
        </w:tc>
        <w:tc>
          <w:tcPr>
            <w:tcW w:w="1818" w:type="dxa"/>
            <w:shd w:val="clear" w:color="auto" w:themeFill="accent5" w:themeFillTint="66" w:themeFillShade="FF"/>
            <w:vAlign w:val="center"/>
          </w:tcPr>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高齢者数</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高齢化率</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6"/>
                <w:highlight w:val="none"/>
              </w:rPr>
              <w:t>（Ｒ</w:t>
            </w:r>
            <w:r>
              <w:rPr>
                <w:rFonts w:hint="eastAsia" w:ascii="BIZ UDPゴシック" w:hAnsi="BIZ UDPゴシック" w:eastAsia="BIZ UDPゴシック"/>
                <w:color w:val="auto"/>
                <w:sz w:val="16"/>
                <w:highlight w:val="none"/>
              </w:rPr>
              <w:t>5.9</w:t>
            </w:r>
            <w:r>
              <w:rPr>
                <w:rFonts w:hint="eastAsia" w:ascii="BIZ UDPゴシック" w:hAnsi="BIZ UDPゴシック" w:eastAsia="BIZ UDPゴシック"/>
                <w:color w:val="auto"/>
                <w:sz w:val="16"/>
                <w:highlight w:val="none"/>
              </w:rPr>
              <w:t>月末現在）</w:t>
            </w:r>
          </w:p>
        </w:tc>
        <w:tc>
          <w:tcPr>
            <w:tcW w:w="1818" w:type="dxa"/>
            <w:shd w:val="clear" w:color="auto" w:themeFill="accent5" w:themeFillTint="66" w:themeFillShade="FF"/>
            <w:vAlign w:val="center"/>
          </w:tcPr>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後期高齢者数</w:t>
            </w:r>
          </w:p>
          <w:p>
            <w:pPr>
              <w:pStyle w:val="0"/>
              <w:ind w:left="-110" w:leftChars="-50" w:right="-110" w:rightChars="-50"/>
              <w:jc w:val="center"/>
              <w:rPr>
                <w:rFonts w:hint="default" w:ascii="BIZ UDPゴシック" w:hAnsi="BIZ UDPゴシック" w:eastAsia="BIZ UDPゴシック"/>
                <w:color w:val="auto"/>
                <w:sz w:val="20"/>
                <w:highlight w:val="none"/>
              </w:rPr>
            </w:pPr>
            <w:r>
              <w:rPr>
                <w:rFonts w:hint="eastAsia" w:ascii="BIZ UDPゴシック" w:hAnsi="BIZ UDPゴシック" w:eastAsia="BIZ UDPゴシック"/>
                <w:color w:val="auto"/>
                <w:sz w:val="20"/>
                <w:highlight w:val="none"/>
              </w:rPr>
              <w:t>後期高齢者数割合</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6"/>
                <w:highlight w:val="none"/>
              </w:rPr>
              <w:t>（Ｒ</w:t>
            </w:r>
            <w:r>
              <w:rPr>
                <w:rFonts w:hint="eastAsia" w:ascii="BIZ UDPゴシック" w:hAnsi="BIZ UDPゴシック" w:eastAsia="BIZ UDPゴシック"/>
                <w:color w:val="auto"/>
                <w:sz w:val="16"/>
                <w:highlight w:val="none"/>
              </w:rPr>
              <w:t>5.9</w:t>
            </w:r>
            <w:r>
              <w:rPr>
                <w:rFonts w:hint="eastAsia" w:ascii="BIZ UDPゴシック" w:hAnsi="BIZ UDPゴシック" w:eastAsia="BIZ UDPゴシック"/>
                <w:color w:val="auto"/>
                <w:sz w:val="16"/>
                <w:highlight w:val="none"/>
              </w:rPr>
              <w:t>月末現在）</w:t>
            </w:r>
          </w:p>
        </w:tc>
        <w:tc>
          <w:tcPr>
            <w:tcW w:w="1818" w:type="dxa"/>
            <w:shd w:val="clear" w:color="auto" w:themeFill="accent5" w:themeFillTint="66" w:themeFillShade="FF"/>
            <w:vAlign w:val="center"/>
          </w:tcPr>
          <w:p>
            <w:pPr>
              <w:pStyle w:val="0"/>
              <w:spacing w:line="220" w:lineRule="exact"/>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要支援・要介護</w:t>
            </w:r>
          </w:p>
          <w:p>
            <w:pPr>
              <w:pStyle w:val="0"/>
              <w:spacing w:line="220" w:lineRule="exact"/>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認定者数</w:t>
            </w:r>
          </w:p>
          <w:p>
            <w:pPr>
              <w:pStyle w:val="0"/>
              <w:spacing w:line="220" w:lineRule="exact"/>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認定率</w:t>
            </w:r>
          </w:p>
          <w:p>
            <w:pPr>
              <w:pStyle w:val="0"/>
              <w:jc w:val="center"/>
              <w:rPr>
                <w:rFonts w:hint="default" w:ascii="BIZ UDPゴシック" w:hAnsi="BIZ UDPゴシック" w:eastAsia="BIZ UDPゴシック"/>
                <w:color w:val="auto"/>
                <w:sz w:val="16"/>
                <w:highlight w:val="none"/>
              </w:rPr>
            </w:pPr>
            <w:r>
              <w:rPr>
                <w:rFonts w:hint="eastAsia" w:ascii="BIZ UDPゴシック" w:hAnsi="BIZ UDPゴシック" w:eastAsia="BIZ UDPゴシック"/>
                <w:color w:val="auto"/>
                <w:sz w:val="16"/>
                <w:highlight w:val="none"/>
              </w:rPr>
              <w:t>（第</w:t>
            </w:r>
            <w:r>
              <w:rPr>
                <w:rFonts w:hint="eastAsia" w:ascii="BIZ UDPゴシック" w:hAnsi="BIZ UDPゴシック" w:eastAsia="BIZ UDPゴシック"/>
                <w:color w:val="auto"/>
                <w:sz w:val="16"/>
                <w:highlight w:val="none"/>
              </w:rPr>
              <w:t>1</w:t>
            </w:r>
            <w:r>
              <w:rPr>
                <w:rFonts w:hint="eastAsia" w:ascii="BIZ UDPゴシック" w:hAnsi="BIZ UDPゴシック" w:eastAsia="BIZ UDPゴシック"/>
                <w:color w:val="auto"/>
                <w:sz w:val="16"/>
                <w:highlight w:val="none"/>
              </w:rPr>
              <w:t>号被保険者）</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6"/>
                <w:highlight w:val="none"/>
              </w:rPr>
              <w:t>（Ｒ</w:t>
            </w:r>
            <w:r>
              <w:rPr>
                <w:rFonts w:hint="eastAsia" w:ascii="BIZ UDPゴシック" w:hAnsi="BIZ UDPゴシック" w:eastAsia="BIZ UDPゴシック"/>
                <w:color w:val="auto"/>
                <w:sz w:val="16"/>
                <w:highlight w:val="none"/>
              </w:rPr>
              <w:t>5.9</w:t>
            </w:r>
            <w:r>
              <w:rPr>
                <w:rFonts w:hint="eastAsia" w:ascii="BIZ UDPゴシック" w:hAnsi="BIZ UDPゴシック" w:eastAsia="BIZ UDPゴシック"/>
                <w:color w:val="auto"/>
                <w:sz w:val="16"/>
                <w:highlight w:val="none"/>
              </w:rPr>
              <w:t>月末現在）</w:t>
            </w:r>
          </w:p>
        </w:tc>
        <w:tc>
          <w:tcPr>
            <w:tcW w:w="1818" w:type="dxa"/>
            <w:shd w:val="clear" w:color="auto" w:themeFill="accent5" w:themeFillTint="66" w:themeFillShade="FF"/>
            <w:vAlign w:val="center"/>
          </w:tcPr>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認知症高齢者数</w:t>
            </w:r>
          </w:p>
          <w:p>
            <w:pPr>
              <w:pStyle w:val="0"/>
              <w:ind w:left="-110" w:leftChars="-50" w:right="-110" w:rightChars="-50"/>
              <w:jc w:val="center"/>
              <w:rPr>
                <w:rFonts w:hint="default" w:ascii="BIZ UDPゴシック" w:hAnsi="BIZ UDPゴシック" w:eastAsia="BIZ UDPゴシック"/>
                <w:color w:val="auto"/>
                <w:sz w:val="18"/>
                <w:highlight w:val="none"/>
              </w:rPr>
            </w:pPr>
            <w:r>
              <w:rPr>
                <w:rFonts w:hint="eastAsia" w:ascii="BIZ UDPゴシック" w:hAnsi="BIZ UDPゴシック" w:eastAsia="BIZ UDPゴシック"/>
                <w:color w:val="auto"/>
                <w:sz w:val="18"/>
                <w:highlight w:val="none"/>
              </w:rPr>
              <w:t>高齢者数に占める割合</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6"/>
                <w:highlight w:val="none"/>
              </w:rPr>
              <w:t>（Ｒ</w:t>
            </w:r>
            <w:r>
              <w:rPr>
                <w:rFonts w:hint="eastAsia" w:ascii="BIZ UDPゴシック" w:hAnsi="BIZ UDPゴシック" w:eastAsia="BIZ UDPゴシック"/>
                <w:color w:val="auto"/>
                <w:sz w:val="16"/>
                <w:highlight w:val="none"/>
              </w:rPr>
              <w:t>5.9</w:t>
            </w:r>
            <w:r>
              <w:rPr>
                <w:rFonts w:hint="eastAsia" w:ascii="BIZ UDPゴシック" w:hAnsi="BIZ UDPゴシック" w:eastAsia="BIZ UDPゴシック"/>
                <w:color w:val="auto"/>
                <w:sz w:val="16"/>
                <w:highlight w:val="none"/>
              </w:rPr>
              <w:t>月末現在）</w:t>
            </w:r>
          </w:p>
        </w:tc>
      </w:tr>
      <w:tr>
        <w:trPr>
          <w:trHeight w:val="680" w:hRule="atLeast"/>
        </w:trPr>
        <w:tc>
          <w:tcPr>
            <w:tcW w:w="1818" w:type="dxa"/>
            <w:vAlign w:val="center"/>
          </w:tcPr>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5</w:t>
            </w:r>
            <w:r>
              <w:rPr>
                <w:rFonts w:hint="eastAsia" w:ascii="BIZ UDPゴシック" w:hAnsi="BIZ UDPゴシック" w:eastAsia="BIZ UDPゴシック"/>
                <w:color w:val="auto"/>
                <w:sz w:val="21"/>
                <w:highlight w:val="none"/>
              </w:rPr>
              <w:t>73</w:t>
            </w:r>
            <w:r>
              <w:rPr>
                <w:rFonts w:hint="eastAsia" w:ascii="BIZ UDPゴシック" w:hAnsi="BIZ UDPゴシック" w:eastAsia="BIZ UDPゴシック"/>
                <w:color w:val="auto"/>
                <w:sz w:val="21"/>
                <w:highlight w:val="none"/>
              </w:rPr>
              <w:t>人</w:t>
            </w:r>
          </w:p>
        </w:tc>
        <w:tc>
          <w:tcPr>
            <w:tcW w:w="1818" w:type="dxa"/>
            <w:vAlign w:val="center"/>
          </w:tcPr>
          <w:p>
            <w:pPr>
              <w:pStyle w:val="0"/>
              <w:jc w:val="righ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299</w:t>
            </w:r>
            <w:r>
              <w:rPr>
                <w:rFonts w:hint="eastAsia" w:ascii="BIZ UDPゴシック" w:hAnsi="BIZ UDPゴシック" w:eastAsia="BIZ UDPゴシック"/>
                <w:color w:val="auto"/>
                <w:sz w:val="21"/>
                <w:highlight w:val="none"/>
              </w:rPr>
              <w:t>人</w:t>
            </w:r>
          </w:p>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52.</w:t>
            </w:r>
            <w:r>
              <w:rPr>
                <w:rFonts w:hint="eastAsia" w:ascii="BIZ UDPゴシック" w:hAnsi="BIZ UDPゴシック" w:eastAsia="BIZ UDPゴシック"/>
                <w:color w:val="auto"/>
                <w:sz w:val="21"/>
                <w:highlight w:val="none"/>
              </w:rPr>
              <w:t>2</w:t>
            </w:r>
            <w:r>
              <w:rPr>
                <w:rFonts w:hint="eastAsia" w:ascii="BIZ UDPゴシック" w:hAnsi="BIZ UDPゴシック" w:eastAsia="BIZ UDPゴシック"/>
                <w:color w:val="auto"/>
                <w:sz w:val="21"/>
                <w:highlight w:val="none"/>
              </w:rPr>
              <w:t>％</w:t>
            </w:r>
          </w:p>
        </w:tc>
        <w:tc>
          <w:tcPr>
            <w:tcW w:w="1818" w:type="dxa"/>
            <w:vAlign w:val="center"/>
          </w:tcPr>
          <w:p>
            <w:pPr>
              <w:pStyle w:val="0"/>
              <w:jc w:val="righ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197</w:t>
            </w:r>
            <w:r>
              <w:rPr>
                <w:rFonts w:hint="eastAsia" w:ascii="BIZ UDPゴシック" w:hAnsi="BIZ UDPゴシック" w:eastAsia="BIZ UDPゴシック"/>
                <w:color w:val="auto"/>
                <w:sz w:val="21"/>
                <w:highlight w:val="none"/>
              </w:rPr>
              <w:t>人</w:t>
            </w:r>
          </w:p>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34.</w:t>
            </w:r>
            <w:r>
              <w:rPr>
                <w:rFonts w:hint="eastAsia" w:ascii="BIZ UDPゴシック" w:hAnsi="BIZ UDPゴシック" w:eastAsia="BIZ UDPゴシック"/>
                <w:color w:val="auto"/>
                <w:sz w:val="21"/>
                <w:highlight w:val="none"/>
              </w:rPr>
              <w:t>4</w:t>
            </w:r>
            <w:r>
              <w:rPr>
                <w:rFonts w:hint="eastAsia" w:ascii="BIZ UDPゴシック" w:hAnsi="BIZ UDPゴシック" w:eastAsia="BIZ UDPゴシック"/>
                <w:color w:val="auto"/>
                <w:sz w:val="21"/>
                <w:highlight w:val="none"/>
              </w:rPr>
              <w:t>％</w:t>
            </w:r>
          </w:p>
        </w:tc>
        <w:tc>
          <w:tcPr>
            <w:tcW w:w="1818" w:type="dxa"/>
            <w:vAlign w:val="center"/>
          </w:tcPr>
          <w:p>
            <w:pPr>
              <w:pStyle w:val="0"/>
              <w:jc w:val="righ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7</w:t>
            </w:r>
            <w:r>
              <w:rPr>
                <w:rFonts w:hint="default" w:ascii="BIZ UDPゴシック" w:hAnsi="BIZ UDPゴシック" w:eastAsia="BIZ UDPゴシック"/>
                <w:color w:val="auto"/>
                <w:sz w:val="21"/>
                <w:highlight w:val="none"/>
              </w:rPr>
              <w:t>7</w:t>
            </w:r>
            <w:r>
              <w:rPr>
                <w:rFonts w:hint="eastAsia" w:ascii="BIZ UDPゴシック" w:hAnsi="BIZ UDPゴシック" w:eastAsia="BIZ UDPゴシック"/>
                <w:color w:val="auto"/>
                <w:sz w:val="21"/>
                <w:highlight w:val="none"/>
              </w:rPr>
              <w:t>人</w:t>
            </w:r>
          </w:p>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2</w:t>
            </w:r>
            <w:r>
              <w:rPr>
                <w:rFonts w:hint="eastAsia" w:ascii="BIZ UDPゴシック" w:hAnsi="BIZ UDPゴシック" w:eastAsia="BIZ UDPゴシック"/>
                <w:color w:val="auto"/>
                <w:sz w:val="21"/>
                <w:highlight w:val="none"/>
              </w:rPr>
              <w:t>5.8</w:t>
            </w:r>
            <w:r>
              <w:rPr>
                <w:rFonts w:hint="eastAsia" w:ascii="BIZ UDPゴシック" w:hAnsi="BIZ UDPゴシック" w:eastAsia="BIZ UDPゴシック"/>
                <w:color w:val="auto"/>
                <w:sz w:val="21"/>
                <w:highlight w:val="none"/>
              </w:rPr>
              <w:t>％</w:t>
            </w:r>
          </w:p>
        </w:tc>
        <w:tc>
          <w:tcPr>
            <w:tcW w:w="1818" w:type="dxa"/>
            <w:vAlign w:val="center"/>
          </w:tcPr>
          <w:p>
            <w:pPr>
              <w:pStyle w:val="0"/>
              <w:jc w:val="righ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43</w:t>
            </w:r>
            <w:r>
              <w:rPr>
                <w:rFonts w:hint="eastAsia" w:ascii="BIZ UDPゴシック" w:hAnsi="BIZ UDPゴシック" w:eastAsia="BIZ UDPゴシック"/>
                <w:color w:val="auto"/>
                <w:sz w:val="21"/>
                <w:highlight w:val="none"/>
              </w:rPr>
              <w:t>人</w:t>
            </w:r>
          </w:p>
          <w:p>
            <w:pPr>
              <w:pStyle w:val="0"/>
              <w:jc w:val="righ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14.4</w:t>
            </w:r>
            <w:r>
              <w:rPr>
                <w:rFonts w:hint="eastAsia" w:ascii="BIZ UDPゴシック" w:hAnsi="BIZ UDPゴシック" w:eastAsia="BIZ UDPゴシック"/>
                <w:color w:val="auto"/>
                <w:sz w:val="21"/>
                <w:highlight w:val="none"/>
              </w:rPr>
              <w:t>％</w:t>
            </w:r>
          </w:p>
        </w:tc>
      </w:tr>
    </w:tbl>
    <w:tbl>
      <w:tblPr>
        <w:tblStyle w:val="90"/>
        <w:tblpPr w:leftFromText="142" w:rightFromText="142" w:topFromText="0" w:bottomFromText="0" w:vertAnchor="text" w:horzAnchor="text" w:tblpX="3241" w:tblpY="221"/>
        <w:tblW w:w="0" w:type="auto"/>
        <w:tblLayout w:type="fixed"/>
        <w:tblLook w:firstRow="1" w:lastRow="0" w:firstColumn="1" w:lastColumn="0" w:noHBand="0" w:noVBand="1" w:val="04A0"/>
      </w:tblPr>
      <w:tblGrid>
        <w:gridCol w:w="1815"/>
        <w:gridCol w:w="4075"/>
      </w:tblGrid>
      <w:tr>
        <w:trPr/>
        <w:tc>
          <w:tcPr>
            <w:tcW w:w="181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小学校</w:t>
            </w:r>
          </w:p>
        </w:tc>
        <w:tc>
          <w:tcPr>
            <w:tcW w:w="407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吉和</w:t>
            </w:r>
          </w:p>
        </w:tc>
      </w:tr>
      <w:tr>
        <w:trPr/>
        <w:tc>
          <w:tcPr>
            <w:tcW w:w="181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中学校</w:t>
            </w:r>
          </w:p>
        </w:tc>
        <w:tc>
          <w:tcPr>
            <w:tcW w:w="407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吉和</w:t>
            </w:r>
          </w:p>
        </w:tc>
      </w:tr>
      <w:tr>
        <w:trPr/>
        <w:tc>
          <w:tcPr>
            <w:tcW w:w="181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交通機関</w:t>
            </w:r>
          </w:p>
        </w:tc>
        <w:tc>
          <w:tcPr>
            <w:tcW w:w="407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バス：吉和さくらバス（吉和～津田）、石見交通（広益線）</w:t>
            </w:r>
          </w:p>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地域主体運行：ほっとバス（巡回バス・デマンドカー）</w:t>
            </w:r>
          </w:p>
        </w:tc>
      </w:tr>
      <w:tr>
        <w:trPr/>
        <w:tc>
          <w:tcPr>
            <w:tcW w:w="181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市営住宅</w:t>
            </w:r>
          </w:p>
        </w:tc>
        <w:tc>
          <w:tcPr>
            <w:tcW w:w="407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花原、細井原、市垣内、住宅促進</w:t>
            </w:r>
          </w:p>
        </w:tc>
      </w:tr>
      <w:tr>
        <w:trPr/>
        <w:tc>
          <w:tcPr>
            <w:tcW w:w="181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市民センター等</w:t>
            </w:r>
          </w:p>
        </w:tc>
        <w:tc>
          <w:tcPr>
            <w:tcW w:w="407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吉和ふれあい交流センター</w:t>
            </w:r>
          </w:p>
        </w:tc>
      </w:tr>
      <w:tr>
        <w:trPr/>
        <w:tc>
          <w:tcPr>
            <w:tcW w:w="181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集会所</w:t>
            </w:r>
          </w:p>
        </w:tc>
        <w:tc>
          <w:tcPr>
            <w:tcW w:w="407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吉和第一、吉和第二、吉和第三、石原、鍛冶屋川、吉和中央</w:t>
            </w:r>
          </w:p>
        </w:tc>
      </w:tr>
      <w:tr>
        <w:trPr>
          <w:trHeight w:val="737" w:hRule="atLeast"/>
        </w:trPr>
        <w:tc>
          <w:tcPr>
            <w:tcW w:w="181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その他</w:t>
            </w:r>
          </w:p>
        </w:tc>
        <w:tc>
          <w:tcPr>
            <w:tcW w:w="407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吉和福祉センター、別荘地、福寿荘（花原集会所）</w:t>
            </w:r>
          </w:p>
        </w:tc>
      </w:tr>
    </w:tbl>
    <w:p>
      <w:pPr>
        <w:pStyle w:val="0"/>
        <w:rPr>
          <w:rFonts w:hint="default" w:ascii="BIZ UDPゴシック" w:hAnsi="BIZ UDPゴシック" w:eastAsia="BIZ UDPゴシック"/>
          <w:color w:val="auto"/>
          <w:highlight w:val="none"/>
        </w:rPr>
      </w:pPr>
      <w:r>
        <w:rPr>
          <w:rFonts w:hint="eastAsia"/>
          <w:color w:val="auto"/>
          <w:highlight w:val="none"/>
        </w:rPr>
        <w:drawing>
          <wp:anchor distT="0" distB="0" distL="203200" distR="203200" simplePos="0" relativeHeight="106" behindDoc="0" locked="0" layoutInCell="1" hidden="0" allowOverlap="1">
            <wp:simplePos x="0" y="0"/>
            <wp:positionH relativeFrom="column">
              <wp:posOffset>-78105</wp:posOffset>
            </wp:positionH>
            <wp:positionV relativeFrom="page">
              <wp:posOffset>2697480</wp:posOffset>
            </wp:positionV>
            <wp:extent cx="1929765" cy="2294255"/>
            <wp:effectExtent l="0" t="0" r="0" b="0"/>
            <wp:wrapNone/>
            <wp:docPr id="1093" name="図 1520349325" descr="地図 が含まれている画像&#10;&#10;自動的に生成された説明"/>
            <a:graphic xmlns:a="http://schemas.openxmlformats.org/drawingml/2006/main">
              <a:graphicData uri="http://schemas.openxmlformats.org/drawingml/2006/picture">
                <pic:pic xmlns:pic="http://schemas.openxmlformats.org/drawingml/2006/picture">
                  <pic:nvPicPr>
                    <pic:cNvPr id="1093" name="図 1520349325" descr="地図 が含まれている画像&#10;&#10;自動的に生成された説明"/>
                    <pic:cNvPicPr>
                      <a:picLocks noChangeAspect="1"/>
                    </pic:cNvPicPr>
                  </pic:nvPicPr>
                  <pic:blipFill>
                    <a:blip r:embed="rId37"/>
                    <a:stretch>
                      <a:fillRect/>
                    </a:stretch>
                  </pic:blipFill>
                  <pic:spPr>
                    <a:xfrm>
                      <a:off x="0" y="0"/>
                      <a:ext cx="1929765" cy="2294255"/>
                    </a:xfrm>
                    <a:prstGeom prst="rect">
                      <a:avLst/>
                    </a:prstGeom>
                  </pic:spPr>
                </pic:pic>
              </a:graphicData>
            </a:graphic>
          </wp:anchor>
        </w:drawing>
      </w:r>
      <w:r>
        <w:rPr>
          <w:rFonts w:hint="eastAsia" w:ascii="BIZ UDPゴシック" w:hAnsi="BIZ UDPゴシック" w:eastAsia="BIZ UDPゴシック"/>
          <w:color w:val="auto"/>
          <w:highlight w:val="none"/>
        </w:rPr>
        <w:t>〔地理的特徴〕</w:t>
      </w: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ind w:firstLine="3300" w:firstLineChars="1500"/>
        <w:rPr>
          <w:rFonts w:hint="default" w:ascii="BIZ UDPゴシック" w:hAnsi="BIZ UDPゴシック" w:eastAsia="BIZ UDPゴシック"/>
          <w:color w:val="auto"/>
          <w:highlight w:val="none"/>
        </w:rPr>
      </w:pPr>
    </w:p>
    <w:p>
      <w:pPr>
        <w:pStyle w:val="0"/>
        <w:ind w:firstLine="3300" w:firstLineChars="150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〔地域資源〕</w:t>
      </w:r>
    </w:p>
    <w:tbl>
      <w:tblPr>
        <w:tblStyle w:val="81"/>
        <w:tblW w:w="9180" w:type="dxa"/>
        <w:tblInd w:w="0" w:type="dxa"/>
        <w:tblLayout w:type="fixed"/>
        <w:tblLook w:firstRow="1" w:lastRow="0" w:firstColumn="1" w:lastColumn="0" w:noHBand="0" w:noVBand="1" w:val="04A0"/>
      </w:tblPr>
      <w:tblGrid>
        <w:gridCol w:w="2410"/>
        <w:gridCol w:w="525"/>
        <w:gridCol w:w="2730"/>
        <w:gridCol w:w="455"/>
        <w:gridCol w:w="2493"/>
        <w:gridCol w:w="567"/>
      </w:tblGrid>
      <w:tr>
        <w:trPr/>
        <w:tc>
          <w:tcPr>
            <w:tcW w:w="9180" w:type="dxa"/>
            <w:gridSpan w:val="6"/>
            <w:shd w:val="clear" w:color="auto" w:fill="0070C0"/>
            <w:vAlign w:val="top"/>
          </w:tcPr>
          <w:p>
            <w:pPr>
              <w:pStyle w:val="0"/>
              <w:jc w:val="center"/>
              <w:rPr>
                <w:rFonts w:hint="default"/>
                <w:color w:val="auto"/>
                <w:sz w:val="20"/>
                <w:highlight w:val="none"/>
              </w:rPr>
            </w:pPr>
            <w:r>
              <w:rPr>
                <w:rFonts w:hint="eastAsia"/>
                <w:color w:val="auto"/>
                <w:sz w:val="20"/>
                <w:highlight w:val="none"/>
              </w:rPr>
              <w:t>生活関連（令和</w:t>
            </w:r>
            <w:r>
              <w:rPr>
                <w:rFonts w:hint="eastAsia"/>
                <w:color w:val="auto"/>
                <w:sz w:val="20"/>
                <w:highlight w:val="none"/>
              </w:rPr>
              <w:t>5</w:t>
            </w:r>
            <w:r>
              <w:rPr>
                <w:rFonts w:hint="eastAsia"/>
                <w:color w:val="auto"/>
                <w:sz w:val="20"/>
                <w:highlight w:val="none"/>
              </w:rPr>
              <w:t>年</w:t>
            </w:r>
            <w:r>
              <w:rPr>
                <w:rFonts w:hint="eastAsia"/>
                <w:color w:val="auto"/>
                <w:sz w:val="20"/>
                <w:highlight w:val="none"/>
              </w:rPr>
              <w:t>8</w:t>
            </w:r>
            <w:r>
              <w:rPr>
                <w:rFonts w:hint="eastAsia"/>
                <w:color w:val="auto"/>
                <w:sz w:val="20"/>
                <w:highlight w:val="none"/>
              </w:rPr>
              <w:t>月末現在）</w:t>
            </w:r>
          </w:p>
        </w:tc>
      </w:tr>
      <w:tr>
        <w:trPr/>
        <w:tc>
          <w:tcPr>
            <w:tcW w:w="2410" w:type="dxa"/>
            <w:vAlign w:val="top"/>
          </w:tcPr>
          <w:p>
            <w:pPr>
              <w:pStyle w:val="0"/>
              <w:rPr>
                <w:rFonts w:hint="default"/>
                <w:color w:val="auto"/>
                <w:sz w:val="20"/>
                <w:highlight w:val="none"/>
              </w:rPr>
            </w:pPr>
            <w:r>
              <w:rPr>
                <w:rFonts w:hint="eastAsia"/>
                <w:color w:val="auto"/>
                <w:sz w:val="20"/>
                <w:highlight w:val="none"/>
              </w:rPr>
              <w:t>コミュニティ</w:t>
            </w:r>
          </w:p>
        </w:tc>
        <w:tc>
          <w:tcPr>
            <w:tcW w:w="525" w:type="dxa"/>
            <w:vAlign w:val="top"/>
          </w:tcPr>
          <w:p>
            <w:pPr>
              <w:pStyle w:val="0"/>
              <w:jc w:val="right"/>
              <w:rPr>
                <w:rFonts w:hint="default"/>
                <w:color w:val="auto"/>
                <w:sz w:val="20"/>
                <w:highlight w:val="none"/>
              </w:rPr>
            </w:pPr>
            <w:r>
              <w:rPr>
                <w:rFonts w:hint="eastAsia"/>
                <w:color w:val="auto"/>
                <w:sz w:val="20"/>
                <w:highlight w:val="none"/>
              </w:rPr>
              <w:t>1</w:t>
            </w:r>
          </w:p>
        </w:tc>
        <w:tc>
          <w:tcPr>
            <w:tcW w:w="2730" w:type="dxa"/>
            <w:vAlign w:val="top"/>
          </w:tcPr>
          <w:p>
            <w:pPr>
              <w:pStyle w:val="0"/>
              <w:rPr>
                <w:rFonts w:hint="default"/>
                <w:color w:val="auto"/>
                <w:w w:val="95"/>
                <w:sz w:val="20"/>
                <w:highlight w:val="none"/>
              </w:rPr>
            </w:pPr>
            <w:r>
              <w:rPr>
                <w:rFonts w:hint="eastAsia"/>
                <w:color w:val="auto"/>
                <w:w w:val="95"/>
                <w:sz w:val="20"/>
                <w:highlight w:val="none"/>
              </w:rPr>
              <w:t>医病院・診療所・歯科・薬局</w:t>
            </w:r>
          </w:p>
        </w:tc>
        <w:tc>
          <w:tcPr>
            <w:tcW w:w="455" w:type="dxa"/>
            <w:vAlign w:val="top"/>
          </w:tcPr>
          <w:p>
            <w:pPr>
              <w:pStyle w:val="0"/>
              <w:jc w:val="right"/>
              <w:rPr>
                <w:rFonts w:hint="default"/>
                <w:color w:val="auto"/>
                <w:sz w:val="20"/>
                <w:highlight w:val="none"/>
              </w:rPr>
            </w:pPr>
            <w:r>
              <w:rPr>
                <w:rFonts w:hint="eastAsia"/>
                <w:color w:val="auto"/>
                <w:sz w:val="20"/>
                <w:highlight w:val="none"/>
              </w:rPr>
              <w:t>1</w:t>
            </w:r>
          </w:p>
        </w:tc>
        <w:tc>
          <w:tcPr>
            <w:tcW w:w="2493" w:type="dxa"/>
            <w:vAlign w:val="top"/>
          </w:tcPr>
          <w:p>
            <w:pPr>
              <w:pStyle w:val="0"/>
              <w:rPr>
                <w:rFonts w:hint="default"/>
                <w:color w:val="auto"/>
                <w:sz w:val="20"/>
                <w:highlight w:val="none"/>
              </w:rPr>
            </w:pPr>
            <w:r>
              <w:rPr>
                <w:rFonts w:hint="eastAsia"/>
                <w:color w:val="auto"/>
                <w:sz w:val="20"/>
                <w:highlight w:val="none"/>
              </w:rPr>
              <w:t>民生委員</w:t>
            </w:r>
          </w:p>
        </w:tc>
        <w:tc>
          <w:tcPr>
            <w:tcW w:w="567" w:type="dxa"/>
            <w:vAlign w:val="top"/>
          </w:tcPr>
          <w:p>
            <w:pPr>
              <w:pStyle w:val="0"/>
              <w:jc w:val="right"/>
              <w:rPr>
                <w:rFonts w:hint="default"/>
                <w:color w:val="auto"/>
                <w:sz w:val="20"/>
                <w:highlight w:val="none"/>
              </w:rPr>
            </w:pPr>
            <w:r>
              <w:rPr>
                <w:rFonts w:hint="eastAsia"/>
                <w:color w:val="auto"/>
                <w:sz w:val="20"/>
                <w:highlight w:val="none"/>
              </w:rPr>
              <w:t>6</w:t>
            </w:r>
          </w:p>
        </w:tc>
      </w:tr>
      <w:tr>
        <w:trPr/>
        <w:tc>
          <w:tcPr>
            <w:tcW w:w="2410" w:type="dxa"/>
            <w:vAlign w:val="top"/>
          </w:tcPr>
          <w:p>
            <w:pPr>
              <w:pStyle w:val="0"/>
              <w:rPr>
                <w:rFonts w:hint="default"/>
                <w:color w:val="auto"/>
                <w:sz w:val="20"/>
                <w:highlight w:val="none"/>
              </w:rPr>
            </w:pPr>
            <w:r>
              <w:rPr>
                <w:rFonts w:hint="eastAsia"/>
                <w:color w:val="auto"/>
                <w:sz w:val="20"/>
                <w:highlight w:val="none"/>
              </w:rPr>
              <w:t>協議体</w:t>
            </w:r>
          </w:p>
        </w:tc>
        <w:tc>
          <w:tcPr>
            <w:tcW w:w="525" w:type="dxa"/>
            <w:vAlign w:val="top"/>
          </w:tcPr>
          <w:p>
            <w:pPr>
              <w:pStyle w:val="0"/>
              <w:jc w:val="right"/>
              <w:rPr>
                <w:rFonts w:hint="default"/>
                <w:color w:val="auto"/>
                <w:sz w:val="20"/>
                <w:highlight w:val="none"/>
              </w:rPr>
            </w:pPr>
            <w:r>
              <w:rPr>
                <w:rFonts w:hint="eastAsia"/>
                <w:color w:val="auto"/>
                <w:sz w:val="20"/>
                <w:highlight w:val="none"/>
              </w:rPr>
              <w:t>1</w:t>
            </w:r>
          </w:p>
        </w:tc>
        <w:tc>
          <w:tcPr>
            <w:tcW w:w="2730" w:type="dxa"/>
            <w:vAlign w:val="top"/>
          </w:tcPr>
          <w:p>
            <w:pPr>
              <w:pStyle w:val="0"/>
              <w:rPr>
                <w:rFonts w:hint="default"/>
                <w:color w:val="auto"/>
                <w:sz w:val="20"/>
                <w:highlight w:val="none"/>
              </w:rPr>
            </w:pPr>
            <w:r>
              <w:rPr>
                <w:rFonts w:hint="eastAsia"/>
                <w:color w:val="auto"/>
                <w:sz w:val="20"/>
                <w:highlight w:val="none"/>
              </w:rPr>
              <w:t>生活支援</w:t>
            </w:r>
          </w:p>
        </w:tc>
        <w:tc>
          <w:tcPr>
            <w:tcW w:w="455" w:type="dxa"/>
            <w:vAlign w:val="top"/>
          </w:tcPr>
          <w:p>
            <w:pPr>
              <w:pStyle w:val="0"/>
              <w:jc w:val="right"/>
              <w:rPr>
                <w:rFonts w:hint="default"/>
                <w:color w:val="auto"/>
                <w:sz w:val="20"/>
                <w:highlight w:val="none"/>
              </w:rPr>
            </w:pPr>
            <w:r>
              <w:rPr>
                <w:rFonts w:hint="eastAsia"/>
                <w:color w:val="auto"/>
                <w:sz w:val="20"/>
                <w:highlight w:val="none"/>
              </w:rPr>
              <w:t>1</w:t>
            </w:r>
          </w:p>
        </w:tc>
        <w:tc>
          <w:tcPr>
            <w:tcW w:w="2493" w:type="dxa"/>
            <w:vAlign w:val="top"/>
          </w:tcPr>
          <w:p>
            <w:pPr>
              <w:pStyle w:val="0"/>
              <w:rPr>
                <w:rFonts w:hint="default"/>
                <w:color w:val="auto"/>
                <w:sz w:val="20"/>
                <w:highlight w:val="none"/>
              </w:rPr>
            </w:pPr>
            <w:r>
              <w:rPr>
                <w:rFonts w:hint="eastAsia"/>
                <w:color w:val="auto"/>
                <w:sz w:val="20"/>
                <w:highlight w:val="none"/>
              </w:rPr>
              <w:t>健康づくり応援団</w:t>
            </w:r>
          </w:p>
        </w:tc>
        <w:tc>
          <w:tcPr>
            <w:tcW w:w="567" w:type="dxa"/>
            <w:vAlign w:val="top"/>
          </w:tcPr>
          <w:p>
            <w:pPr>
              <w:pStyle w:val="0"/>
              <w:jc w:val="right"/>
              <w:rPr>
                <w:rFonts w:hint="default"/>
                <w:color w:val="auto"/>
                <w:sz w:val="20"/>
                <w:highlight w:val="none"/>
              </w:rPr>
            </w:pPr>
            <w:r>
              <w:rPr>
                <w:rFonts w:hint="eastAsia"/>
                <w:color w:val="auto"/>
                <w:sz w:val="20"/>
                <w:highlight w:val="none"/>
              </w:rPr>
              <w:t>2</w:t>
            </w:r>
          </w:p>
        </w:tc>
      </w:tr>
      <w:tr>
        <w:trPr/>
        <w:tc>
          <w:tcPr>
            <w:tcW w:w="2410" w:type="dxa"/>
            <w:vAlign w:val="top"/>
          </w:tcPr>
          <w:p>
            <w:pPr>
              <w:pStyle w:val="0"/>
              <w:rPr>
                <w:rFonts w:hint="default"/>
                <w:color w:val="auto"/>
                <w:sz w:val="20"/>
                <w:highlight w:val="none"/>
              </w:rPr>
            </w:pPr>
            <w:r>
              <w:rPr>
                <w:rFonts w:hint="eastAsia"/>
                <w:color w:val="auto"/>
                <w:sz w:val="20"/>
                <w:highlight w:val="none"/>
              </w:rPr>
              <w:t>単位老人クラブ</w:t>
            </w:r>
          </w:p>
        </w:tc>
        <w:tc>
          <w:tcPr>
            <w:tcW w:w="525" w:type="dxa"/>
            <w:vAlign w:val="top"/>
          </w:tcPr>
          <w:p>
            <w:pPr>
              <w:pStyle w:val="0"/>
              <w:jc w:val="right"/>
              <w:rPr>
                <w:rFonts w:hint="default"/>
                <w:color w:val="auto"/>
                <w:sz w:val="20"/>
                <w:highlight w:val="none"/>
              </w:rPr>
            </w:pPr>
            <w:r>
              <w:rPr>
                <w:rFonts w:hint="eastAsia"/>
                <w:color w:val="auto"/>
                <w:sz w:val="20"/>
                <w:highlight w:val="none"/>
              </w:rPr>
              <w:t>3</w:t>
            </w:r>
          </w:p>
        </w:tc>
        <w:tc>
          <w:tcPr>
            <w:tcW w:w="2730" w:type="dxa"/>
            <w:vAlign w:val="top"/>
          </w:tcPr>
          <w:p>
            <w:pPr>
              <w:pStyle w:val="0"/>
              <w:rPr>
                <w:rFonts w:hint="default"/>
                <w:color w:val="auto"/>
                <w:sz w:val="20"/>
                <w:highlight w:val="none"/>
              </w:rPr>
            </w:pPr>
            <w:r>
              <w:rPr>
                <w:rFonts w:hint="eastAsia"/>
                <w:color w:val="auto"/>
                <w:sz w:val="20"/>
                <w:highlight w:val="none"/>
              </w:rPr>
              <w:t>移動支援</w:t>
            </w:r>
          </w:p>
        </w:tc>
        <w:tc>
          <w:tcPr>
            <w:tcW w:w="455" w:type="dxa"/>
            <w:vAlign w:val="top"/>
          </w:tcPr>
          <w:p>
            <w:pPr>
              <w:pStyle w:val="0"/>
              <w:jc w:val="right"/>
              <w:rPr>
                <w:rFonts w:hint="default"/>
                <w:color w:val="auto"/>
                <w:sz w:val="20"/>
                <w:highlight w:val="none"/>
              </w:rPr>
            </w:pPr>
            <w:r>
              <w:rPr>
                <w:rFonts w:hint="eastAsia"/>
                <w:color w:val="auto"/>
                <w:sz w:val="20"/>
                <w:highlight w:val="none"/>
              </w:rPr>
              <w:t>1</w:t>
            </w:r>
          </w:p>
        </w:tc>
        <w:tc>
          <w:tcPr>
            <w:tcW w:w="2493" w:type="dxa"/>
            <w:vAlign w:val="top"/>
          </w:tcPr>
          <w:p>
            <w:pPr>
              <w:pStyle w:val="0"/>
              <w:rPr>
                <w:rFonts w:hint="default"/>
                <w:color w:val="auto"/>
                <w:sz w:val="20"/>
                <w:highlight w:val="none"/>
              </w:rPr>
            </w:pPr>
            <w:r>
              <w:rPr>
                <w:rFonts w:hint="eastAsia"/>
                <w:color w:val="auto"/>
                <w:sz w:val="20"/>
                <w:highlight w:val="none"/>
              </w:rPr>
              <w:t>生活支援ｺｰﾃﾞｨﾈｰﾀｰ</w:t>
            </w:r>
          </w:p>
        </w:tc>
        <w:tc>
          <w:tcPr>
            <w:tcW w:w="567" w:type="dxa"/>
            <w:vAlign w:val="top"/>
          </w:tcPr>
          <w:p>
            <w:pPr>
              <w:pStyle w:val="0"/>
              <w:jc w:val="right"/>
              <w:rPr>
                <w:rFonts w:hint="default"/>
                <w:color w:val="auto"/>
                <w:sz w:val="20"/>
                <w:highlight w:val="none"/>
              </w:rPr>
            </w:pPr>
            <w:r>
              <w:rPr>
                <w:rFonts w:hint="eastAsia"/>
                <w:color w:val="auto"/>
                <w:sz w:val="20"/>
                <w:highlight w:val="none"/>
              </w:rPr>
              <w:t>1</w:t>
            </w:r>
          </w:p>
        </w:tc>
      </w:tr>
      <w:tr>
        <w:trPr/>
        <w:tc>
          <w:tcPr>
            <w:tcW w:w="2410" w:type="dxa"/>
            <w:vAlign w:val="top"/>
          </w:tcPr>
          <w:p>
            <w:pPr>
              <w:pStyle w:val="0"/>
              <w:rPr>
                <w:rFonts w:hint="default"/>
                <w:color w:val="auto"/>
                <w:sz w:val="20"/>
                <w:highlight w:val="none"/>
              </w:rPr>
            </w:pPr>
            <w:r>
              <w:rPr>
                <w:rFonts w:hint="eastAsia"/>
                <w:color w:val="auto"/>
                <w:sz w:val="20"/>
                <w:highlight w:val="none"/>
              </w:rPr>
              <w:t>サロン</w:t>
            </w:r>
          </w:p>
        </w:tc>
        <w:tc>
          <w:tcPr>
            <w:tcW w:w="525" w:type="dxa"/>
            <w:vAlign w:val="top"/>
          </w:tcPr>
          <w:p>
            <w:pPr>
              <w:pStyle w:val="0"/>
              <w:jc w:val="right"/>
              <w:rPr>
                <w:rFonts w:hint="default"/>
                <w:color w:val="auto"/>
                <w:sz w:val="20"/>
                <w:highlight w:val="none"/>
              </w:rPr>
            </w:pPr>
            <w:r>
              <w:rPr>
                <w:rFonts w:hint="eastAsia"/>
                <w:color w:val="auto"/>
                <w:sz w:val="20"/>
                <w:highlight w:val="none"/>
              </w:rPr>
              <w:t>6</w:t>
            </w:r>
          </w:p>
        </w:tc>
        <w:tc>
          <w:tcPr>
            <w:tcW w:w="2730" w:type="dxa"/>
            <w:vAlign w:val="top"/>
          </w:tcPr>
          <w:p>
            <w:pPr>
              <w:pStyle w:val="0"/>
              <w:rPr>
                <w:rFonts w:hint="default"/>
                <w:color w:val="auto"/>
                <w:sz w:val="20"/>
                <w:highlight w:val="none"/>
              </w:rPr>
            </w:pPr>
            <w:r>
              <w:rPr>
                <w:rFonts w:hint="eastAsia"/>
                <w:color w:val="auto"/>
                <w:sz w:val="20"/>
                <w:highlight w:val="none"/>
              </w:rPr>
              <w:t>スーパーマーケット</w:t>
            </w:r>
          </w:p>
        </w:tc>
        <w:tc>
          <w:tcPr>
            <w:tcW w:w="455" w:type="dxa"/>
            <w:vAlign w:val="top"/>
          </w:tcPr>
          <w:p>
            <w:pPr>
              <w:pStyle w:val="0"/>
              <w:jc w:val="right"/>
              <w:rPr>
                <w:rFonts w:hint="default"/>
                <w:color w:val="auto"/>
                <w:sz w:val="20"/>
                <w:highlight w:val="none"/>
              </w:rPr>
            </w:pPr>
            <w:r>
              <w:rPr>
                <w:rFonts w:hint="eastAsia"/>
                <w:color w:val="auto"/>
                <w:sz w:val="20"/>
                <w:highlight w:val="none"/>
              </w:rPr>
              <w:t>1</w:t>
            </w:r>
          </w:p>
        </w:tc>
        <w:tc>
          <w:tcPr>
            <w:tcW w:w="2493" w:type="dxa"/>
            <w:vAlign w:val="top"/>
          </w:tcPr>
          <w:p>
            <w:pPr>
              <w:pStyle w:val="0"/>
              <w:rPr>
                <w:rFonts w:hint="default"/>
                <w:color w:val="auto"/>
                <w:sz w:val="20"/>
                <w:highlight w:val="none"/>
              </w:rPr>
            </w:pPr>
          </w:p>
        </w:tc>
        <w:tc>
          <w:tcPr>
            <w:tcW w:w="567" w:type="dxa"/>
            <w:vAlign w:val="top"/>
          </w:tcPr>
          <w:p>
            <w:pPr>
              <w:pStyle w:val="0"/>
              <w:rPr>
                <w:rFonts w:hint="default"/>
                <w:color w:val="auto"/>
                <w:sz w:val="20"/>
                <w:highlight w:val="none"/>
              </w:rPr>
            </w:pPr>
          </w:p>
        </w:tc>
      </w:tr>
      <w:tr>
        <w:trPr/>
        <w:tc>
          <w:tcPr>
            <w:tcW w:w="2410" w:type="dxa"/>
            <w:vAlign w:val="top"/>
          </w:tcPr>
          <w:p>
            <w:pPr>
              <w:pStyle w:val="0"/>
              <w:rPr>
                <w:rFonts w:hint="default"/>
                <w:color w:val="auto"/>
                <w:sz w:val="20"/>
                <w:highlight w:val="none"/>
              </w:rPr>
            </w:pPr>
            <w:r>
              <w:rPr>
                <w:rFonts w:hint="eastAsia"/>
                <w:color w:val="auto"/>
                <w:sz w:val="20"/>
                <w:highlight w:val="none"/>
              </w:rPr>
              <w:t>百歳体操</w:t>
            </w:r>
          </w:p>
        </w:tc>
        <w:tc>
          <w:tcPr>
            <w:tcW w:w="525" w:type="dxa"/>
            <w:vAlign w:val="top"/>
          </w:tcPr>
          <w:p>
            <w:pPr>
              <w:pStyle w:val="0"/>
              <w:jc w:val="right"/>
              <w:rPr>
                <w:rFonts w:hint="default"/>
                <w:color w:val="auto"/>
                <w:sz w:val="20"/>
                <w:highlight w:val="none"/>
              </w:rPr>
            </w:pPr>
            <w:r>
              <w:rPr>
                <w:rFonts w:hint="eastAsia"/>
                <w:color w:val="auto"/>
                <w:sz w:val="20"/>
                <w:highlight w:val="none"/>
              </w:rPr>
              <w:t>1</w:t>
            </w:r>
          </w:p>
        </w:tc>
        <w:tc>
          <w:tcPr>
            <w:tcW w:w="2730" w:type="dxa"/>
            <w:vAlign w:val="top"/>
          </w:tcPr>
          <w:p>
            <w:pPr>
              <w:pStyle w:val="0"/>
              <w:rPr>
                <w:rFonts w:hint="default"/>
                <w:dstrike w:val="1"/>
                <w:color w:val="auto"/>
                <w:sz w:val="20"/>
                <w:highlight w:val="none"/>
              </w:rPr>
            </w:pPr>
          </w:p>
        </w:tc>
        <w:tc>
          <w:tcPr>
            <w:tcW w:w="455" w:type="dxa"/>
            <w:vAlign w:val="top"/>
          </w:tcPr>
          <w:p>
            <w:pPr>
              <w:pStyle w:val="0"/>
              <w:jc w:val="right"/>
              <w:rPr>
                <w:rFonts w:hint="default"/>
                <w:color w:val="auto"/>
                <w:sz w:val="20"/>
                <w:highlight w:val="none"/>
              </w:rPr>
            </w:pPr>
          </w:p>
        </w:tc>
        <w:tc>
          <w:tcPr>
            <w:tcW w:w="2493" w:type="dxa"/>
            <w:vAlign w:val="top"/>
          </w:tcPr>
          <w:p>
            <w:pPr>
              <w:pStyle w:val="0"/>
              <w:rPr>
                <w:rFonts w:hint="default"/>
                <w:color w:val="auto"/>
                <w:sz w:val="20"/>
                <w:highlight w:val="none"/>
              </w:rPr>
            </w:pPr>
          </w:p>
        </w:tc>
        <w:tc>
          <w:tcPr>
            <w:tcW w:w="567" w:type="dxa"/>
            <w:vAlign w:val="top"/>
          </w:tcPr>
          <w:p>
            <w:pPr>
              <w:pStyle w:val="0"/>
              <w:jc w:val="right"/>
              <w:rPr>
                <w:rFonts w:hint="default"/>
                <w:color w:val="auto"/>
                <w:sz w:val="20"/>
                <w:highlight w:val="none"/>
              </w:rPr>
            </w:pPr>
          </w:p>
        </w:tc>
      </w:tr>
    </w:tbl>
    <w:p>
      <w:pPr>
        <w:pStyle w:val="0"/>
        <w:spacing w:before="74" w:beforeLines="20" w:beforeAutospacing="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〔介護サービス資源等〕</w:t>
      </w:r>
    </w:p>
    <w:tbl>
      <w:tblPr>
        <w:tblStyle w:val="81"/>
        <w:tblW w:w="9180" w:type="dxa"/>
        <w:tblInd w:w="0" w:type="dxa"/>
        <w:tblLayout w:type="fixed"/>
        <w:tblLook w:firstRow="1" w:lastRow="0" w:firstColumn="1" w:lastColumn="0" w:noHBand="0" w:noVBand="1" w:val="04A0"/>
      </w:tblPr>
      <w:tblGrid>
        <w:gridCol w:w="2410"/>
        <w:gridCol w:w="525"/>
        <w:gridCol w:w="2625"/>
        <w:gridCol w:w="560"/>
        <w:gridCol w:w="2493"/>
        <w:gridCol w:w="567"/>
      </w:tblGrid>
      <w:tr>
        <w:trPr/>
        <w:tc>
          <w:tcPr>
            <w:tcW w:w="9180" w:type="dxa"/>
            <w:gridSpan w:val="6"/>
            <w:shd w:val="clear" w:color="auto" w:fill="0070C0"/>
            <w:vAlign w:val="top"/>
          </w:tcPr>
          <w:p>
            <w:pPr>
              <w:pStyle w:val="0"/>
              <w:jc w:val="center"/>
              <w:rPr>
                <w:rFonts w:hint="default"/>
                <w:color w:val="auto"/>
                <w:sz w:val="20"/>
                <w:highlight w:val="none"/>
              </w:rPr>
            </w:pPr>
            <w:r>
              <w:rPr>
                <w:rFonts w:hint="eastAsia"/>
                <w:color w:val="auto"/>
                <w:sz w:val="20"/>
                <w:highlight w:val="none"/>
              </w:rPr>
              <w:t>介護サービス事業所等数（令和</w:t>
            </w:r>
            <w:r>
              <w:rPr>
                <w:rFonts w:hint="eastAsia"/>
                <w:color w:val="auto"/>
                <w:sz w:val="20"/>
                <w:highlight w:val="none"/>
              </w:rPr>
              <w:t>5</w:t>
            </w:r>
            <w:r>
              <w:rPr>
                <w:rFonts w:hint="eastAsia"/>
                <w:color w:val="auto"/>
                <w:sz w:val="20"/>
                <w:highlight w:val="none"/>
              </w:rPr>
              <w:t>年</w:t>
            </w:r>
            <w:r>
              <w:rPr>
                <w:rFonts w:hint="eastAsia"/>
                <w:color w:val="auto"/>
                <w:sz w:val="20"/>
                <w:highlight w:val="none"/>
              </w:rPr>
              <w:t>8</w:t>
            </w:r>
            <w:r>
              <w:rPr>
                <w:rFonts w:hint="eastAsia"/>
                <w:color w:val="auto"/>
                <w:sz w:val="20"/>
                <w:highlight w:val="none"/>
              </w:rPr>
              <w:t>月現在）</w:t>
            </w:r>
          </w:p>
        </w:tc>
      </w:tr>
      <w:tr>
        <w:trPr>
          <w:trHeight w:val="194" w:hRule="atLeast"/>
        </w:trPr>
        <w:tc>
          <w:tcPr>
            <w:tcW w:w="2935" w:type="dxa"/>
            <w:gridSpan w:val="2"/>
            <w:shd w:val="clear" w:color="auto" w:themeFill="accent5" w:themeFillTint="33" w:themeFillShade="FF"/>
            <w:vAlign w:val="top"/>
          </w:tcPr>
          <w:p>
            <w:pPr>
              <w:pStyle w:val="0"/>
              <w:rPr>
                <w:rFonts w:hint="default"/>
                <w:b w:val="1"/>
                <w:color w:val="auto"/>
                <w:sz w:val="20"/>
                <w:highlight w:val="none"/>
              </w:rPr>
            </w:pPr>
            <w:r>
              <w:rPr>
                <w:rFonts w:hint="eastAsia"/>
                <w:b w:val="1"/>
                <w:color w:val="auto"/>
                <w:sz w:val="20"/>
                <w:highlight w:val="none"/>
              </w:rPr>
              <w:t>居宅サービス</w:t>
            </w:r>
          </w:p>
        </w:tc>
        <w:tc>
          <w:tcPr>
            <w:tcW w:w="3185" w:type="dxa"/>
            <w:gridSpan w:val="2"/>
            <w:shd w:val="clear" w:color="auto" w:themeFill="accent5" w:themeFillTint="33" w:themeFillShade="FF"/>
            <w:vAlign w:val="top"/>
          </w:tcPr>
          <w:p>
            <w:pPr>
              <w:pStyle w:val="0"/>
              <w:rPr>
                <w:rFonts w:hint="default"/>
                <w:b w:val="1"/>
                <w:color w:val="auto"/>
                <w:sz w:val="20"/>
                <w:highlight w:val="none"/>
              </w:rPr>
            </w:pPr>
            <w:r>
              <w:rPr>
                <w:rFonts w:hint="eastAsia"/>
                <w:b w:val="1"/>
                <w:color w:val="auto"/>
                <w:sz w:val="20"/>
                <w:highlight w:val="none"/>
              </w:rPr>
              <w:t>地域密着型サービス</w:t>
            </w:r>
          </w:p>
        </w:tc>
        <w:tc>
          <w:tcPr>
            <w:tcW w:w="3060" w:type="dxa"/>
            <w:gridSpan w:val="2"/>
            <w:shd w:val="clear" w:color="auto" w:themeFill="accent5" w:themeFillTint="33" w:themeFillShade="FF"/>
            <w:vAlign w:val="top"/>
          </w:tcPr>
          <w:p>
            <w:pPr>
              <w:pStyle w:val="0"/>
              <w:rPr>
                <w:rFonts w:hint="default"/>
                <w:b w:val="1"/>
                <w:color w:val="auto"/>
                <w:sz w:val="20"/>
                <w:highlight w:val="none"/>
              </w:rPr>
            </w:pPr>
            <w:r>
              <w:rPr>
                <w:rFonts w:hint="eastAsia"/>
                <w:b w:val="1"/>
                <w:color w:val="auto"/>
                <w:sz w:val="20"/>
                <w:highlight w:val="none"/>
              </w:rPr>
              <w:t>施設サービス</w:t>
            </w:r>
          </w:p>
        </w:tc>
      </w:tr>
      <w:tr>
        <w:trPr/>
        <w:tc>
          <w:tcPr>
            <w:tcW w:w="2410" w:type="dxa"/>
            <w:vAlign w:val="top"/>
          </w:tcPr>
          <w:p>
            <w:pPr>
              <w:pStyle w:val="0"/>
              <w:ind w:left="220" w:leftChars="100"/>
              <w:rPr>
                <w:rFonts w:hint="default"/>
                <w:color w:val="auto"/>
                <w:sz w:val="20"/>
                <w:highlight w:val="none"/>
              </w:rPr>
            </w:pPr>
            <w:r>
              <w:rPr>
                <w:rFonts w:hint="eastAsia"/>
                <w:color w:val="auto"/>
                <w:sz w:val="20"/>
                <w:highlight w:val="none"/>
              </w:rPr>
              <w:t>居宅介護支援</w:t>
            </w:r>
          </w:p>
        </w:tc>
        <w:tc>
          <w:tcPr>
            <w:tcW w:w="525" w:type="dxa"/>
            <w:vAlign w:val="top"/>
          </w:tcPr>
          <w:p>
            <w:pPr>
              <w:pStyle w:val="0"/>
              <w:jc w:val="right"/>
              <w:rPr>
                <w:rFonts w:hint="default"/>
                <w:color w:val="auto"/>
                <w:sz w:val="20"/>
                <w:highlight w:val="none"/>
              </w:rPr>
            </w:pPr>
            <w:r>
              <w:rPr>
                <w:rFonts w:hint="eastAsia"/>
                <w:color w:val="auto"/>
                <w:sz w:val="20"/>
                <w:highlight w:val="none"/>
              </w:rPr>
              <w:t>0</w:t>
            </w:r>
          </w:p>
        </w:tc>
        <w:tc>
          <w:tcPr>
            <w:tcW w:w="2625" w:type="dxa"/>
            <w:vAlign w:val="top"/>
          </w:tcPr>
          <w:p>
            <w:pPr>
              <w:pStyle w:val="0"/>
              <w:ind w:left="220" w:leftChars="100"/>
              <w:rPr>
                <w:rFonts w:hint="default"/>
                <w:color w:val="auto"/>
                <w:sz w:val="20"/>
                <w:highlight w:val="none"/>
              </w:rPr>
            </w:pPr>
            <w:r>
              <w:rPr>
                <w:rFonts w:hint="eastAsia"/>
                <w:color w:val="auto"/>
                <w:sz w:val="20"/>
                <w:highlight w:val="none"/>
              </w:rPr>
              <w:t>定期巡回</w:t>
            </w:r>
          </w:p>
        </w:tc>
        <w:tc>
          <w:tcPr>
            <w:tcW w:w="560" w:type="dxa"/>
            <w:vAlign w:val="top"/>
          </w:tcPr>
          <w:p>
            <w:pPr>
              <w:pStyle w:val="0"/>
              <w:jc w:val="right"/>
              <w:rPr>
                <w:rFonts w:hint="default"/>
                <w:color w:val="auto"/>
                <w:sz w:val="20"/>
                <w:highlight w:val="none"/>
              </w:rPr>
            </w:pPr>
            <w:r>
              <w:rPr>
                <w:rFonts w:hint="eastAsia"/>
                <w:color w:val="auto"/>
                <w:sz w:val="20"/>
                <w:highlight w:val="none"/>
              </w:rPr>
              <w:t>0</w:t>
            </w:r>
          </w:p>
        </w:tc>
        <w:tc>
          <w:tcPr>
            <w:tcW w:w="2493" w:type="dxa"/>
            <w:vAlign w:val="top"/>
          </w:tcPr>
          <w:p>
            <w:pPr>
              <w:pStyle w:val="0"/>
              <w:ind w:left="220" w:leftChars="100" w:right="-110" w:rightChars="-50"/>
              <w:rPr>
                <w:rFonts w:hint="default"/>
                <w:color w:val="auto"/>
                <w:sz w:val="20"/>
                <w:highlight w:val="none"/>
              </w:rPr>
            </w:pPr>
            <w:r>
              <w:rPr>
                <w:rFonts w:hint="eastAsia"/>
                <w:color w:val="auto"/>
                <w:sz w:val="20"/>
                <w:highlight w:val="none"/>
              </w:rPr>
              <w:t>介護老人福祉施設</w:t>
            </w:r>
          </w:p>
        </w:tc>
        <w:tc>
          <w:tcPr>
            <w:tcW w:w="567" w:type="dxa"/>
            <w:vAlign w:val="top"/>
          </w:tcPr>
          <w:p>
            <w:pPr>
              <w:pStyle w:val="0"/>
              <w:jc w:val="right"/>
              <w:rPr>
                <w:rFonts w:hint="default"/>
                <w:color w:val="auto"/>
                <w:sz w:val="20"/>
                <w:highlight w:val="none"/>
              </w:rPr>
            </w:pPr>
            <w:r>
              <w:rPr>
                <w:rFonts w:hint="eastAsia"/>
                <w:color w:val="auto"/>
                <w:sz w:val="20"/>
                <w:highlight w:val="none"/>
              </w:rPr>
              <w:t>0</w:t>
            </w:r>
          </w:p>
        </w:tc>
      </w:tr>
      <w:tr>
        <w:trPr/>
        <w:tc>
          <w:tcPr>
            <w:tcW w:w="2410" w:type="dxa"/>
            <w:vAlign w:val="top"/>
          </w:tcPr>
          <w:p>
            <w:pPr>
              <w:pStyle w:val="0"/>
              <w:ind w:left="220" w:leftChars="100"/>
              <w:rPr>
                <w:rFonts w:hint="default"/>
                <w:color w:val="auto"/>
                <w:sz w:val="20"/>
                <w:highlight w:val="none"/>
              </w:rPr>
            </w:pPr>
            <w:r>
              <w:rPr>
                <w:rFonts w:hint="eastAsia"/>
                <w:color w:val="auto"/>
                <w:sz w:val="20"/>
                <w:highlight w:val="none"/>
              </w:rPr>
              <w:t>訪問介護</w:t>
            </w:r>
          </w:p>
        </w:tc>
        <w:tc>
          <w:tcPr>
            <w:tcW w:w="525" w:type="dxa"/>
            <w:vAlign w:val="top"/>
          </w:tcPr>
          <w:p>
            <w:pPr>
              <w:pStyle w:val="0"/>
              <w:jc w:val="right"/>
              <w:rPr>
                <w:rFonts w:hint="default"/>
                <w:color w:val="auto"/>
                <w:sz w:val="20"/>
                <w:highlight w:val="none"/>
              </w:rPr>
            </w:pPr>
            <w:r>
              <w:rPr>
                <w:rFonts w:hint="eastAsia"/>
                <w:color w:val="auto"/>
                <w:sz w:val="20"/>
                <w:highlight w:val="none"/>
              </w:rPr>
              <w:t>0</w:t>
            </w:r>
          </w:p>
        </w:tc>
        <w:tc>
          <w:tcPr>
            <w:tcW w:w="2625" w:type="dxa"/>
            <w:vAlign w:val="top"/>
          </w:tcPr>
          <w:p>
            <w:pPr>
              <w:pStyle w:val="0"/>
              <w:ind w:left="220" w:leftChars="100"/>
              <w:rPr>
                <w:rFonts w:hint="default"/>
                <w:color w:val="auto"/>
                <w:sz w:val="20"/>
                <w:highlight w:val="none"/>
              </w:rPr>
            </w:pPr>
            <w:r>
              <w:rPr>
                <w:rFonts w:hint="eastAsia"/>
                <w:color w:val="auto"/>
                <w:sz w:val="20"/>
                <w:highlight w:val="none"/>
              </w:rPr>
              <w:t>認知症対応型通所</w:t>
            </w:r>
          </w:p>
        </w:tc>
        <w:tc>
          <w:tcPr>
            <w:tcW w:w="560" w:type="dxa"/>
            <w:vAlign w:val="top"/>
          </w:tcPr>
          <w:p>
            <w:pPr>
              <w:pStyle w:val="0"/>
              <w:jc w:val="right"/>
              <w:rPr>
                <w:rFonts w:hint="default"/>
                <w:color w:val="auto"/>
                <w:sz w:val="20"/>
                <w:highlight w:val="none"/>
              </w:rPr>
            </w:pPr>
            <w:r>
              <w:rPr>
                <w:rFonts w:hint="eastAsia"/>
                <w:color w:val="auto"/>
                <w:sz w:val="20"/>
                <w:highlight w:val="none"/>
              </w:rPr>
              <w:t>0</w:t>
            </w:r>
          </w:p>
        </w:tc>
        <w:tc>
          <w:tcPr>
            <w:tcW w:w="2493" w:type="dxa"/>
            <w:vAlign w:val="top"/>
          </w:tcPr>
          <w:p>
            <w:pPr>
              <w:pStyle w:val="0"/>
              <w:ind w:left="220" w:leftChars="100" w:right="-110" w:rightChars="-50"/>
              <w:rPr>
                <w:rFonts w:hint="default"/>
                <w:color w:val="auto"/>
                <w:sz w:val="20"/>
                <w:highlight w:val="none"/>
              </w:rPr>
            </w:pPr>
            <w:r>
              <w:rPr>
                <w:rFonts w:hint="eastAsia"/>
                <w:color w:val="auto"/>
                <w:sz w:val="20"/>
                <w:highlight w:val="none"/>
              </w:rPr>
              <w:t>介護老人保健施設</w:t>
            </w:r>
          </w:p>
        </w:tc>
        <w:tc>
          <w:tcPr>
            <w:tcW w:w="567" w:type="dxa"/>
            <w:vAlign w:val="top"/>
          </w:tcPr>
          <w:p>
            <w:pPr>
              <w:pStyle w:val="0"/>
              <w:jc w:val="right"/>
              <w:rPr>
                <w:rFonts w:hint="default"/>
                <w:color w:val="auto"/>
                <w:sz w:val="20"/>
                <w:highlight w:val="none"/>
              </w:rPr>
            </w:pPr>
            <w:r>
              <w:rPr>
                <w:rFonts w:hint="eastAsia"/>
                <w:color w:val="auto"/>
                <w:sz w:val="20"/>
                <w:highlight w:val="none"/>
              </w:rPr>
              <w:t>0</w:t>
            </w:r>
          </w:p>
        </w:tc>
      </w:tr>
      <w:tr>
        <w:trPr/>
        <w:tc>
          <w:tcPr>
            <w:tcW w:w="2410" w:type="dxa"/>
            <w:vAlign w:val="top"/>
          </w:tcPr>
          <w:p>
            <w:pPr>
              <w:pStyle w:val="0"/>
              <w:ind w:left="220" w:leftChars="100"/>
              <w:rPr>
                <w:rFonts w:hint="default"/>
                <w:color w:val="auto"/>
                <w:sz w:val="20"/>
                <w:highlight w:val="none"/>
              </w:rPr>
            </w:pPr>
            <w:r>
              <w:rPr>
                <w:rFonts w:hint="eastAsia"/>
                <w:color w:val="auto"/>
                <w:sz w:val="20"/>
                <w:highlight w:val="none"/>
              </w:rPr>
              <w:t>訪問入浴介護</w:t>
            </w:r>
          </w:p>
        </w:tc>
        <w:tc>
          <w:tcPr>
            <w:tcW w:w="525" w:type="dxa"/>
            <w:vAlign w:val="top"/>
          </w:tcPr>
          <w:p>
            <w:pPr>
              <w:pStyle w:val="0"/>
              <w:jc w:val="right"/>
              <w:rPr>
                <w:rFonts w:hint="default"/>
                <w:color w:val="auto"/>
                <w:sz w:val="20"/>
                <w:highlight w:val="none"/>
              </w:rPr>
            </w:pPr>
            <w:r>
              <w:rPr>
                <w:rFonts w:hint="eastAsia"/>
                <w:color w:val="auto"/>
                <w:sz w:val="20"/>
                <w:highlight w:val="none"/>
              </w:rPr>
              <w:t>0</w:t>
            </w:r>
          </w:p>
        </w:tc>
        <w:tc>
          <w:tcPr>
            <w:tcW w:w="2625" w:type="dxa"/>
            <w:vAlign w:val="top"/>
          </w:tcPr>
          <w:p>
            <w:pPr>
              <w:pStyle w:val="0"/>
              <w:ind w:left="220" w:leftChars="100"/>
              <w:rPr>
                <w:rFonts w:hint="default"/>
                <w:color w:val="auto"/>
                <w:sz w:val="20"/>
                <w:highlight w:val="none"/>
              </w:rPr>
            </w:pPr>
            <w:r>
              <w:rPr>
                <w:rFonts w:hint="eastAsia"/>
                <w:color w:val="auto"/>
                <w:sz w:val="20"/>
                <w:highlight w:val="none"/>
              </w:rPr>
              <w:t>地域密着型通所</w:t>
            </w:r>
          </w:p>
        </w:tc>
        <w:tc>
          <w:tcPr>
            <w:tcW w:w="560" w:type="dxa"/>
            <w:vAlign w:val="top"/>
          </w:tcPr>
          <w:p>
            <w:pPr>
              <w:pStyle w:val="0"/>
              <w:jc w:val="right"/>
              <w:rPr>
                <w:rFonts w:hint="default"/>
                <w:color w:val="auto"/>
                <w:sz w:val="20"/>
                <w:highlight w:val="none"/>
              </w:rPr>
            </w:pPr>
            <w:r>
              <w:rPr>
                <w:rFonts w:hint="eastAsia"/>
                <w:color w:val="auto"/>
                <w:sz w:val="20"/>
                <w:highlight w:val="none"/>
              </w:rPr>
              <w:t>1</w:t>
            </w:r>
          </w:p>
        </w:tc>
        <w:tc>
          <w:tcPr>
            <w:tcW w:w="2493" w:type="dxa"/>
            <w:vAlign w:val="top"/>
          </w:tcPr>
          <w:p>
            <w:pPr>
              <w:pStyle w:val="0"/>
              <w:ind w:firstLine="200" w:firstLineChars="100"/>
              <w:rPr>
                <w:rFonts w:hint="default"/>
                <w:color w:val="auto"/>
                <w:sz w:val="20"/>
                <w:highlight w:val="none"/>
              </w:rPr>
            </w:pPr>
            <w:r>
              <w:rPr>
                <w:rFonts w:hint="eastAsia"/>
                <w:color w:val="auto"/>
                <w:sz w:val="20"/>
                <w:highlight w:val="none"/>
              </w:rPr>
              <w:t>介護医療院</w:t>
            </w:r>
          </w:p>
        </w:tc>
        <w:tc>
          <w:tcPr>
            <w:tcW w:w="567" w:type="dxa"/>
            <w:vAlign w:val="top"/>
          </w:tcPr>
          <w:p>
            <w:pPr>
              <w:pStyle w:val="0"/>
              <w:jc w:val="right"/>
              <w:rPr>
                <w:rFonts w:hint="default"/>
                <w:color w:val="auto"/>
                <w:sz w:val="20"/>
                <w:highlight w:val="none"/>
              </w:rPr>
            </w:pPr>
            <w:r>
              <w:rPr>
                <w:rFonts w:hint="eastAsia"/>
                <w:color w:val="auto"/>
                <w:sz w:val="20"/>
                <w:highlight w:val="none"/>
              </w:rPr>
              <w:t>0</w:t>
            </w:r>
          </w:p>
        </w:tc>
      </w:tr>
      <w:tr>
        <w:trPr/>
        <w:tc>
          <w:tcPr>
            <w:tcW w:w="2410" w:type="dxa"/>
            <w:vAlign w:val="top"/>
          </w:tcPr>
          <w:p>
            <w:pPr>
              <w:pStyle w:val="0"/>
              <w:ind w:left="220" w:leftChars="100"/>
              <w:rPr>
                <w:rFonts w:hint="default"/>
                <w:color w:val="auto"/>
                <w:sz w:val="20"/>
                <w:highlight w:val="none"/>
              </w:rPr>
            </w:pPr>
            <w:r>
              <w:rPr>
                <w:rFonts w:hint="eastAsia"/>
                <w:color w:val="auto"/>
                <w:sz w:val="20"/>
                <w:highlight w:val="none"/>
              </w:rPr>
              <w:t>訪問看護</w:t>
            </w:r>
          </w:p>
        </w:tc>
        <w:tc>
          <w:tcPr>
            <w:tcW w:w="525" w:type="dxa"/>
            <w:vAlign w:val="top"/>
          </w:tcPr>
          <w:p>
            <w:pPr>
              <w:pStyle w:val="0"/>
              <w:jc w:val="right"/>
              <w:rPr>
                <w:rFonts w:hint="default"/>
                <w:color w:val="auto"/>
                <w:sz w:val="20"/>
                <w:highlight w:val="none"/>
              </w:rPr>
            </w:pPr>
            <w:r>
              <w:rPr>
                <w:rFonts w:hint="eastAsia"/>
                <w:color w:val="auto"/>
                <w:sz w:val="20"/>
                <w:highlight w:val="none"/>
              </w:rPr>
              <w:t>0</w:t>
            </w:r>
          </w:p>
        </w:tc>
        <w:tc>
          <w:tcPr>
            <w:tcW w:w="2625" w:type="dxa"/>
            <w:vAlign w:val="top"/>
          </w:tcPr>
          <w:p>
            <w:pPr>
              <w:pStyle w:val="0"/>
              <w:ind w:left="220" w:leftChars="100"/>
              <w:rPr>
                <w:rFonts w:hint="default"/>
                <w:color w:val="auto"/>
                <w:sz w:val="20"/>
                <w:highlight w:val="none"/>
              </w:rPr>
            </w:pPr>
            <w:r>
              <w:rPr>
                <w:rFonts w:hint="eastAsia"/>
                <w:color w:val="auto"/>
                <w:sz w:val="20"/>
                <w:highlight w:val="none"/>
              </w:rPr>
              <w:t>グループホーム</w:t>
            </w:r>
          </w:p>
        </w:tc>
        <w:tc>
          <w:tcPr>
            <w:tcW w:w="560" w:type="dxa"/>
            <w:vAlign w:val="top"/>
          </w:tcPr>
          <w:p>
            <w:pPr>
              <w:pStyle w:val="0"/>
              <w:jc w:val="right"/>
              <w:rPr>
                <w:rFonts w:hint="default"/>
                <w:color w:val="auto"/>
                <w:sz w:val="20"/>
                <w:highlight w:val="none"/>
              </w:rPr>
            </w:pPr>
            <w:r>
              <w:rPr>
                <w:rFonts w:hint="eastAsia"/>
                <w:color w:val="auto"/>
                <w:sz w:val="20"/>
                <w:highlight w:val="none"/>
              </w:rPr>
              <w:t>0</w:t>
            </w:r>
          </w:p>
        </w:tc>
        <w:tc>
          <w:tcPr>
            <w:tcW w:w="2493" w:type="dxa"/>
            <w:shd w:val="clear" w:color="auto" w:themeFill="text2" w:themeFillTint="33" w:themeFillShade="FF"/>
            <w:vAlign w:val="top"/>
          </w:tcPr>
          <w:p>
            <w:pPr>
              <w:pStyle w:val="0"/>
              <w:rPr>
                <w:rFonts w:hint="default"/>
                <w:b w:val="1"/>
                <w:color w:val="auto"/>
                <w:sz w:val="20"/>
                <w:highlight w:val="none"/>
              </w:rPr>
            </w:pPr>
            <w:r>
              <w:rPr>
                <w:rFonts w:hint="eastAsia"/>
                <w:b w:val="1"/>
                <w:color w:val="auto"/>
                <w:sz w:val="20"/>
                <w:highlight w:val="none"/>
              </w:rPr>
              <w:t>総合事業</w:t>
            </w:r>
          </w:p>
        </w:tc>
        <w:tc>
          <w:tcPr>
            <w:tcW w:w="567" w:type="dxa"/>
            <w:shd w:val="clear" w:color="auto" w:themeFill="text2" w:themeFillTint="33" w:themeFillShade="FF"/>
            <w:vAlign w:val="top"/>
          </w:tcPr>
          <w:p>
            <w:pPr>
              <w:pStyle w:val="0"/>
              <w:jc w:val="right"/>
              <w:rPr>
                <w:rFonts w:hint="default"/>
                <w:color w:val="auto"/>
                <w:sz w:val="20"/>
                <w:highlight w:val="none"/>
              </w:rPr>
            </w:pPr>
            <w:r>
              <w:rPr>
                <w:rFonts w:hint="eastAsia"/>
                <w:color w:val="auto"/>
                <w:sz w:val="20"/>
                <w:highlight w:val="none"/>
              </w:rPr>
              <w:t>1</w:t>
            </w:r>
          </w:p>
        </w:tc>
      </w:tr>
      <w:tr>
        <w:trPr/>
        <w:tc>
          <w:tcPr>
            <w:tcW w:w="2410" w:type="dxa"/>
            <w:vAlign w:val="top"/>
          </w:tcPr>
          <w:p>
            <w:pPr>
              <w:pStyle w:val="0"/>
              <w:ind w:left="220" w:leftChars="100"/>
              <w:rPr>
                <w:rFonts w:hint="default"/>
                <w:color w:val="auto"/>
                <w:sz w:val="20"/>
                <w:highlight w:val="none"/>
              </w:rPr>
            </w:pPr>
            <w:r>
              <w:rPr>
                <w:rFonts w:hint="eastAsia"/>
                <w:color w:val="auto"/>
                <w:sz w:val="20"/>
                <w:highlight w:val="none"/>
              </w:rPr>
              <w:t>訪問ﾘﾊﾋﾞﾘﾃｰｼｮﾝ</w:t>
            </w:r>
          </w:p>
        </w:tc>
        <w:tc>
          <w:tcPr>
            <w:tcW w:w="525" w:type="dxa"/>
            <w:vAlign w:val="top"/>
          </w:tcPr>
          <w:p>
            <w:pPr>
              <w:pStyle w:val="0"/>
              <w:jc w:val="right"/>
              <w:rPr>
                <w:rFonts w:hint="default"/>
                <w:color w:val="auto"/>
                <w:sz w:val="20"/>
                <w:highlight w:val="none"/>
              </w:rPr>
            </w:pPr>
            <w:r>
              <w:rPr>
                <w:rFonts w:hint="eastAsia"/>
                <w:color w:val="auto"/>
                <w:sz w:val="20"/>
                <w:highlight w:val="none"/>
              </w:rPr>
              <w:t>0</w:t>
            </w:r>
          </w:p>
        </w:tc>
        <w:tc>
          <w:tcPr>
            <w:tcW w:w="2625" w:type="dxa"/>
            <w:vAlign w:val="top"/>
          </w:tcPr>
          <w:p>
            <w:pPr>
              <w:pStyle w:val="0"/>
              <w:ind w:firstLine="200" w:firstLineChars="100"/>
              <w:rPr>
                <w:rFonts w:hint="default"/>
                <w:color w:val="auto"/>
                <w:sz w:val="20"/>
                <w:highlight w:val="none"/>
              </w:rPr>
            </w:pPr>
            <w:r>
              <w:rPr>
                <w:rFonts w:hint="eastAsia"/>
                <w:color w:val="auto"/>
                <w:sz w:val="20"/>
                <w:highlight w:val="none"/>
              </w:rPr>
              <w:t>小規模多機能</w:t>
            </w:r>
          </w:p>
        </w:tc>
        <w:tc>
          <w:tcPr>
            <w:tcW w:w="560" w:type="dxa"/>
            <w:vAlign w:val="top"/>
          </w:tcPr>
          <w:p>
            <w:pPr>
              <w:pStyle w:val="0"/>
              <w:jc w:val="right"/>
              <w:rPr>
                <w:rFonts w:hint="default"/>
                <w:color w:val="auto"/>
                <w:sz w:val="20"/>
                <w:highlight w:val="none"/>
              </w:rPr>
            </w:pPr>
            <w:r>
              <w:rPr>
                <w:rFonts w:hint="eastAsia"/>
                <w:color w:val="auto"/>
                <w:sz w:val="20"/>
                <w:highlight w:val="none"/>
              </w:rPr>
              <w:t>0</w:t>
            </w:r>
          </w:p>
        </w:tc>
        <w:tc>
          <w:tcPr>
            <w:tcW w:w="3060" w:type="dxa"/>
            <w:gridSpan w:val="2"/>
            <w:shd w:val="clear" w:color="auto" w:themeFill="text2" w:themeFillTint="33" w:themeFillShade="FF"/>
            <w:vAlign w:val="top"/>
          </w:tcPr>
          <w:p>
            <w:pPr>
              <w:pStyle w:val="0"/>
              <w:rPr>
                <w:rFonts w:hint="default"/>
                <w:b w:val="1"/>
                <w:color w:val="auto"/>
                <w:sz w:val="20"/>
                <w:highlight w:val="none"/>
              </w:rPr>
            </w:pPr>
            <w:r>
              <w:rPr>
                <w:rFonts w:hint="eastAsia"/>
                <w:b w:val="1"/>
                <w:color w:val="auto"/>
                <w:sz w:val="20"/>
                <w:highlight w:val="none"/>
              </w:rPr>
              <w:t>その他</w:t>
            </w:r>
          </w:p>
        </w:tc>
      </w:tr>
      <w:tr>
        <w:trPr>
          <w:trHeight w:val="122" w:hRule="atLeast"/>
        </w:trPr>
        <w:tc>
          <w:tcPr>
            <w:tcW w:w="2410" w:type="dxa"/>
            <w:vAlign w:val="top"/>
          </w:tcPr>
          <w:p>
            <w:pPr>
              <w:pStyle w:val="0"/>
              <w:ind w:left="220" w:leftChars="100"/>
              <w:rPr>
                <w:rFonts w:hint="default"/>
                <w:color w:val="auto"/>
                <w:sz w:val="20"/>
                <w:highlight w:val="none"/>
              </w:rPr>
            </w:pPr>
            <w:r>
              <w:rPr>
                <w:rFonts w:hint="eastAsia"/>
                <w:color w:val="auto"/>
                <w:sz w:val="20"/>
                <w:highlight w:val="none"/>
              </w:rPr>
              <w:t>通所介護</w:t>
            </w:r>
          </w:p>
        </w:tc>
        <w:tc>
          <w:tcPr>
            <w:tcW w:w="525" w:type="dxa"/>
            <w:vAlign w:val="top"/>
          </w:tcPr>
          <w:p>
            <w:pPr>
              <w:pStyle w:val="0"/>
              <w:jc w:val="right"/>
              <w:rPr>
                <w:rFonts w:hint="default"/>
                <w:color w:val="auto"/>
                <w:sz w:val="20"/>
                <w:highlight w:val="none"/>
              </w:rPr>
            </w:pPr>
            <w:r>
              <w:rPr>
                <w:rFonts w:hint="eastAsia"/>
                <w:color w:val="auto"/>
                <w:sz w:val="20"/>
                <w:highlight w:val="none"/>
              </w:rPr>
              <w:t>0</w:t>
            </w:r>
          </w:p>
        </w:tc>
        <w:tc>
          <w:tcPr>
            <w:tcW w:w="2625" w:type="dxa"/>
            <w:vAlign w:val="top"/>
          </w:tcPr>
          <w:p>
            <w:pPr>
              <w:pStyle w:val="0"/>
              <w:ind w:firstLine="200" w:firstLineChars="100"/>
              <w:rPr>
                <w:rFonts w:hint="default"/>
                <w:color w:val="auto"/>
                <w:sz w:val="20"/>
                <w:highlight w:val="none"/>
              </w:rPr>
            </w:pPr>
            <w:r>
              <w:rPr>
                <w:rFonts w:hint="eastAsia"/>
                <w:color w:val="auto"/>
                <w:sz w:val="20"/>
                <w:highlight w:val="none"/>
              </w:rPr>
              <w:t>看護小規模多機能</w:t>
            </w:r>
          </w:p>
        </w:tc>
        <w:tc>
          <w:tcPr>
            <w:tcW w:w="560" w:type="dxa"/>
            <w:vAlign w:val="top"/>
          </w:tcPr>
          <w:p>
            <w:pPr>
              <w:pStyle w:val="0"/>
              <w:jc w:val="right"/>
              <w:rPr>
                <w:rFonts w:hint="default"/>
                <w:color w:val="auto"/>
                <w:sz w:val="20"/>
                <w:highlight w:val="none"/>
              </w:rPr>
            </w:pPr>
            <w:r>
              <w:rPr>
                <w:rFonts w:hint="eastAsia"/>
                <w:color w:val="auto"/>
                <w:sz w:val="20"/>
                <w:highlight w:val="none"/>
              </w:rPr>
              <w:t>0</w:t>
            </w:r>
          </w:p>
        </w:tc>
        <w:tc>
          <w:tcPr>
            <w:tcW w:w="2493" w:type="dxa"/>
            <w:shd w:val="clear" w:color="auto" w:fill="auto"/>
            <w:vAlign w:val="top"/>
          </w:tcPr>
          <w:p>
            <w:pPr>
              <w:pStyle w:val="0"/>
              <w:ind w:firstLine="200" w:firstLineChars="100"/>
              <w:rPr>
                <w:rFonts w:hint="default"/>
                <w:color w:val="auto"/>
                <w:sz w:val="20"/>
                <w:highlight w:val="none"/>
              </w:rPr>
            </w:pPr>
            <w:r>
              <w:rPr>
                <w:rFonts w:hint="eastAsia"/>
                <w:color w:val="auto"/>
                <w:sz w:val="20"/>
                <w:highlight w:val="none"/>
              </w:rPr>
              <w:t>ｹｱﾊｳｽ</w:t>
            </w:r>
            <w:r>
              <w:rPr>
                <w:rFonts w:hint="eastAsia"/>
                <w:color w:val="auto"/>
                <w:sz w:val="20"/>
                <w:highlight w:val="none"/>
              </w:rPr>
              <w:t>(</w:t>
            </w:r>
            <w:r>
              <w:rPr>
                <w:rFonts w:hint="eastAsia"/>
                <w:color w:val="auto"/>
                <w:sz w:val="20"/>
                <w:highlight w:val="none"/>
              </w:rPr>
              <w:t>軽費老人ﾎｰﾑ</w:t>
            </w:r>
            <w:r>
              <w:rPr>
                <w:rFonts w:hint="eastAsia"/>
                <w:color w:val="auto"/>
                <w:sz w:val="20"/>
                <w:highlight w:val="none"/>
              </w:rPr>
              <w:t>)</w:t>
            </w:r>
          </w:p>
        </w:tc>
        <w:tc>
          <w:tcPr>
            <w:tcW w:w="567" w:type="dxa"/>
            <w:shd w:val="clear" w:color="auto" w:fill="auto"/>
            <w:vAlign w:val="top"/>
          </w:tcPr>
          <w:p>
            <w:pPr>
              <w:pStyle w:val="0"/>
              <w:jc w:val="right"/>
              <w:rPr>
                <w:rFonts w:hint="default"/>
                <w:color w:val="auto"/>
                <w:sz w:val="20"/>
                <w:highlight w:val="none"/>
              </w:rPr>
            </w:pPr>
            <w:r>
              <w:rPr>
                <w:rFonts w:hint="eastAsia"/>
                <w:color w:val="auto"/>
                <w:sz w:val="20"/>
                <w:highlight w:val="none"/>
              </w:rPr>
              <w:t>0</w:t>
            </w:r>
          </w:p>
        </w:tc>
      </w:tr>
      <w:tr>
        <w:trPr/>
        <w:tc>
          <w:tcPr>
            <w:tcW w:w="2410" w:type="dxa"/>
            <w:vAlign w:val="top"/>
          </w:tcPr>
          <w:p>
            <w:pPr>
              <w:pStyle w:val="0"/>
              <w:ind w:left="220" w:leftChars="100"/>
              <w:rPr>
                <w:rFonts w:hint="default"/>
                <w:color w:val="auto"/>
                <w:sz w:val="20"/>
                <w:highlight w:val="none"/>
              </w:rPr>
            </w:pPr>
            <w:r>
              <w:rPr>
                <w:rFonts w:hint="eastAsia"/>
                <w:color w:val="auto"/>
                <w:sz w:val="20"/>
                <w:highlight w:val="none"/>
              </w:rPr>
              <w:t>通所ﾘﾊﾋﾞﾘﾃｰｼｮﾝ</w:t>
            </w:r>
          </w:p>
        </w:tc>
        <w:tc>
          <w:tcPr>
            <w:tcW w:w="525" w:type="dxa"/>
            <w:vAlign w:val="top"/>
          </w:tcPr>
          <w:p>
            <w:pPr>
              <w:pStyle w:val="0"/>
              <w:jc w:val="right"/>
              <w:rPr>
                <w:rFonts w:hint="default"/>
                <w:color w:val="auto"/>
                <w:sz w:val="20"/>
                <w:highlight w:val="none"/>
              </w:rPr>
            </w:pPr>
            <w:r>
              <w:rPr>
                <w:rFonts w:hint="eastAsia"/>
                <w:color w:val="auto"/>
                <w:sz w:val="20"/>
                <w:highlight w:val="none"/>
              </w:rPr>
              <w:t>0</w:t>
            </w:r>
          </w:p>
        </w:tc>
        <w:tc>
          <w:tcPr>
            <w:tcW w:w="2625" w:type="dxa"/>
            <w:vAlign w:val="top"/>
          </w:tcPr>
          <w:p>
            <w:pPr>
              <w:pStyle w:val="0"/>
              <w:rPr>
                <w:rFonts w:hint="default"/>
                <w:color w:val="auto"/>
                <w:sz w:val="20"/>
                <w:highlight w:val="none"/>
              </w:rPr>
            </w:pPr>
            <w:r>
              <w:rPr>
                <w:rFonts w:hint="eastAsia"/>
                <w:color w:val="auto"/>
                <w:sz w:val="20"/>
                <w:highlight w:val="none"/>
              </w:rPr>
              <w:t>　</w:t>
            </w:r>
            <w:r>
              <w:rPr>
                <w:rFonts w:hint="eastAsia"/>
                <w:color w:val="auto"/>
                <w:sz w:val="20"/>
                <w:highlight w:val="none"/>
              </w:rPr>
              <w:t xml:space="preserve"> </w:t>
            </w:r>
            <w:r>
              <w:rPr>
                <w:rFonts w:hint="eastAsia"/>
                <w:color w:val="auto"/>
                <w:sz w:val="20"/>
                <w:highlight w:val="none"/>
              </w:rPr>
              <w:t>地域密着型特養</w:t>
            </w:r>
          </w:p>
        </w:tc>
        <w:tc>
          <w:tcPr>
            <w:tcW w:w="560" w:type="dxa"/>
            <w:vAlign w:val="top"/>
          </w:tcPr>
          <w:p>
            <w:pPr>
              <w:pStyle w:val="0"/>
              <w:jc w:val="right"/>
              <w:rPr>
                <w:rFonts w:hint="default"/>
                <w:color w:val="auto"/>
                <w:sz w:val="20"/>
                <w:highlight w:val="none"/>
              </w:rPr>
            </w:pPr>
            <w:r>
              <w:rPr>
                <w:rFonts w:hint="eastAsia"/>
                <w:color w:val="auto"/>
                <w:sz w:val="20"/>
                <w:highlight w:val="none"/>
              </w:rPr>
              <w:t>0</w:t>
            </w:r>
          </w:p>
        </w:tc>
        <w:tc>
          <w:tcPr>
            <w:tcW w:w="2493" w:type="dxa"/>
            <w:shd w:val="clear" w:color="auto" w:fill="auto"/>
            <w:vAlign w:val="top"/>
          </w:tcPr>
          <w:p>
            <w:pPr>
              <w:pStyle w:val="0"/>
              <w:ind w:right="-110" w:rightChars="-50" w:firstLine="200" w:firstLineChars="100"/>
              <w:rPr>
                <w:rFonts w:hint="default"/>
                <w:color w:val="auto"/>
                <w:sz w:val="20"/>
                <w:highlight w:val="none"/>
              </w:rPr>
            </w:pPr>
            <w:r>
              <w:rPr>
                <w:rFonts w:hint="eastAsia"/>
                <w:color w:val="auto"/>
                <w:sz w:val="20"/>
                <w:highlight w:val="none"/>
              </w:rPr>
              <w:t>サ高住</w:t>
            </w:r>
          </w:p>
        </w:tc>
        <w:tc>
          <w:tcPr>
            <w:tcW w:w="567" w:type="dxa"/>
            <w:shd w:val="clear" w:color="auto" w:fill="auto"/>
            <w:vAlign w:val="top"/>
          </w:tcPr>
          <w:p>
            <w:pPr>
              <w:pStyle w:val="0"/>
              <w:jc w:val="right"/>
              <w:rPr>
                <w:rFonts w:hint="default"/>
                <w:color w:val="auto"/>
                <w:sz w:val="20"/>
                <w:highlight w:val="none"/>
              </w:rPr>
            </w:pPr>
            <w:r>
              <w:rPr>
                <w:rFonts w:hint="eastAsia"/>
                <w:color w:val="auto"/>
                <w:sz w:val="20"/>
                <w:highlight w:val="none"/>
              </w:rPr>
              <w:t>0</w:t>
            </w:r>
          </w:p>
        </w:tc>
      </w:tr>
      <w:tr>
        <w:trPr/>
        <w:tc>
          <w:tcPr>
            <w:tcW w:w="2410" w:type="dxa"/>
            <w:vAlign w:val="top"/>
          </w:tcPr>
          <w:p>
            <w:pPr>
              <w:pStyle w:val="0"/>
              <w:ind w:left="220" w:leftChars="100"/>
              <w:rPr>
                <w:rFonts w:hint="default"/>
                <w:color w:val="auto"/>
                <w:sz w:val="20"/>
                <w:highlight w:val="none"/>
              </w:rPr>
            </w:pPr>
            <w:r>
              <w:rPr>
                <w:rFonts w:hint="eastAsia"/>
                <w:color w:val="auto"/>
                <w:sz w:val="20"/>
                <w:highlight w:val="none"/>
              </w:rPr>
              <w:t>ショートステイ</w:t>
            </w:r>
          </w:p>
        </w:tc>
        <w:tc>
          <w:tcPr>
            <w:tcW w:w="525" w:type="dxa"/>
            <w:vAlign w:val="top"/>
          </w:tcPr>
          <w:p>
            <w:pPr>
              <w:pStyle w:val="0"/>
              <w:jc w:val="right"/>
              <w:rPr>
                <w:rFonts w:hint="default"/>
                <w:color w:val="auto"/>
                <w:sz w:val="20"/>
                <w:highlight w:val="none"/>
              </w:rPr>
            </w:pPr>
            <w:r>
              <w:rPr>
                <w:rFonts w:hint="eastAsia"/>
                <w:color w:val="auto"/>
                <w:sz w:val="20"/>
                <w:highlight w:val="none"/>
              </w:rPr>
              <w:t>0</w:t>
            </w:r>
          </w:p>
        </w:tc>
        <w:tc>
          <w:tcPr>
            <w:tcW w:w="2625" w:type="dxa"/>
            <w:vAlign w:val="top"/>
          </w:tcPr>
          <w:p>
            <w:pPr>
              <w:pStyle w:val="0"/>
              <w:ind w:left="220" w:leftChars="100"/>
              <w:rPr>
                <w:rFonts w:hint="default"/>
                <w:color w:val="auto"/>
                <w:sz w:val="20"/>
                <w:highlight w:val="none"/>
              </w:rPr>
            </w:pPr>
            <w:r>
              <w:rPr>
                <w:rFonts w:hint="eastAsia"/>
                <w:color w:val="auto"/>
                <w:sz w:val="20"/>
                <w:highlight w:val="none"/>
              </w:rPr>
              <w:t>地域密着型特定入居</w:t>
            </w:r>
          </w:p>
        </w:tc>
        <w:tc>
          <w:tcPr>
            <w:tcW w:w="560" w:type="dxa"/>
            <w:vAlign w:val="top"/>
          </w:tcPr>
          <w:p>
            <w:pPr>
              <w:pStyle w:val="0"/>
              <w:jc w:val="right"/>
              <w:rPr>
                <w:rFonts w:hint="default"/>
                <w:color w:val="auto"/>
                <w:sz w:val="20"/>
                <w:highlight w:val="none"/>
              </w:rPr>
            </w:pPr>
            <w:r>
              <w:rPr>
                <w:rFonts w:hint="eastAsia"/>
                <w:color w:val="auto"/>
                <w:sz w:val="20"/>
                <w:highlight w:val="none"/>
              </w:rPr>
              <w:t>0</w:t>
            </w:r>
          </w:p>
        </w:tc>
        <w:tc>
          <w:tcPr>
            <w:tcW w:w="2493" w:type="dxa"/>
            <w:shd w:val="clear" w:color="auto" w:fill="auto"/>
            <w:vAlign w:val="top"/>
          </w:tcPr>
          <w:p>
            <w:pPr>
              <w:pStyle w:val="0"/>
              <w:ind w:right="-110" w:rightChars="-50" w:firstLine="200" w:firstLineChars="100"/>
              <w:rPr>
                <w:rFonts w:hint="default"/>
                <w:color w:val="auto"/>
                <w:sz w:val="20"/>
                <w:highlight w:val="none"/>
              </w:rPr>
            </w:pPr>
            <w:r>
              <w:rPr>
                <w:rFonts w:hint="eastAsia"/>
                <w:color w:val="auto"/>
                <w:sz w:val="20"/>
                <w:highlight w:val="none"/>
              </w:rPr>
              <w:t>有料老人ホーム</w:t>
            </w:r>
          </w:p>
        </w:tc>
        <w:tc>
          <w:tcPr>
            <w:tcW w:w="567" w:type="dxa"/>
            <w:shd w:val="clear" w:color="auto" w:fill="auto"/>
            <w:vAlign w:val="top"/>
          </w:tcPr>
          <w:p>
            <w:pPr>
              <w:pStyle w:val="0"/>
              <w:jc w:val="right"/>
              <w:rPr>
                <w:rFonts w:hint="default"/>
                <w:color w:val="auto"/>
                <w:sz w:val="20"/>
                <w:highlight w:val="none"/>
              </w:rPr>
            </w:pPr>
            <w:r>
              <w:rPr>
                <w:rFonts w:hint="eastAsia"/>
                <w:color w:val="auto"/>
                <w:sz w:val="20"/>
                <w:highlight w:val="none"/>
              </w:rPr>
              <w:t>0</w:t>
            </w:r>
          </w:p>
        </w:tc>
      </w:tr>
      <w:tr>
        <w:trPr/>
        <w:tc>
          <w:tcPr>
            <w:tcW w:w="2410" w:type="dxa"/>
            <w:vAlign w:val="top"/>
          </w:tcPr>
          <w:p>
            <w:pPr>
              <w:pStyle w:val="0"/>
              <w:ind w:left="220" w:leftChars="100"/>
              <w:rPr>
                <w:rFonts w:hint="default"/>
                <w:color w:val="auto"/>
                <w:sz w:val="20"/>
                <w:highlight w:val="none"/>
              </w:rPr>
            </w:pPr>
            <w:r>
              <w:rPr>
                <w:rFonts w:hint="eastAsia"/>
                <w:color w:val="auto"/>
                <w:sz w:val="20"/>
                <w:highlight w:val="none"/>
              </w:rPr>
              <w:t>特定入居</w:t>
            </w:r>
            <w:r>
              <w:rPr>
                <w:rFonts w:hint="eastAsia"/>
                <w:color w:val="auto"/>
                <w:sz w:val="20"/>
                <w:highlight w:val="none"/>
              </w:rPr>
              <w:t>(</w:t>
            </w:r>
            <w:r>
              <w:rPr>
                <w:rFonts w:hint="eastAsia"/>
                <w:color w:val="auto"/>
                <w:sz w:val="20"/>
                <w:highlight w:val="none"/>
              </w:rPr>
              <w:t>生・療</w:t>
            </w:r>
            <w:r>
              <w:rPr>
                <w:rFonts w:hint="eastAsia"/>
                <w:color w:val="auto"/>
                <w:sz w:val="20"/>
                <w:highlight w:val="none"/>
              </w:rPr>
              <w:t>)</w:t>
            </w:r>
          </w:p>
        </w:tc>
        <w:tc>
          <w:tcPr>
            <w:tcW w:w="525" w:type="dxa"/>
            <w:vAlign w:val="top"/>
          </w:tcPr>
          <w:p>
            <w:pPr>
              <w:pStyle w:val="0"/>
              <w:jc w:val="right"/>
              <w:rPr>
                <w:rFonts w:hint="default"/>
                <w:color w:val="auto"/>
                <w:sz w:val="20"/>
                <w:highlight w:val="none"/>
              </w:rPr>
            </w:pPr>
            <w:r>
              <w:rPr>
                <w:rFonts w:hint="eastAsia"/>
                <w:color w:val="auto"/>
                <w:sz w:val="20"/>
                <w:highlight w:val="none"/>
              </w:rPr>
              <w:t>0</w:t>
            </w:r>
          </w:p>
        </w:tc>
        <w:tc>
          <w:tcPr>
            <w:tcW w:w="2625" w:type="dxa"/>
            <w:vAlign w:val="top"/>
          </w:tcPr>
          <w:p>
            <w:pPr>
              <w:pStyle w:val="0"/>
              <w:ind w:left="220" w:leftChars="100"/>
              <w:rPr>
                <w:rFonts w:hint="default"/>
                <w:color w:val="auto"/>
                <w:sz w:val="20"/>
                <w:highlight w:val="none"/>
              </w:rPr>
            </w:pPr>
          </w:p>
        </w:tc>
        <w:tc>
          <w:tcPr>
            <w:tcW w:w="560" w:type="dxa"/>
            <w:vAlign w:val="top"/>
          </w:tcPr>
          <w:p>
            <w:pPr>
              <w:pStyle w:val="0"/>
              <w:jc w:val="center"/>
              <w:rPr>
                <w:rFonts w:hint="default"/>
                <w:color w:val="auto"/>
                <w:sz w:val="20"/>
                <w:highlight w:val="none"/>
              </w:rPr>
            </w:pPr>
          </w:p>
        </w:tc>
        <w:tc>
          <w:tcPr>
            <w:tcW w:w="2493" w:type="dxa"/>
            <w:shd w:val="clear" w:color="auto" w:fill="auto"/>
            <w:vAlign w:val="top"/>
          </w:tcPr>
          <w:p>
            <w:pPr>
              <w:pStyle w:val="0"/>
              <w:ind w:right="-110" w:rightChars="-50" w:firstLine="200" w:firstLineChars="100"/>
              <w:rPr>
                <w:rFonts w:hint="default"/>
                <w:color w:val="auto"/>
                <w:sz w:val="20"/>
                <w:highlight w:val="none"/>
              </w:rPr>
            </w:pPr>
          </w:p>
        </w:tc>
        <w:tc>
          <w:tcPr>
            <w:tcW w:w="567" w:type="dxa"/>
            <w:shd w:val="clear" w:color="auto" w:fill="auto"/>
            <w:vAlign w:val="top"/>
          </w:tcPr>
          <w:p>
            <w:pPr>
              <w:pStyle w:val="0"/>
              <w:jc w:val="center"/>
              <w:rPr>
                <w:rFonts w:hint="default"/>
                <w:color w:val="auto"/>
                <w:sz w:val="20"/>
                <w:highlight w:val="none"/>
              </w:rPr>
            </w:pPr>
          </w:p>
        </w:tc>
      </w:tr>
    </w:tbl>
    <w:p>
      <w:pPr>
        <w:pStyle w:val="0"/>
        <w:rPr>
          <w:rFonts w:hint="default" w:ascii="ＭＳ Ｐゴシック" w:hAnsi="ＭＳ Ｐゴシック" w:eastAsia="ＭＳ Ｐゴシック"/>
          <w:color w:val="auto"/>
          <w:highlight w:val="none"/>
        </w:rPr>
      </w:pPr>
    </w:p>
    <w:p>
      <w:pPr>
        <w:pStyle w:val="0"/>
        <w:rPr>
          <w:rFonts w:hint="default" w:ascii="BIZ UDPゴシック" w:hAnsi="BIZ UDPゴシック" w:eastAsia="BIZ UDPゴシック"/>
          <w:color w:val="auto"/>
          <w:highlight w:val="none"/>
        </w:rPr>
      </w:pPr>
      <w:r>
        <w:rPr>
          <w:rFonts w:hint="default" w:ascii="BIZ UDPゴシック" w:hAnsi="BIZ UDPゴシック" w:eastAsia="BIZ UDPゴシック"/>
          <w:color w:val="auto"/>
          <w:highlight w:val="none"/>
        </w:rPr>
        <w:br w:type="page"/>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〔図　吉和圏域の人口の推計〕</w:t>
      </w:r>
    </w:p>
    <w:p>
      <w:pPr>
        <w:pStyle w:val="0"/>
        <w:rPr>
          <w:rFonts w:hint="default" w:ascii="BIZ UDPゴシック" w:hAnsi="BIZ UDPゴシック" w:eastAsia="BIZ UDPゴシック"/>
          <w:color w:val="auto"/>
          <w:highlight w:val="none"/>
        </w:rPr>
      </w:pPr>
      <w:r>
        <w:rPr>
          <w:rFonts w:hint="default"/>
          <w:color w:val="auto"/>
          <w:highlight w:val="none"/>
        </w:rPr>
        <w:drawing>
          <wp:anchor distT="0" distB="0" distL="114300" distR="114300" simplePos="0" relativeHeight="151" behindDoc="0" locked="0" layoutInCell="1" hidden="0" allowOverlap="1">
            <wp:simplePos x="0" y="0"/>
            <wp:positionH relativeFrom="column">
              <wp:posOffset>471170</wp:posOffset>
            </wp:positionH>
            <wp:positionV relativeFrom="paragraph">
              <wp:posOffset>33655</wp:posOffset>
            </wp:positionV>
            <wp:extent cx="5534025" cy="2400300"/>
            <wp:effectExtent l="0" t="0" r="0" b="0"/>
            <wp:wrapNone/>
            <wp:docPr id="1094" name="Picture 10"/>
            <a:graphic xmlns:a="http://schemas.openxmlformats.org/drawingml/2006/main">
              <a:graphicData uri="http://schemas.openxmlformats.org/drawingml/2006/picture">
                <pic:pic xmlns:pic="http://schemas.openxmlformats.org/drawingml/2006/picture">
                  <pic:nvPicPr>
                    <pic:cNvPr id="1094" name="Picture 10"/>
                    <pic:cNvPicPr>
                      <a:picLocks noChangeAspect="1" noChangeArrowheads="1"/>
                    </pic:cNvPicPr>
                  </pic:nvPicPr>
                  <pic:blipFill>
                    <a:blip r:embed="rId38"/>
                    <a:stretch>
                      <a:fillRect/>
                    </a:stretch>
                  </pic:blipFill>
                  <pic:spPr>
                    <a:xfrm>
                      <a:off x="0" y="0"/>
                      <a:ext cx="5534025" cy="2400300"/>
                    </a:xfrm>
                    <a:prstGeom prst="rect">
                      <a:avLst/>
                    </a:prstGeom>
                    <a:noFill/>
                    <a:ln>
                      <a:noFill/>
                    </a:ln>
                  </pic:spPr>
                </pic:pic>
              </a:graphicData>
            </a:graphic>
          </wp:anchor>
        </w:drawing>
      </w: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jc w:val="right"/>
        <w:rPr>
          <w:rFonts w:hint="default" w:ascii="BIZ UDPゴシック" w:hAnsi="BIZ UDPゴシック" w:eastAsia="BIZ UDPゴシック"/>
          <w:color w:val="auto"/>
          <w:sz w:val="20"/>
          <w:highlight w:val="none"/>
        </w:rPr>
      </w:pPr>
      <w:r>
        <w:rPr>
          <w:rFonts w:hint="eastAsia" w:ascii="BIZ UDPゴシック" w:hAnsi="BIZ UDPゴシック" w:eastAsia="BIZ UDPゴシック"/>
          <w:color w:val="auto"/>
          <w:sz w:val="20"/>
          <w:highlight w:val="none"/>
        </w:rPr>
        <w:t>資料：住民基本台帳人口及び推計値</w:t>
      </w:r>
    </w:p>
    <w:p>
      <w:pPr>
        <w:pStyle w:val="0"/>
        <w:rPr>
          <w:rFonts w:hint="default" w:ascii="BIZ UDPゴシック" w:hAnsi="BIZ UDPゴシック" w:eastAsia="BIZ UDPゴシック"/>
          <w:color w:val="auto"/>
          <w:highlight w:val="none"/>
        </w:rPr>
      </w:pP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〔吉和圏域の要支援・要介護認定者数（第</w:t>
      </w:r>
      <w:r>
        <w:rPr>
          <w:rFonts w:hint="eastAsia" w:ascii="BIZ UDPゴシック" w:hAnsi="BIZ UDPゴシック" w:eastAsia="BIZ UDPゴシック"/>
          <w:color w:val="auto"/>
          <w:highlight w:val="none"/>
        </w:rPr>
        <w:t>1</w:t>
      </w:r>
      <w:r>
        <w:rPr>
          <w:rFonts w:hint="eastAsia" w:ascii="BIZ UDPゴシック" w:hAnsi="BIZ UDPゴシック" w:eastAsia="BIZ UDPゴシック"/>
          <w:color w:val="auto"/>
          <w:highlight w:val="none"/>
        </w:rPr>
        <w:t>号被保険者）の推計〕</w:t>
      </w:r>
    </w:p>
    <w:p>
      <w:pPr>
        <w:pStyle w:val="0"/>
        <w:rPr>
          <w:rFonts w:hint="default" w:ascii="BIZ UDPゴシック" w:hAnsi="BIZ UDPゴシック" w:eastAsia="BIZ UDPゴシック"/>
          <w:color w:val="auto"/>
          <w:highlight w:val="none"/>
        </w:rPr>
      </w:pPr>
      <w:r>
        <w:rPr>
          <w:rFonts w:hint="default"/>
          <w:color w:val="auto"/>
          <w:highlight w:val="none"/>
        </w:rPr>
        <w:drawing>
          <wp:anchor distT="0" distB="0" distL="114300" distR="114300" simplePos="0" relativeHeight="109" behindDoc="1" locked="0" layoutInCell="1" hidden="0" allowOverlap="1">
            <wp:simplePos x="0" y="0"/>
            <wp:positionH relativeFrom="column">
              <wp:posOffset>1428750</wp:posOffset>
            </wp:positionH>
            <wp:positionV relativeFrom="paragraph">
              <wp:posOffset>45085</wp:posOffset>
            </wp:positionV>
            <wp:extent cx="3677285" cy="2072640"/>
            <wp:effectExtent l="0" t="0" r="0" b="0"/>
            <wp:wrapNone/>
            <wp:docPr id="1095" name="Picture 14"/>
            <a:graphic xmlns:a="http://schemas.openxmlformats.org/drawingml/2006/main">
              <a:graphicData uri="http://schemas.openxmlformats.org/drawingml/2006/picture">
                <pic:pic xmlns:pic="http://schemas.openxmlformats.org/drawingml/2006/picture">
                  <pic:nvPicPr>
                    <pic:cNvPr id="1095" name="Picture 14"/>
                    <pic:cNvPicPr>
                      <a:picLocks noChangeAspect="1" noChangeArrowheads="1"/>
                    </pic:cNvPicPr>
                  </pic:nvPicPr>
                  <pic:blipFill>
                    <a:blip r:embed="rId39"/>
                    <a:stretch>
                      <a:fillRect/>
                    </a:stretch>
                  </pic:blipFill>
                  <pic:spPr>
                    <a:xfrm>
                      <a:off x="0" y="0"/>
                      <a:ext cx="3677285" cy="2072640"/>
                    </a:xfrm>
                    <a:prstGeom prst="rect">
                      <a:avLst/>
                    </a:prstGeom>
                    <a:noFill/>
                    <a:ln>
                      <a:noFill/>
                    </a:ln>
                  </pic:spPr>
                </pic:pic>
              </a:graphicData>
            </a:graphic>
          </wp:anchor>
        </w:drawing>
      </w: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〔地域の特徴〕</w:t>
      </w:r>
    </w:p>
    <w:p>
      <w:pPr>
        <w:pStyle w:val="34"/>
        <w:numPr>
          <w:ilvl w:val="0"/>
          <w:numId w:val="2"/>
        </w:numPr>
        <w:spacing w:before="185" w:beforeLines="50" w:beforeAutospacing="0"/>
        <w:ind w:left="652" w:leftChars="0" w:hanging="442"/>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７圏域の中で最も人口が少なく、高齢化率は最も高く、</w:t>
      </w:r>
      <w:r>
        <w:rPr>
          <w:rFonts w:hint="eastAsia" w:ascii="BIZ UDPゴシック" w:hAnsi="BIZ UDPゴシック" w:eastAsia="BIZ UDPゴシック"/>
          <w:color w:val="auto"/>
          <w:highlight w:val="none"/>
        </w:rPr>
        <w:t>50</w:t>
      </w:r>
      <w:r>
        <w:rPr>
          <w:rFonts w:hint="eastAsia" w:ascii="BIZ UDPゴシック" w:hAnsi="BIZ UDPゴシック" w:eastAsia="BIZ UDPゴシック"/>
          <w:color w:val="auto"/>
          <w:highlight w:val="none"/>
        </w:rPr>
        <w:t>％を超えています。</w:t>
      </w:r>
    </w:p>
    <w:p>
      <w:pPr>
        <w:pStyle w:val="34"/>
        <w:numPr>
          <w:ilvl w:val="0"/>
          <w:numId w:val="2"/>
        </w:numPr>
        <w:ind w:left="650" w:leftChars="0" w:hanging="44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総人口、高齢者数ともに減少しますが、後期高齢者は令和</w:t>
      </w:r>
      <w:r>
        <w:rPr>
          <w:rFonts w:hint="eastAsia" w:ascii="BIZ UDPゴシック" w:hAnsi="BIZ UDPゴシック" w:eastAsia="BIZ UDPゴシック"/>
          <w:color w:val="auto"/>
          <w:highlight w:val="none"/>
        </w:rPr>
        <w:t>8</w:t>
      </w:r>
      <w:r>
        <w:rPr>
          <w:rFonts w:hint="eastAsia" w:ascii="BIZ UDPゴシック" w:hAnsi="BIZ UDPゴシック" w:eastAsia="BIZ UDPゴシック"/>
          <w:color w:val="auto"/>
          <w:highlight w:val="none"/>
        </w:rPr>
        <w:t>（</w:t>
      </w:r>
      <w:r>
        <w:rPr>
          <w:rFonts w:hint="eastAsia" w:ascii="BIZ UDPゴシック" w:hAnsi="BIZ UDPゴシック" w:eastAsia="BIZ UDPゴシック"/>
          <w:color w:val="auto"/>
          <w:highlight w:val="none"/>
        </w:rPr>
        <w:t>2035</w:t>
      </w:r>
      <w:r>
        <w:rPr>
          <w:rFonts w:hint="eastAsia" w:ascii="BIZ UDPゴシック" w:hAnsi="BIZ UDPゴシック" w:eastAsia="BIZ UDPゴシック"/>
          <w:color w:val="auto"/>
          <w:highlight w:val="none"/>
        </w:rPr>
        <w:t>）年頃までは</w:t>
      </w:r>
      <w:r>
        <w:rPr>
          <w:rFonts w:hint="eastAsia" w:ascii="BIZ UDPゴシック" w:hAnsi="BIZ UDPゴシック" w:eastAsia="BIZ UDPゴシック"/>
          <w:color w:val="auto"/>
          <w:highlight w:val="none"/>
        </w:rPr>
        <w:t>200</w:t>
      </w:r>
      <w:r>
        <w:rPr>
          <w:rFonts w:hint="eastAsia" w:ascii="BIZ UDPゴシック" w:hAnsi="BIZ UDPゴシック" w:eastAsia="BIZ UDPゴシック"/>
          <w:color w:val="auto"/>
          <w:highlight w:val="none"/>
        </w:rPr>
        <w:t>人程度で推移すると見込まれます。</w:t>
      </w:r>
    </w:p>
    <w:p>
      <w:pPr>
        <w:pStyle w:val="34"/>
        <w:numPr>
          <w:ilvl w:val="0"/>
          <w:numId w:val="2"/>
        </w:numPr>
        <w:ind w:left="650" w:leftChars="0" w:hanging="44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要支援・要介護認定率は７圏域の中では最も高くなっていますが、今後、高齢者数の減少に伴い、認定者数も減少する見込みです。</w:t>
      </w:r>
    </w:p>
    <w:p>
      <w:pPr>
        <w:pStyle w:val="34"/>
        <w:numPr>
          <w:ilvl w:val="0"/>
          <w:numId w:val="2"/>
        </w:numPr>
        <w:ind w:left="650" w:leftChars="0" w:hanging="44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山間部に位置しており、介護保険サービス提供事業者が少ない地域ですが、民間事業者による買物支援やＮＰＯ法人の生活・移動支援により生活の支え合いが成り立っています。</w:t>
      </w:r>
    </w:p>
    <w:p>
      <w:pPr>
        <w:pStyle w:val="34"/>
        <w:widowControl w:val="1"/>
        <w:numPr>
          <w:ilvl w:val="0"/>
          <w:numId w:val="2"/>
        </w:numPr>
        <w:spacing w:line="380" w:lineRule="exact"/>
        <w:ind w:left="650" w:leftChars="0" w:hanging="440"/>
        <w:jc w:val="left"/>
        <w:rPr>
          <w:rFonts w:hint="default"/>
          <w:color w:val="auto"/>
          <w:highlight w:val="none"/>
        </w:rPr>
      </w:pPr>
      <w:r>
        <w:rPr>
          <w:rFonts w:hint="eastAsia" w:ascii="BIZ UDPゴシック" w:hAnsi="BIZ UDPゴシック" w:eastAsia="BIZ UDPゴシック"/>
          <w:color w:val="auto"/>
          <w:highlight w:val="none"/>
        </w:rPr>
        <w:t>ニーズ調査の結果では、「ひとり暮らし」、「閉じこもりの傾向がある」、「共食をする頻度が少ない」、「地域における支え合いについて『自分ができることがあれば支え合いの活動をしたい』と回答した人」、「医療体制・相談体制に満足している」の割合が高くなっています。</w:t>
      </w:r>
      <w:r>
        <w:rPr>
          <w:rFonts w:hint="default"/>
          <w:color w:val="auto"/>
          <w:highlight w:val="none"/>
        </w:rPr>
        <w:br w:type="page"/>
      </w:r>
    </w:p>
    <w:p>
      <w:pPr>
        <w:pStyle w:val="0"/>
        <w:jc w:val="center"/>
        <w:rPr>
          <w:rFonts w:hint="default" w:ascii="BIZ UDPゴシック" w:hAnsi="BIZ UDPゴシック" w:eastAsia="BIZ UDPゴシック"/>
          <w:color w:val="auto"/>
          <w:sz w:val="28"/>
          <w:highlight w:val="none"/>
        </w:rPr>
      </w:pPr>
      <w:r>
        <w:rPr>
          <w:rFonts w:hint="eastAsia" w:ascii="BIZ UDPゴシック" w:hAnsi="BIZ UDPゴシック" w:eastAsia="BIZ UDPゴシック"/>
          <w:color w:val="auto"/>
          <w:sz w:val="28"/>
          <w:highlight w:val="none"/>
        </w:rPr>
        <w:t>≪大野圏域≫</w:t>
      </w:r>
    </w:p>
    <w:tbl>
      <w:tblPr>
        <w:tblStyle w:val="81"/>
        <w:tblW w:w="9250" w:type="dxa"/>
        <w:jc w:val="center"/>
        <w:tblInd w:w="0" w:type="dxa"/>
        <w:tblLayout w:type="fixed"/>
        <w:tblLook w:firstRow="1" w:lastRow="0" w:firstColumn="1" w:lastColumn="0" w:noHBand="0" w:noVBand="1" w:val="04A0"/>
      </w:tblPr>
      <w:tblGrid>
        <w:gridCol w:w="1850"/>
        <w:gridCol w:w="1850"/>
        <w:gridCol w:w="1850"/>
        <w:gridCol w:w="1850"/>
        <w:gridCol w:w="1850"/>
      </w:tblGrid>
      <w:tr>
        <w:trPr>
          <w:trHeight w:val="1191" w:hRule="atLeast"/>
        </w:trPr>
        <w:tc>
          <w:tcPr>
            <w:tcW w:w="1850" w:type="dxa"/>
            <w:shd w:val="clear" w:color="auto" w:themeFill="accent5" w:themeFillTint="66" w:themeFillShade="FF"/>
            <w:vAlign w:val="center"/>
          </w:tcPr>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総人口</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8"/>
                <w:highlight w:val="none"/>
              </w:rPr>
              <w:t>（Ｒ</w:t>
            </w:r>
            <w:r>
              <w:rPr>
                <w:rFonts w:hint="eastAsia" w:ascii="BIZ UDPゴシック" w:hAnsi="BIZ UDPゴシック" w:eastAsia="BIZ UDPゴシック"/>
                <w:color w:val="auto"/>
                <w:sz w:val="18"/>
                <w:highlight w:val="none"/>
              </w:rPr>
              <w:t>5.9</w:t>
            </w:r>
            <w:r>
              <w:rPr>
                <w:rFonts w:hint="eastAsia" w:ascii="BIZ UDPゴシック" w:hAnsi="BIZ UDPゴシック" w:eastAsia="BIZ UDPゴシック"/>
                <w:color w:val="auto"/>
                <w:sz w:val="18"/>
                <w:highlight w:val="none"/>
              </w:rPr>
              <w:t>月末現在）</w:t>
            </w:r>
          </w:p>
        </w:tc>
        <w:tc>
          <w:tcPr>
            <w:tcW w:w="1850" w:type="dxa"/>
            <w:shd w:val="clear" w:color="auto" w:themeFill="accent5" w:themeFillTint="66" w:themeFillShade="FF"/>
            <w:vAlign w:val="center"/>
          </w:tcPr>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高齢者数</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高齢化率</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6"/>
                <w:highlight w:val="none"/>
              </w:rPr>
              <w:t>（Ｒ</w:t>
            </w:r>
            <w:r>
              <w:rPr>
                <w:rFonts w:hint="eastAsia" w:ascii="BIZ UDPゴシック" w:hAnsi="BIZ UDPゴシック" w:eastAsia="BIZ UDPゴシック"/>
                <w:color w:val="auto"/>
                <w:sz w:val="16"/>
                <w:highlight w:val="none"/>
              </w:rPr>
              <w:t>5.9</w:t>
            </w:r>
            <w:r>
              <w:rPr>
                <w:rFonts w:hint="eastAsia" w:ascii="BIZ UDPゴシック" w:hAnsi="BIZ UDPゴシック" w:eastAsia="BIZ UDPゴシック"/>
                <w:color w:val="auto"/>
                <w:sz w:val="16"/>
                <w:highlight w:val="none"/>
              </w:rPr>
              <w:t>月末現在）</w:t>
            </w:r>
          </w:p>
        </w:tc>
        <w:tc>
          <w:tcPr>
            <w:tcW w:w="1850" w:type="dxa"/>
            <w:shd w:val="clear" w:color="auto" w:themeFill="accent5" w:themeFillTint="66" w:themeFillShade="FF"/>
            <w:vAlign w:val="center"/>
          </w:tcPr>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後期高齢者数</w:t>
            </w:r>
          </w:p>
          <w:p>
            <w:pPr>
              <w:pStyle w:val="0"/>
              <w:ind w:left="-110" w:leftChars="-50" w:right="-110" w:rightChars="-50"/>
              <w:jc w:val="center"/>
              <w:rPr>
                <w:rFonts w:hint="default" w:ascii="BIZ UDPゴシック" w:hAnsi="BIZ UDPゴシック" w:eastAsia="BIZ UDPゴシック"/>
                <w:color w:val="auto"/>
                <w:sz w:val="20"/>
                <w:highlight w:val="none"/>
              </w:rPr>
            </w:pPr>
            <w:r>
              <w:rPr>
                <w:rFonts w:hint="eastAsia" w:ascii="BIZ UDPゴシック" w:hAnsi="BIZ UDPゴシック" w:eastAsia="BIZ UDPゴシック"/>
                <w:color w:val="auto"/>
                <w:sz w:val="20"/>
                <w:highlight w:val="none"/>
              </w:rPr>
              <w:t>後期高齢者数割合</w:t>
            </w:r>
          </w:p>
          <w:p>
            <w:pPr>
              <w:pStyle w:val="0"/>
              <w:jc w:val="center"/>
              <w:rPr>
                <w:rFonts w:hint="default" w:ascii="BIZ UDPゴシック" w:hAnsi="BIZ UDPゴシック" w:eastAsia="BIZ UDPゴシック"/>
                <w:color w:val="auto"/>
                <w:sz w:val="16"/>
                <w:highlight w:val="none"/>
              </w:rPr>
            </w:pPr>
            <w:r>
              <w:rPr>
                <w:rFonts w:hint="eastAsia" w:ascii="BIZ UDPゴシック" w:hAnsi="BIZ UDPゴシック" w:eastAsia="BIZ UDPゴシック"/>
                <w:color w:val="auto"/>
                <w:sz w:val="16"/>
                <w:highlight w:val="none"/>
              </w:rPr>
              <w:t>（Ｒ</w:t>
            </w:r>
            <w:r>
              <w:rPr>
                <w:rFonts w:hint="eastAsia" w:ascii="BIZ UDPゴシック" w:hAnsi="BIZ UDPゴシック" w:eastAsia="BIZ UDPゴシック"/>
                <w:color w:val="auto"/>
                <w:sz w:val="16"/>
                <w:highlight w:val="none"/>
              </w:rPr>
              <w:t>5.9</w:t>
            </w:r>
            <w:r>
              <w:rPr>
                <w:rFonts w:hint="eastAsia" w:ascii="BIZ UDPゴシック" w:hAnsi="BIZ UDPゴシック" w:eastAsia="BIZ UDPゴシック"/>
                <w:color w:val="auto"/>
                <w:sz w:val="16"/>
                <w:highlight w:val="none"/>
              </w:rPr>
              <w:t>月末現在）</w:t>
            </w:r>
          </w:p>
        </w:tc>
        <w:tc>
          <w:tcPr>
            <w:tcW w:w="1850" w:type="dxa"/>
            <w:shd w:val="clear" w:color="auto" w:themeFill="accent5" w:themeFillTint="66" w:themeFillShade="FF"/>
            <w:vAlign w:val="center"/>
          </w:tcPr>
          <w:p>
            <w:pPr>
              <w:pStyle w:val="0"/>
              <w:spacing w:line="220" w:lineRule="exact"/>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要支援・要介護</w:t>
            </w:r>
          </w:p>
          <w:p>
            <w:pPr>
              <w:pStyle w:val="0"/>
              <w:spacing w:line="220" w:lineRule="exact"/>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認定者数</w:t>
            </w:r>
          </w:p>
          <w:p>
            <w:pPr>
              <w:pStyle w:val="0"/>
              <w:spacing w:line="220" w:lineRule="exact"/>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認定率</w:t>
            </w:r>
          </w:p>
          <w:p>
            <w:pPr>
              <w:pStyle w:val="0"/>
              <w:jc w:val="center"/>
              <w:rPr>
                <w:rFonts w:hint="default" w:ascii="BIZ UDPゴシック" w:hAnsi="BIZ UDPゴシック" w:eastAsia="BIZ UDPゴシック"/>
                <w:color w:val="auto"/>
                <w:sz w:val="16"/>
                <w:highlight w:val="none"/>
              </w:rPr>
            </w:pPr>
            <w:r>
              <w:rPr>
                <w:rFonts w:hint="eastAsia" w:ascii="BIZ UDPゴシック" w:hAnsi="BIZ UDPゴシック" w:eastAsia="BIZ UDPゴシック"/>
                <w:color w:val="auto"/>
                <w:sz w:val="16"/>
                <w:highlight w:val="none"/>
              </w:rPr>
              <w:t>（第</w:t>
            </w:r>
            <w:r>
              <w:rPr>
                <w:rFonts w:hint="eastAsia" w:ascii="BIZ UDPゴシック" w:hAnsi="BIZ UDPゴシック" w:eastAsia="BIZ UDPゴシック"/>
                <w:color w:val="auto"/>
                <w:sz w:val="16"/>
                <w:highlight w:val="none"/>
              </w:rPr>
              <w:t>1</w:t>
            </w:r>
            <w:r>
              <w:rPr>
                <w:rFonts w:hint="eastAsia" w:ascii="BIZ UDPゴシック" w:hAnsi="BIZ UDPゴシック" w:eastAsia="BIZ UDPゴシック"/>
                <w:color w:val="auto"/>
                <w:sz w:val="16"/>
                <w:highlight w:val="none"/>
              </w:rPr>
              <w:t>号被保険者）</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6"/>
                <w:highlight w:val="none"/>
              </w:rPr>
              <w:t>（Ｒ</w:t>
            </w:r>
            <w:r>
              <w:rPr>
                <w:rFonts w:hint="eastAsia" w:ascii="BIZ UDPゴシック" w:hAnsi="BIZ UDPゴシック" w:eastAsia="BIZ UDPゴシック"/>
                <w:color w:val="auto"/>
                <w:sz w:val="16"/>
                <w:highlight w:val="none"/>
              </w:rPr>
              <w:t>5.9</w:t>
            </w:r>
            <w:r>
              <w:rPr>
                <w:rFonts w:hint="eastAsia" w:ascii="BIZ UDPゴシック" w:hAnsi="BIZ UDPゴシック" w:eastAsia="BIZ UDPゴシック"/>
                <w:color w:val="auto"/>
                <w:sz w:val="16"/>
                <w:highlight w:val="none"/>
              </w:rPr>
              <w:t>月末現在）</w:t>
            </w:r>
          </w:p>
        </w:tc>
        <w:tc>
          <w:tcPr>
            <w:tcW w:w="1850" w:type="dxa"/>
            <w:shd w:val="clear" w:color="auto" w:themeFill="accent5" w:themeFillTint="66" w:themeFillShade="FF"/>
            <w:vAlign w:val="center"/>
          </w:tcPr>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認知症高齢者数</w:t>
            </w:r>
          </w:p>
          <w:p>
            <w:pPr>
              <w:pStyle w:val="0"/>
              <w:ind w:left="-110" w:leftChars="-50" w:right="-110" w:rightChars="-50"/>
              <w:jc w:val="center"/>
              <w:rPr>
                <w:rFonts w:hint="default" w:ascii="BIZ UDPゴシック" w:hAnsi="BIZ UDPゴシック" w:eastAsia="BIZ UDPゴシック"/>
                <w:color w:val="auto"/>
                <w:sz w:val="18"/>
                <w:highlight w:val="none"/>
              </w:rPr>
            </w:pPr>
            <w:r>
              <w:rPr>
                <w:rFonts w:hint="eastAsia" w:ascii="BIZ UDPゴシック" w:hAnsi="BIZ UDPゴシック" w:eastAsia="BIZ UDPゴシック"/>
                <w:color w:val="auto"/>
                <w:sz w:val="18"/>
                <w:highlight w:val="none"/>
              </w:rPr>
              <w:t>高齢者数に占める割合</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6"/>
                <w:highlight w:val="none"/>
              </w:rPr>
              <w:t>（Ｒ</w:t>
            </w:r>
            <w:r>
              <w:rPr>
                <w:rFonts w:hint="eastAsia" w:ascii="BIZ UDPゴシック" w:hAnsi="BIZ UDPゴシック" w:eastAsia="BIZ UDPゴシック"/>
                <w:color w:val="auto"/>
                <w:sz w:val="16"/>
                <w:highlight w:val="none"/>
              </w:rPr>
              <w:t>5.9</w:t>
            </w:r>
            <w:r>
              <w:rPr>
                <w:rFonts w:hint="eastAsia" w:ascii="BIZ UDPゴシック" w:hAnsi="BIZ UDPゴシック" w:eastAsia="BIZ UDPゴシック"/>
                <w:color w:val="auto"/>
                <w:sz w:val="16"/>
                <w:highlight w:val="none"/>
              </w:rPr>
              <w:t>月末現在）</w:t>
            </w:r>
          </w:p>
        </w:tc>
      </w:tr>
      <w:tr>
        <w:trPr>
          <w:trHeight w:val="680" w:hRule="atLeast"/>
        </w:trPr>
        <w:tc>
          <w:tcPr>
            <w:tcW w:w="1850" w:type="dxa"/>
            <w:vAlign w:val="center"/>
          </w:tcPr>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29,</w:t>
            </w:r>
            <w:r>
              <w:rPr>
                <w:rFonts w:hint="eastAsia" w:ascii="BIZ UDPゴシック" w:hAnsi="BIZ UDPゴシック" w:eastAsia="BIZ UDPゴシック"/>
                <w:color w:val="auto"/>
                <w:sz w:val="21"/>
                <w:highlight w:val="none"/>
              </w:rPr>
              <w:t>421</w:t>
            </w:r>
            <w:r>
              <w:rPr>
                <w:rFonts w:hint="eastAsia" w:ascii="BIZ UDPゴシック" w:hAnsi="BIZ UDPゴシック" w:eastAsia="BIZ UDPゴシック"/>
                <w:color w:val="auto"/>
                <w:sz w:val="21"/>
                <w:highlight w:val="none"/>
              </w:rPr>
              <w:t>人</w:t>
            </w:r>
          </w:p>
        </w:tc>
        <w:tc>
          <w:tcPr>
            <w:tcW w:w="1850" w:type="dxa"/>
            <w:vAlign w:val="center"/>
          </w:tcPr>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8,9</w:t>
            </w:r>
            <w:r>
              <w:rPr>
                <w:rFonts w:hint="eastAsia" w:ascii="BIZ UDPゴシック" w:hAnsi="BIZ UDPゴシック" w:eastAsia="BIZ UDPゴシック"/>
                <w:color w:val="auto"/>
                <w:sz w:val="21"/>
                <w:highlight w:val="none"/>
              </w:rPr>
              <w:t>90</w:t>
            </w:r>
            <w:r>
              <w:rPr>
                <w:rFonts w:hint="eastAsia" w:ascii="BIZ UDPゴシック" w:hAnsi="BIZ UDPゴシック" w:eastAsia="BIZ UDPゴシック"/>
                <w:color w:val="auto"/>
                <w:sz w:val="21"/>
                <w:highlight w:val="none"/>
              </w:rPr>
              <w:t>人</w:t>
            </w:r>
          </w:p>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30.</w:t>
            </w:r>
            <w:r>
              <w:rPr>
                <w:rFonts w:hint="eastAsia" w:ascii="BIZ UDPゴシック" w:hAnsi="BIZ UDPゴシック" w:eastAsia="BIZ UDPゴシック"/>
                <w:color w:val="auto"/>
                <w:sz w:val="21"/>
                <w:highlight w:val="none"/>
              </w:rPr>
              <w:t>6</w:t>
            </w:r>
            <w:r>
              <w:rPr>
                <w:rFonts w:hint="eastAsia" w:ascii="BIZ UDPゴシック" w:hAnsi="BIZ UDPゴシック" w:eastAsia="BIZ UDPゴシック"/>
                <w:color w:val="auto"/>
                <w:sz w:val="21"/>
                <w:highlight w:val="none"/>
              </w:rPr>
              <w:t>％</w:t>
            </w:r>
          </w:p>
        </w:tc>
        <w:tc>
          <w:tcPr>
            <w:tcW w:w="1850" w:type="dxa"/>
            <w:vAlign w:val="center"/>
          </w:tcPr>
          <w:p>
            <w:pPr>
              <w:pStyle w:val="0"/>
              <w:jc w:val="righ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5</w:t>
            </w:r>
            <w:r>
              <w:rPr>
                <w:rFonts w:hint="default" w:ascii="BIZ UDPゴシック" w:hAnsi="BIZ UDPゴシック" w:eastAsia="BIZ UDPゴシック"/>
                <w:color w:val="auto"/>
                <w:sz w:val="21"/>
                <w:highlight w:val="none"/>
              </w:rPr>
              <w:t>,</w:t>
            </w:r>
            <w:r>
              <w:rPr>
                <w:rFonts w:hint="eastAsia" w:ascii="BIZ UDPゴシック" w:hAnsi="BIZ UDPゴシック" w:eastAsia="BIZ UDPゴシック"/>
                <w:color w:val="auto"/>
                <w:sz w:val="21"/>
                <w:highlight w:val="none"/>
              </w:rPr>
              <w:t>118</w:t>
            </w:r>
            <w:r>
              <w:rPr>
                <w:rFonts w:hint="eastAsia" w:ascii="BIZ UDPゴシック" w:hAnsi="BIZ UDPゴシック" w:eastAsia="BIZ UDPゴシック"/>
                <w:color w:val="auto"/>
                <w:sz w:val="21"/>
                <w:highlight w:val="none"/>
              </w:rPr>
              <w:t>人</w:t>
            </w:r>
          </w:p>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1</w:t>
            </w:r>
            <w:r>
              <w:rPr>
                <w:rFonts w:hint="eastAsia" w:ascii="BIZ UDPゴシック" w:hAnsi="BIZ UDPゴシック" w:eastAsia="BIZ UDPゴシック"/>
                <w:color w:val="auto"/>
                <w:sz w:val="21"/>
                <w:highlight w:val="none"/>
              </w:rPr>
              <w:t>7.4</w:t>
            </w:r>
            <w:r>
              <w:rPr>
                <w:rFonts w:hint="eastAsia" w:ascii="BIZ UDPゴシック" w:hAnsi="BIZ UDPゴシック" w:eastAsia="BIZ UDPゴシック"/>
                <w:color w:val="auto"/>
                <w:sz w:val="21"/>
                <w:highlight w:val="none"/>
              </w:rPr>
              <w:t>％</w:t>
            </w:r>
          </w:p>
        </w:tc>
        <w:tc>
          <w:tcPr>
            <w:tcW w:w="1850" w:type="dxa"/>
            <w:vAlign w:val="center"/>
          </w:tcPr>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1,6</w:t>
            </w:r>
            <w:r>
              <w:rPr>
                <w:rFonts w:hint="eastAsia" w:ascii="BIZ UDPゴシック" w:hAnsi="BIZ UDPゴシック" w:eastAsia="BIZ UDPゴシック"/>
                <w:color w:val="auto"/>
                <w:sz w:val="21"/>
                <w:highlight w:val="none"/>
              </w:rPr>
              <w:t>55</w:t>
            </w:r>
            <w:r>
              <w:rPr>
                <w:rFonts w:hint="eastAsia" w:ascii="BIZ UDPゴシック" w:hAnsi="BIZ UDPゴシック" w:eastAsia="BIZ UDPゴシック"/>
                <w:color w:val="auto"/>
                <w:sz w:val="21"/>
                <w:highlight w:val="none"/>
              </w:rPr>
              <w:t>人</w:t>
            </w:r>
          </w:p>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18.</w:t>
            </w:r>
            <w:r>
              <w:rPr>
                <w:rFonts w:hint="eastAsia" w:ascii="BIZ UDPゴシック" w:hAnsi="BIZ UDPゴシック" w:eastAsia="BIZ UDPゴシック"/>
                <w:color w:val="auto"/>
                <w:sz w:val="21"/>
                <w:highlight w:val="none"/>
              </w:rPr>
              <w:t>4</w:t>
            </w:r>
            <w:r>
              <w:rPr>
                <w:rFonts w:hint="eastAsia" w:ascii="BIZ UDPゴシック" w:hAnsi="BIZ UDPゴシック" w:eastAsia="BIZ UDPゴシック"/>
                <w:color w:val="auto"/>
                <w:sz w:val="21"/>
                <w:highlight w:val="none"/>
              </w:rPr>
              <w:t>％</w:t>
            </w:r>
          </w:p>
        </w:tc>
        <w:tc>
          <w:tcPr>
            <w:tcW w:w="1850" w:type="dxa"/>
            <w:vAlign w:val="center"/>
          </w:tcPr>
          <w:p>
            <w:pPr>
              <w:pStyle w:val="0"/>
              <w:jc w:val="righ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1,042</w:t>
            </w:r>
            <w:r>
              <w:rPr>
                <w:rFonts w:hint="eastAsia" w:ascii="BIZ UDPゴシック" w:hAnsi="BIZ UDPゴシック" w:eastAsia="BIZ UDPゴシック"/>
                <w:color w:val="auto"/>
                <w:sz w:val="21"/>
                <w:highlight w:val="none"/>
              </w:rPr>
              <w:t>人</w:t>
            </w:r>
          </w:p>
          <w:p>
            <w:pPr>
              <w:pStyle w:val="0"/>
              <w:jc w:val="righ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11.6</w:t>
            </w:r>
            <w:r>
              <w:rPr>
                <w:rFonts w:hint="eastAsia" w:ascii="BIZ UDPゴシック" w:hAnsi="BIZ UDPゴシック" w:eastAsia="BIZ UDPゴシック"/>
                <w:color w:val="auto"/>
                <w:sz w:val="21"/>
                <w:highlight w:val="none"/>
              </w:rPr>
              <w:t>％</w:t>
            </w:r>
          </w:p>
        </w:tc>
      </w:tr>
    </w:tbl>
    <w:tbl>
      <w:tblPr>
        <w:tblStyle w:val="90"/>
        <w:tblpPr w:leftFromText="142" w:rightFromText="142" w:topFromText="0" w:bottomFromText="0" w:vertAnchor="text" w:horzAnchor="text" w:tblpX="3239" w:tblpY="119"/>
        <w:tblW w:w="0" w:type="auto"/>
        <w:tblLayout w:type="fixed"/>
        <w:tblLook w:firstRow="1" w:lastRow="0" w:firstColumn="1" w:lastColumn="0" w:noHBand="0" w:noVBand="1" w:val="04A0"/>
      </w:tblPr>
      <w:tblGrid>
        <w:gridCol w:w="1815"/>
        <w:gridCol w:w="4077"/>
      </w:tblGrid>
      <w:tr>
        <w:trPr/>
        <w:tc>
          <w:tcPr>
            <w:tcW w:w="181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小学校</w:t>
            </w:r>
          </w:p>
        </w:tc>
        <w:tc>
          <w:tcPr>
            <w:tcW w:w="4077"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大野東、大野西</w:t>
            </w:r>
          </w:p>
        </w:tc>
      </w:tr>
      <w:tr>
        <w:trPr/>
        <w:tc>
          <w:tcPr>
            <w:tcW w:w="181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中学校</w:t>
            </w:r>
          </w:p>
        </w:tc>
        <w:tc>
          <w:tcPr>
            <w:tcW w:w="4077"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大野東、大野</w:t>
            </w:r>
          </w:p>
        </w:tc>
      </w:tr>
      <w:tr>
        <w:trPr/>
        <w:tc>
          <w:tcPr>
            <w:tcW w:w="181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交通機関</w:t>
            </w:r>
          </w:p>
        </w:tc>
        <w:tc>
          <w:tcPr>
            <w:tcW w:w="4077"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鉄道：ＪＲ山陽線、広島電鉄宮島線</w:t>
            </w:r>
          </w:p>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バス：おおのハートバス、大竹・栗谷線（大竹市）</w:t>
            </w:r>
          </w:p>
        </w:tc>
      </w:tr>
      <w:tr>
        <w:trPr/>
        <w:tc>
          <w:tcPr>
            <w:tcW w:w="181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市営住宅</w:t>
            </w:r>
          </w:p>
        </w:tc>
        <w:tc>
          <w:tcPr>
            <w:tcW w:w="4077"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物見山、梅原、水之越</w:t>
            </w:r>
          </w:p>
        </w:tc>
      </w:tr>
      <w:tr>
        <w:trPr/>
        <w:tc>
          <w:tcPr>
            <w:tcW w:w="181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市民センター等</w:t>
            </w:r>
          </w:p>
        </w:tc>
        <w:tc>
          <w:tcPr>
            <w:tcW w:w="4077"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大野東、大野西</w:t>
            </w:r>
          </w:p>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フジタ</w:t>
            </w:r>
            <w:r>
              <w:rPr>
                <w:rFonts w:hint="eastAsia" w:ascii="BIZ UDPゴシック" w:hAnsi="BIZ UDPゴシック" w:eastAsia="BIZ UDPゴシック"/>
                <w:color w:val="auto"/>
                <w:sz w:val="21"/>
                <w:highlight w:val="none"/>
              </w:rPr>
              <w:t xml:space="preserve"> </w:t>
            </w:r>
            <w:r>
              <w:rPr>
                <w:rFonts w:hint="eastAsia" w:ascii="BIZ UDPゴシック" w:hAnsi="BIZ UDPゴシック" w:eastAsia="BIZ UDPゴシック"/>
                <w:color w:val="auto"/>
                <w:sz w:val="21"/>
                <w:highlight w:val="none"/>
              </w:rPr>
              <w:t>スクエアまるくる大野</w:t>
            </w:r>
          </w:p>
        </w:tc>
      </w:tr>
      <w:tr>
        <w:trPr/>
        <w:tc>
          <w:tcPr>
            <w:tcW w:w="181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集会所</w:t>
            </w:r>
          </w:p>
        </w:tc>
        <w:tc>
          <w:tcPr>
            <w:tcW w:w="4077"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柿の浦、福面、青葉台、赤崎、２区、対厳山、更地、中山、３区、早時、早時第２、４区、宮島台、物見山東、コミュニティセンター（５区）、６区、上の浜、７区、梅原、８区、沖塩屋、９区、１０区</w:t>
            </w:r>
          </w:p>
        </w:tc>
      </w:tr>
      <w:tr>
        <w:trPr>
          <w:trHeight w:val="636" w:hRule="atLeast"/>
        </w:trPr>
        <w:tc>
          <w:tcPr>
            <w:tcW w:w="181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その他</w:t>
            </w:r>
          </w:p>
        </w:tc>
        <w:tc>
          <w:tcPr>
            <w:tcW w:w="4077"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はつかいち市民おおの図書館、県立宮島工業高校、</w:t>
            </w:r>
            <w:r>
              <w:rPr>
                <w:rFonts w:hint="eastAsia" w:ascii="BIZ UDPゴシック" w:hAnsi="BIZ UDPゴシック" w:eastAsia="BIZ UDPゴシック"/>
                <w:color w:val="auto"/>
                <w:sz w:val="21"/>
                <w:highlight w:val="none"/>
              </w:rPr>
              <w:t>etto</w:t>
            </w:r>
            <w:r>
              <w:rPr>
                <w:rFonts w:hint="eastAsia" w:ascii="BIZ UDPゴシック" w:hAnsi="BIZ UDPゴシック" w:eastAsia="BIZ UDPゴシック"/>
                <w:color w:val="auto"/>
                <w:sz w:val="21"/>
                <w:highlight w:val="none"/>
              </w:rPr>
              <w:t>、まちの駅ＡＤＯＡ</w:t>
            </w:r>
          </w:p>
        </w:tc>
      </w:tr>
    </w:tbl>
    <w:p>
      <w:pPr>
        <w:pStyle w:val="0"/>
        <w:rPr>
          <w:rFonts w:hint="default" w:ascii="BIZ UDPゴシック" w:hAnsi="BIZ UDPゴシック" w:eastAsia="BIZ UDPゴシック"/>
          <w:color w:val="auto"/>
          <w:highlight w:val="none"/>
        </w:rPr>
      </w:pPr>
      <w:r>
        <w:rPr>
          <w:rFonts w:hint="eastAsia"/>
          <w:color w:val="auto"/>
          <w:highlight w:val="none"/>
        </w:rPr>
        <w:drawing>
          <wp:anchor distT="0" distB="0" distL="203200" distR="203200" simplePos="0" relativeHeight="107" behindDoc="0" locked="0" layoutInCell="1" hidden="0" allowOverlap="1">
            <wp:simplePos x="0" y="0"/>
            <wp:positionH relativeFrom="column">
              <wp:posOffset>-67310</wp:posOffset>
            </wp:positionH>
            <wp:positionV relativeFrom="page">
              <wp:posOffset>2635885</wp:posOffset>
            </wp:positionV>
            <wp:extent cx="1921510" cy="2278380"/>
            <wp:effectExtent l="0" t="0" r="0" b="0"/>
            <wp:wrapNone/>
            <wp:docPr id="1096" name="オブジェクト 0"/>
            <a:graphic xmlns:a="http://schemas.openxmlformats.org/drawingml/2006/main">
              <a:graphicData uri="http://schemas.openxmlformats.org/drawingml/2006/picture">
                <pic:pic xmlns:pic="http://schemas.openxmlformats.org/drawingml/2006/picture">
                  <pic:nvPicPr>
                    <pic:cNvPr id="1096" name="オブジェクト 0"/>
                    <pic:cNvPicPr>
                      <a:picLocks noChangeAspect="1"/>
                    </pic:cNvPicPr>
                  </pic:nvPicPr>
                  <pic:blipFill>
                    <a:blip r:embed="rId40"/>
                    <a:stretch>
                      <a:fillRect/>
                    </a:stretch>
                  </pic:blipFill>
                  <pic:spPr>
                    <a:xfrm>
                      <a:off x="0" y="0"/>
                      <a:ext cx="1921510" cy="2278380"/>
                    </a:xfrm>
                    <a:prstGeom prst="rect">
                      <a:avLst/>
                    </a:prstGeom>
                  </pic:spPr>
                </pic:pic>
              </a:graphicData>
            </a:graphic>
          </wp:anchor>
        </w:drawing>
      </w:r>
      <w:r>
        <w:rPr>
          <w:rFonts w:hint="eastAsia" w:ascii="BIZ UDPゴシック" w:hAnsi="BIZ UDPゴシック" w:eastAsia="BIZ UDPゴシック"/>
          <w:color w:val="auto"/>
          <w:highlight w:val="none"/>
        </w:rPr>
        <w:t>〔地理的特徴〕</w:t>
      </w: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ind w:firstLine="3300" w:firstLineChars="150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〔地域資源〕</w:t>
      </w:r>
    </w:p>
    <w:tbl>
      <w:tblPr>
        <w:tblStyle w:val="81"/>
        <w:tblW w:w="9180" w:type="dxa"/>
        <w:tblInd w:w="0" w:type="dxa"/>
        <w:tblLayout w:type="fixed"/>
        <w:tblLook w:firstRow="1" w:lastRow="0" w:firstColumn="1" w:lastColumn="0" w:noHBand="0" w:noVBand="1" w:val="04A0"/>
      </w:tblPr>
      <w:tblGrid>
        <w:gridCol w:w="2515"/>
        <w:gridCol w:w="525"/>
        <w:gridCol w:w="2520"/>
        <w:gridCol w:w="560"/>
        <w:gridCol w:w="2493"/>
        <w:gridCol w:w="567"/>
      </w:tblGrid>
      <w:tr>
        <w:trPr/>
        <w:tc>
          <w:tcPr>
            <w:tcW w:w="9180" w:type="dxa"/>
            <w:gridSpan w:val="6"/>
            <w:shd w:val="clear" w:color="auto" w:fill="0070C0"/>
            <w:vAlign w:val="top"/>
          </w:tcPr>
          <w:p>
            <w:pPr>
              <w:pStyle w:val="0"/>
              <w:jc w:val="center"/>
              <w:rPr>
                <w:rFonts w:hint="default"/>
                <w:color w:val="auto"/>
                <w:sz w:val="20"/>
                <w:highlight w:val="none"/>
              </w:rPr>
            </w:pPr>
            <w:r>
              <w:rPr>
                <w:rFonts w:hint="eastAsia"/>
                <w:color w:val="auto"/>
                <w:sz w:val="20"/>
                <w:highlight w:val="none"/>
              </w:rPr>
              <w:t>生活関連（令和</w:t>
            </w:r>
            <w:r>
              <w:rPr>
                <w:rFonts w:hint="eastAsia"/>
                <w:color w:val="auto"/>
                <w:sz w:val="20"/>
                <w:highlight w:val="none"/>
              </w:rPr>
              <w:t>5</w:t>
            </w:r>
            <w:r>
              <w:rPr>
                <w:rFonts w:hint="eastAsia"/>
                <w:color w:val="auto"/>
                <w:sz w:val="20"/>
                <w:highlight w:val="none"/>
              </w:rPr>
              <w:t>年</w:t>
            </w:r>
            <w:r>
              <w:rPr>
                <w:rFonts w:hint="eastAsia"/>
                <w:color w:val="auto"/>
                <w:sz w:val="20"/>
                <w:highlight w:val="none"/>
              </w:rPr>
              <w:t>8</w:t>
            </w:r>
            <w:r>
              <w:rPr>
                <w:rFonts w:hint="eastAsia"/>
                <w:color w:val="auto"/>
                <w:sz w:val="20"/>
                <w:highlight w:val="none"/>
              </w:rPr>
              <w:t>月末現在）</w:t>
            </w:r>
          </w:p>
        </w:tc>
      </w:tr>
      <w:tr>
        <w:trPr/>
        <w:tc>
          <w:tcPr>
            <w:tcW w:w="2515" w:type="dxa"/>
            <w:vAlign w:val="top"/>
          </w:tcPr>
          <w:p>
            <w:pPr>
              <w:pStyle w:val="0"/>
              <w:rPr>
                <w:rFonts w:hint="default"/>
                <w:color w:val="auto"/>
                <w:sz w:val="20"/>
                <w:highlight w:val="none"/>
              </w:rPr>
            </w:pPr>
            <w:r>
              <w:rPr>
                <w:rFonts w:hint="eastAsia"/>
                <w:color w:val="auto"/>
                <w:sz w:val="20"/>
                <w:highlight w:val="none"/>
              </w:rPr>
              <w:t>地域包括支援センター</w:t>
            </w:r>
          </w:p>
        </w:tc>
        <w:tc>
          <w:tcPr>
            <w:tcW w:w="525" w:type="dxa"/>
            <w:vAlign w:val="top"/>
          </w:tcPr>
          <w:p>
            <w:pPr>
              <w:pStyle w:val="0"/>
              <w:jc w:val="right"/>
              <w:rPr>
                <w:rFonts w:hint="default"/>
                <w:color w:val="auto"/>
                <w:sz w:val="20"/>
                <w:highlight w:val="none"/>
              </w:rPr>
            </w:pPr>
            <w:r>
              <w:rPr>
                <w:rFonts w:hint="eastAsia"/>
                <w:color w:val="auto"/>
                <w:sz w:val="20"/>
                <w:highlight w:val="none"/>
              </w:rPr>
              <w:t>1</w:t>
            </w:r>
          </w:p>
        </w:tc>
        <w:tc>
          <w:tcPr>
            <w:tcW w:w="2520" w:type="dxa"/>
            <w:vAlign w:val="top"/>
          </w:tcPr>
          <w:p>
            <w:pPr>
              <w:pStyle w:val="0"/>
              <w:rPr>
                <w:rFonts w:hint="default"/>
                <w:color w:val="auto"/>
                <w:sz w:val="20"/>
                <w:highlight w:val="none"/>
              </w:rPr>
            </w:pPr>
            <w:r>
              <w:rPr>
                <w:rFonts w:hint="eastAsia"/>
                <w:color w:val="auto"/>
                <w:sz w:val="20"/>
                <w:highlight w:val="none"/>
              </w:rPr>
              <w:t>認知症の人と家族の会</w:t>
            </w:r>
          </w:p>
        </w:tc>
        <w:tc>
          <w:tcPr>
            <w:tcW w:w="560" w:type="dxa"/>
            <w:vAlign w:val="top"/>
          </w:tcPr>
          <w:p>
            <w:pPr>
              <w:pStyle w:val="0"/>
              <w:jc w:val="right"/>
              <w:rPr>
                <w:rFonts w:hint="default"/>
                <w:color w:val="auto"/>
                <w:sz w:val="20"/>
                <w:highlight w:val="none"/>
              </w:rPr>
            </w:pPr>
            <w:r>
              <w:rPr>
                <w:rFonts w:hint="eastAsia"/>
                <w:color w:val="auto"/>
                <w:sz w:val="20"/>
                <w:highlight w:val="none"/>
              </w:rPr>
              <w:t>1</w:t>
            </w:r>
          </w:p>
        </w:tc>
        <w:tc>
          <w:tcPr>
            <w:tcW w:w="2493" w:type="dxa"/>
            <w:vAlign w:val="top"/>
          </w:tcPr>
          <w:p>
            <w:pPr>
              <w:pStyle w:val="0"/>
              <w:rPr>
                <w:rFonts w:hint="default"/>
                <w:color w:val="auto"/>
                <w:sz w:val="20"/>
                <w:highlight w:val="none"/>
              </w:rPr>
            </w:pPr>
            <w:r>
              <w:rPr>
                <w:rFonts w:hint="eastAsia"/>
                <w:color w:val="auto"/>
                <w:sz w:val="20"/>
                <w:highlight w:val="none"/>
              </w:rPr>
              <w:t>シルバー人材センター</w:t>
            </w:r>
          </w:p>
        </w:tc>
        <w:tc>
          <w:tcPr>
            <w:tcW w:w="567" w:type="dxa"/>
            <w:vAlign w:val="top"/>
          </w:tcPr>
          <w:p>
            <w:pPr>
              <w:pStyle w:val="0"/>
              <w:jc w:val="right"/>
              <w:rPr>
                <w:rFonts w:hint="default"/>
                <w:color w:val="auto"/>
                <w:sz w:val="20"/>
                <w:highlight w:val="none"/>
              </w:rPr>
            </w:pPr>
            <w:r>
              <w:rPr>
                <w:rFonts w:hint="eastAsia"/>
                <w:color w:val="auto"/>
                <w:sz w:val="20"/>
                <w:highlight w:val="none"/>
              </w:rPr>
              <w:t>1</w:t>
            </w:r>
          </w:p>
        </w:tc>
      </w:tr>
      <w:tr>
        <w:trPr/>
        <w:tc>
          <w:tcPr>
            <w:tcW w:w="2515" w:type="dxa"/>
            <w:vAlign w:val="top"/>
          </w:tcPr>
          <w:p>
            <w:pPr>
              <w:pStyle w:val="0"/>
              <w:rPr>
                <w:rFonts w:hint="default"/>
                <w:color w:val="auto"/>
                <w:sz w:val="20"/>
                <w:highlight w:val="none"/>
              </w:rPr>
            </w:pPr>
            <w:r>
              <w:rPr>
                <w:rFonts w:hint="eastAsia"/>
                <w:color w:val="auto"/>
                <w:sz w:val="20"/>
                <w:highlight w:val="none"/>
              </w:rPr>
              <w:t>区（コミュニティ）</w:t>
            </w:r>
          </w:p>
        </w:tc>
        <w:tc>
          <w:tcPr>
            <w:tcW w:w="525" w:type="dxa"/>
            <w:vAlign w:val="top"/>
          </w:tcPr>
          <w:p>
            <w:pPr>
              <w:pStyle w:val="0"/>
              <w:jc w:val="right"/>
              <w:rPr>
                <w:rFonts w:hint="default"/>
                <w:color w:val="auto"/>
                <w:sz w:val="20"/>
                <w:highlight w:val="none"/>
              </w:rPr>
            </w:pPr>
            <w:r>
              <w:rPr>
                <w:rFonts w:hint="eastAsia"/>
                <w:color w:val="auto"/>
                <w:sz w:val="20"/>
                <w:highlight w:val="none"/>
              </w:rPr>
              <w:t>11</w:t>
            </w:r>
          </w:p>
        </w:tc>
        <w:tc>
          <w:tcPr>
            <w:tcW w:w="2520" w:type="dxa"/>
            <w:vAlign w:val="top"/>
          </w:tcPr>
          <w:p>
            <w:pPr>
              <w:pStyle w:val="0"/>
              <w:rPr>
                <w:rFonts w:hint="default"/>
                <w:color w:val="auto"/>
                <w:sz w:val="20"/>
                <w:highlight w:val="none"/>
              </w:rPr>
            </w:pPr>
            <w:r>
              <w:rPr>
                <w:rFonts w:hint="eastAsia"/>
                <w:color w:val="auto"/>
                <w:sz w:val="20"/>
                <w:highlight w:val="none"/>
              </w:rPr>
              <w:t>チームオレンジ</w:t>
            </w:r>
          </w:p>
        </w:tc>
        <w:tc>
          <w:tcPr>
            <w:tcW w:w="560" w:type="dxa"/>
            <w:vAlign w:val="top"/>
          </w:tcPr>
          <w:p>
            <w:pPr>
              <w:pStyle w:val="0"/>
              <w:jc w:val="right"/>
              <w:rPr>
                <w:rFonts w:hint="default"/>
                <w:color w:val="auto"/>
                <w:sz w:val="20"/>
                <w:highlight w:val="none"/>
              </w:rPr>
            </w:pPr>
            <w:r>
              <w:rPr>
                <w:rFonts w:hint="eastAsia"/>
                <w:color w:val="auto"/>
                <w:sz w:val="20"/>
                <w:highlight w:val="none"/>
              </w:rPr>
              <w:t>1</w:t>
            </w:r>
          </w:p>
        </w:tc>
        <w:tc>
          <w:tcPr>
            <w:tcW w:w="2493" w:type="dxa"/>
            <w:vAlign w:val="top"/>
          </w:tcPr>
          <w:p>
            <w:pPr>
              <w:pStyle w:val="0"/>
              <w:rPr>
                <w:rFonts w:hint="default"/>
                <w:color w:val="auto"/>
                <w:sz w:val="20"/>
                <w:highlight w:val="none"/>
              </w:rPr>
            </w:pPr>
            <w:r>
              <w:rPr>
                <w:rFonts w:hint="eastAsia"/>
                <w:color w:val="auto"/>
                <w:sz w:val="20"/>
                <w:highlight w:val="none"/>
              </w:rPr>
              <w:t>民生委員</w:t>
            </w:r>
          </w:p>
        </w:tc>
        <w:tc>
          <w:tcPr>
            <w:tcW w:w="567" w:type="dxa"/>
            <w:vAlign w:val="top"/>
          </w:tcPr>
          <w:p>
            <w:pPr>
              <w:pStyle w:val="0"/>
              <w:jc w:val="right"/>
              <w:rPr>
                <w:rFonts w:hint="default"/>
                <w:color w:val="auto"/>
                <w:sz w:val="20"/>
                <w:highlight w:val="none"/>
              </w:rPr>
            </w:pPr>
            <w:r>
              <w:rPr>
                <w:rFonts w:hint="eastAsia"/>
                <w:color w:val="auto"/>
                <w:sz w:val="20"/>
                <w:highlight w:val="none"/>
              </w:rPr>
              <w:t>49</w:t>
            </w:r>
          </w:p>
        </w:tc>
      </w:tr>
      <w:tr>
        <w:trPr/>
        <w:tc>
          <w:tcPr>
            <w:tcW w:w="2515" w:type="dxa"/>
            <w:vAlign w:val="top"/>
          </w:tcPr>
          <w:p>
            <w:pPr>
              <w:pStyle w:val="0"/>
              <w:rPr>
                <w:rFonts w:hint="default"/>
                <w:color w:val="auto"/>
                <w:sz w:val="20"/>
                <w:highlight w:val="none"/>
              </w:rPr>
            </w:pPr>
            <w:r>
              <w:rPr>
                <w:rFonts w:hint="eastAsia"/>
                <w:color w:val="auto"/>
                <w:sz w:val="20"/>
                <w:highlight w:val="none"/>
              </w:rPr>
              <w:t>協議体</w:t>
            </w:r>
          </w:p>
        </w:tc>
        <w:tc>
          <w:tcPr>
            <w:tcW w:w="525" w:type="dxa"/>
            <w:vAlign w:val="top"/>
          </w:tcPr>
          <w:p>
            <w:pPr>
              <w:pStyle w:val="0"/>
              <w:jc w:val="right"/>
              <w:rPr>
                <w:rFonts w:hint="default"/>
                <w:color w:val="auto"/>
                <w:sz w:val="20"/>
                <w:highlight w:val="none"/>
              </w:rPr>
            </w:pPr>
            <w:r>
              <w:rPr>
                <w:rFonts w:hint="eastAsia"/>
                <w:color w:val="auto"/>
                <w:sz w:val="20"/>
                <w:highlight w:val="none"/>
              </w:rPr>
              <w:t>5</w:t>
            </w:r>
          </w:p>
        </w:tc>
        <w:tc>
          <w:tcPr>
            <w:tcW w:w="2520" w:type="dxa"/>
            <w:vAlign w:val="top"/>
          </w:tcPr>
          <w:p>
            <w:pPr>
              <w:pStyle w:val="0"/>
              <w:rPr>
                <w:rFonts w:hint="default"/>
                <w:color w:val="auto"/>
                <w:sz w:val="20"/>
                <w:highlight w:val="none"/>
              </w:rPr>
            </w:pPr>
            <w:r>
              <w:rPr>
                <w:rFonts w:hint="eastAsia"/>
                <w:color w:val="auto"/>
                <w:sz w:val="20"/>
                <w:highlight w:val="none"/>
              </w:rPr>
              <w:t>認知症カフェ</w:t>
            </w:r>
          </w:p>
        </w:tc>
        <w:tc>
          <w:tcPr>
            <w:tcW w:w="560" w:type="dxa"/>
            <w:vAlign w:val="top"/>
          </w:tcPr>
          <w:p>
            <w:pPr>
              <w:pStyle w:val="0"/>
              <w:jc w:val="right"/>
              <w:rPr>
                <w:rFonts w:hint="default"/>
                <w:color w:val="auto"/>
                <w:sz w:val="20"/>
                <w:highlight w:val="none"/>
              </w:rPr>
            </w:pPr>
            <w:r>
              <w:rPr>
                <w:rFonts w:hint="eastAsia"/>
                <w:color w:val="auto"/>
                <w:sz w:val="20"/>
                <w:highlight w:val="none"/>
              </w:rPr>
              <w:t>2</w:t>
            </w:r>
          </w:p>
        </w:tc>
        <w:tc>
          <w:tcPr>
            <w:tcW w:w="2493" w:type="dxa"/>
            <w:vAlign w:val="top"/>
          </w:tcPr>
          <w:p>
            <w:pPr>
              <w:pStyle w:val="0"/>
              <w:rPr>
                <w:rFonts w:hint="default"/>
                <w:color w:val="auto"/>
                <w:sz w:val="20"/>
                <w:highlight w:val="none"/>
              </w:rPr>
            </w:pPr>
            <w:r>
              <w:rPr>
                <w:rFonts w:hint="eastAsia"/>
                <w:color w:val="auto"/>
                <w:sz w:val="20"/>
                <w:highlight w:val="none"/>
              </w:rPr>
              <w:t>健康づくり応援団</w:t>
            </w:r>
          </w:p>
        </w:tc>
        <w:tc>
          <w:tcPr>
            <w:tcW w:w="567" w:type="dxa"/>
            <w:vAlign w:val="top"/>
          </w:tcPr>
          <w:p>
            <w:pPr>
              <w:pStyle w:val="0"/>
              <w:jc w:val="right"/>
              <w:rPr>
                <w:rFonts w:hint="default"/>
                <w:color w:val="auto"/>
                <w:sz w:val="20"/>
                <w:highlight w:val="none"/>
              </w:rPr>
            </w:pPr>
            <w:r>
              <w:rPr>
                <w:rFonts w:hint="eastAsia"/>
                <w:color w:val="auto"/>
                <w:sz w:val="20"/>
                <w:highlight w:val="none"/>
              </w:rPr>
              <w:t>12</w:t>
            </w:r>
          </w:p>
        </w:tc>
      </w:tr>
      <w:tr>
        <w:trPr/>
        <w:tc>
          <w:tcPr>
            <w:tcW w:w="2515" w:type="dxa"/>
            <w:vAlign w:val="top"/>
          </w:tcPr>
          <w:p>
            <w:pPr>
              <w:pStyle w:val="0"/>
              <w:rPr>
                <w:rFonts w:hint="default"/>
                <w:color w:val="auto"/>
                <w:sz w:val="20"/>
                <w:highlight w:val="none"/>
              </w:rPr>
            </w:pPr>
            <w:r>
              <w:rPr>
                <w:rFonts w:hint="eastAsia"/>
                <w:color w:val="auto"/>
                <w:sz w:val="20"/>
                <w:highlight w:val="none"/>
              </w:rPr>
              <w:t>単位老人クラブ</w:t>
            </w:r>
          </w:p>
        </w:tc>
        <w:tc>
          <w:tcPr>
            <w:tcW w:w="525" w:type="dxa"/>
            <w:vAlign w:val="top"/>
          </w:tcPr>
          <w:p>
            <w:pPr>
              <w:pStyle w:val="0"/>
              <w:jc w:val="right"/>
              <w:rPr>
                <w:rFonts w:hint="default"/>
                <w:color w:val="auto"/>
                <w:sz w:val="20"/>
                <w:highlight w:val="none"/>
              </w:rPr>
            </w:pPr>
            <w:r>
              <w:rPr>
                <w:rFonts w:hint="eastAsia"/>
                <w:color w:val="auto"/>
                <w:sz w:val="20"/>
                <w:highlight w:val="none"/>
              </w:rPr>
              <w:t>10</w:t>
            </w:r>
          </w:p>
        </w:tc>
        <w:tc>
          <w:tcPr>
            <w:tcW w:w="2520" w:type="dxa"/>
            <w:vAlign w:val="top"/>
          </w:tcPr>
          <w:p>
            <w:pPr>
              <w:pStyle w:val="0"/>
              <w:rPr>
                <w:rFonts w:hint="default"/>
                <w:color w:val="auto"/>
                <w:sz w:val="20"/>
                <w:highlight w:val="none"/>
              </w:rPr>
            </w:pPr>
            <w:r>
              <w:rPr>
                <w:rFonts w:hint="eastAsia"/>
                <w:color w:val="auto"/>
                <w:sz w:val="20"/>
                <w:highlight w:val="none"/>
              </w:rPr>
              <w:t>生活支援</w:t>
            </w:r>
          </w:p>
        </w:tc>
        <w:tc>
          <w:tcPr>
            <w:tcW w:w="560" w:type="dxa"/>
            <w:vAlign w:val="top"/>
          </w:tcPr>
          <w:p>
            <w:pPr>
              <w:pStyle w:val="0"/>
              <w:jc w:val="right"/>
              <w:rPr>
                <w:rFonts w:hint="default"/>
                <w:color w:val="auto"/>
                <w:sz w:val="20"/>
                <w:highlight w:val="none"/>
              </w:rPr>
            </w:pPr>
            <w:r>
              <w:rPr>
                <w:rFonts w:hint="eastAsia"/>
                <w:color w:val="auto"/>
                <w:sz w:val="20"/>
                <w:highlight w:val="none"/>
              </w:rPr>
              <w:t>3</w:t>
            </w:r>
          </w:p>
        </w:tc>
        <w:tc>
          <w:tcPr>
            <w:tcW w:w="2493" w:type="dxa"/>
            <w:vAlign w:val="top"/>
          </w:tcPr>
          <w:p>
            <w:pPr>
              <w:pStyle w:val="0"/>
              <w:rPr>
                <w:rFonts w:hint="default"/>
                <w:color w:val="auto"/>
                <w:sz w:val="20"/>
                <w:highlight w:val="none"/>
              </w:rPr>
            </w:pPr>
            <w:r>
              <w:rPr>
                <w:rFonts w:hint="eastAsia"/>
                <w:color w:val="auto"/>
                <w:sz w:val="20"/>
                <w:highlight w:val="none"/>
              </w:rPr>
              <w:t>オレンジドクター</w:t>
            </w:r>
          </w:p>
        </w:tc>
        <w:tc>
          <w:tcPr>
            <w:tcW w:w="567" w:type="dxa"/>
            <w:vAlign w:val="top"/>
          </w:tcPr>
          <w:p>
            <w:pPr>
              <w:pStyle w:val="0"/>
              <w:jc w:val="right"/>
              <w:rPr>
                <w:rFonts w:hint="default"/>
                <w:color w:val="auto"/>
                <w:sz w:val="20"/>
                <w:highlight w:val="none"/>
              </w:rPr>
            </w:pPr>
            <w:r>
              <w:rPr>
                <w:rFonts w:hint="eastAsia"/>
                <w:color w:val="auto"/>
                <w:sz w:val="20"/>
                <w:highlight w:val="none"/>
              </w:rPr>
              <w:t>6</w:t>
            </w:r>
          </w:p>
        </w:tc>
      </w:tr>
      <w:tr>
        <w:trPr/>
        <w:tc>
          <w:tcPr>
            <w:tcW w:w="2515" w:type="dxa"/>
            <w:vAlign w:val="top"/>
          </w:tcPr>
          <w:p>
            <w:pPr>
              <w:pStyle w:val="0"/>
              <w:rPr>
                <w:rFonts w:hint="default"/>
                <w:color w:val="auto"/>
                <w:sz w:val="20"/>
                <w:highlight w:val="none"/>
              </w:rPr>
            </w:pPr>
            <w:r>
              <w:rPr>
                <w:rFonts w:hint="eastAsia"/>
                <w:color w:val="auto"/>
                <w:sz w:val="20"/>
                <w:highlight w:val="none"/>
              </w:rPr>
              <w:t>サロン</w:t>
            </w:r>
          </w:p>
        </w:tc>
        <w:tc>
          <w:tcPr>
            <w:tcW w:w="525" w:type="dxa"/>
            <w:vAlign w:val="top"/>
          </w:tcPr>
          <w:p>
            <w:pPr>
              <w:pStyle w:val="0"/>
              <w:jc w:val="right"/>
              <w:rPr>
                <w:rFonts w:hint="default"/>
                <w:color w:val="auto"/>
                <w:sz w:val="20"/>
                <w:highlight w:val="none"/>
              </w:rPr>
            </w:pPr>
            <w:r>
              <w:rPr>
                <w:rFonts w:hint="eastAsia"/>
                <w:color w:val="auto"/>
                <w:sz w:val="20"/>
                <w:highlight w:val="none"/>
              </w:rPr>
              <w:t>43</w:t>
            </w:r>
          </w:p>
        </w:tc>
        <w:tc>
          <w:tcPr>
            <w:tcW w:w="2520" w:type="dxa"/>
            <w:vAlign w:val="top"/>
          </w:tcPr>
          <w:p>
            <w:pPr>
              <w:pStyle w:val="0"/>
              <w:rPr>
                <w:rFonts w:hint="default"/>
                <w:color w:val="auto"/>
                <w:sz w:val="20"/>
                <w:highlight w:val="none"/>
              </w:rPr>
            </w:pPr>
            <w:r>
              <w:rPr>
                <w:rFonts w:hint="eastAsia"/>
                <w:color w:val="auto"/>
                <w:sz w:val="20"/>
                <w:highlight w:val="none"/>
              </w:rPr>
              <w:t>移動支援</w:t>
            </w:r>
          </w:p>
        </w:tc>
        <w:tc>
          <w:tcPr>
            <w:tcW w:w="560" w:type="dxa"/>
            <w:vAlign w:val="top"/>
          </w:tcPr>
          <w:p>
            <w:pPr>
              <w:pStyle w:val="0"/>
              <w:jc w:val="right"/>
              <w:rPr>
                <w:rFonts w:hint="default"/>
                <w:color w:val="auto"/>
                <w:sz w:val="20"/>
                <w:highlight w:val="none"/>
              </w:rPr>
            </w:pPr>
            <w:r>
              <w:rPr>
                <w:rFonts w:hint="eastAsia"/>
                <w:color w:val="auto"/>
                <w:sz w:val="20"/>
                <w:highlight w:val="none"/>
              </w:rPr>
              <w:t>2</w:t>
            </w:r>
          </w:p>
        </w:tc>
        <w:tc>
          <w:tcPr>
            <w:tcW w:w="2493" w:type="dxa"/>
            <w:vAlign w:val="top"/>
          </w:tcPr>
          <w:p>
            <w:pPr>
              <w:pStyle w:val="0"/>
              <w:rPr>
                <w:rFonts w:hint="default"/>
                <w:color w:val="auto"/>
                <w:sz w:val="20"/>
                <w:highlight w:val="none"/>
              </w:rPr>
            </w:pPr>
            <w:r>
              <w:rPr>
                <w:rFonts w:hint="eastAsia"/>
                <w:color w:val="auto"/>
                <w:sz w:val="20"/>
                <w:highlight w:val="none"/>
              </w:rPr>
              <w:t>生活支援ｺｰﾃﾞｨﾈｰﾀｰ</w:t>
            </w:r>
          </w:p>
        </w:tc>
        <w:tc>
          <w:tcPr>
            <w:tcW w:w="567" w:type="dxa"/>
            <w:vAlign w:val="top"/>
          </w:tcPr>
          <w:p>
            <w:pPr>
              <w:pStyle w:val="0"/>
              <w:jc w:val="right"/>
              <w:rPr>
                <w:rFonts w:hint="default"/>
                <w:color w:val="auto"/>
                <w:sz w:val="20"/>
                <w:highlight w:val="none"/>
              </w:rPr>
            </w:pPr>
            <w:r>
              <w:rPr>
                <w:rFonts w:hint="eastAsia"/>
                <w:color w:val="auto"/>
                <w:sz w:val="20"/>
                <w:highlight w:val="none"/>
              </w:rPr>
              <w:t>1</w:t>
            </w:r>
          </w:p>
        </w:tc>
      </w:tr>
      <w:tr>
        <w:trPr/>
        <w:tc>
          <w:tcPr>
            <w:tcW w:w="2515" w:type="dxa"/>
            <w:vAlign w:val="top"/>
          </w:tcPr>
          <w:p>
            <w:pPr>
              <w:pStyle w:val="0"/>
              <w:rPr>
                <w:rFonts w:hint="default"/>
                <w:color w:val="auto"/>
                <w:sz w:val="20"/>
                <w:highlight w:val="none"/>
              </w:rPr>
            </w:pPr>
            <w:r>
              <w:rPr>
                <w:rFonts w:hint="eastAsia"/>
                <w:color w:val="auto"/>
                <w:sz w:val="20"/>
                <w:highlight w:val="none"/>
              </w:rPr>
              <w:t>百歳体操</w:t>
            </w:r>
          </w:p>
        </w:tc>
        <w:tc>
          <w:tcPr>
            <w:tcW w:w="525" w:type="dxa"/>
            <w:vAlign w:val="top"/>
          </w:tcPr>
          <w:p>
            <w:pPr>
              <w:pStyle w:val="0"/>
              <w:jc w:val="right"/>
              <w:rPr>
                <w:rFonts w:hint="default"/>
                <w:color w:val="auto"/>
                <w:sz w:val="20"/>
                <w:highlight w:val="none"/>
              </w:rPr>
            </w:pPr>
            <w:r>
              <w:rPr>
                <w:rFonts w:hint="eastAsia"/>
                <w:color w:val="auto"/>
                <w:sz w:val="20"/>
                <w:highlight w:val="none"/>
              </w:rPr>
              <w:t>20</w:t>
            </w:r>
          </w:p>
        </w:tc>
        <w:tc>
          <w:tcPr>
            <w:tcW w:w="2520" w:type="dxa"/>
            <w:vAlign w:val="top"/>
          </w:tcPr>
          <w:p>
            <w:pPr>
              <w:pStyle w:val="0"/>
              <w:rPr>
                <w:rFonts w:hint="default"/>
                <w:color w:val="auto"/>
                <w:sz w:val="20"/>
                <w:highlight w:val="none"/>
              </w:rPr>
            </w:pPr>
            <w:r>
              <w:rPr>
                <w:rFonts w:hint="eastAsia"/>
                <w:color w:val="auto"/>
                <w:sz w:val="20"/>
                <w:highlight w:val="none"/>
              </w:rPr>
              <w:t>スーパーマーケット</w:t>
            </w:r>
          </w:p>
        </w:tc>
        <w:tc>
          <w:tcPr>
            <w:tcW w:w="560" w:type="dxa"/>
            <w:vAlign w:val="top"/>
          </w:tcPr>
          <w:p>
            <w:pPr>
              <w:pStyle w:val="0"/>
              <w:jc w:val="right"/>
              <w:rPr>
                <w:rFonts w:hint="default"/>
                <w:color w:val="auto"/>
                <w:sz w:val="20"/>
                <w:highlight w:val="none"/>
              </w:rPr>
            </w:pPr>
            <w:r>
              <w:rPr>
                <w:rFonts w:hint="eastAsia"/>
                <w:color w:val="auto"/>
                <w:sz w:val="20"/>
                <w:highlight w:val="none"/>
              </w:rPr>
              <w:t>9</w:t>
            </w:r>
          </w:p>
        </w:tc>
        <w:tc>
          <w:tcPr>
            <w:tcW w:w="2493" w:type="dxa"/>
            <w:vAlign w:val="top"/>
          </w:tcPr>
          <w:p>
            <w:pPr>
              <w:pStyle w:val="0"/>
              <w:rPr>
                <w:rFonts w:hint="default"/>
                <w:color w:val="auto"/>
                <w:sz w:val="20"/>
                <w:highlight w:val="none"/>
              </w:rPr>
            </w:pPr>
          </w:p>
        </w:tc>
        <w:tc>
          <w:tcPr>
            <w:tcW w:w="567" w:type="dxa"/>
            <w:vAlign w:val="top"/>
          </w:tcPr>
          <w:p>
            <w:pPr>
              <w:pStyle w:val="0"/>
              <w:rPr>
                <w:rFonts w:hint="default"/>
                <w:color w:val="auto"/>
                <w:sz w:val="20"/>
                <w:highlight w:val="none"/>
              </w:rPr>
            </w:pPr>
          </w:p>
        </w:tc>
      </w:tr>
      <w:tr>
        <w:trPr/>
        <w:tc>
          <w:tcPr>
            <w:tcW w:w="2515" w:type="dxa"/>
            <w:vAlign w:val="top"/>
          </w:tcPr>
          <w:p>
            <w:pPr>
              <w:pStyle w:val="0"/>
              <w:rPr>
                <w:rFonts w:hint="default"/>
                <w:color w:val="auto"/>
                <w:w w:val="95"/>
                <w:sz w:val="20"/>
                <w:highlight w:val="none"/>
              </w:rPr>
            </w:pPr>
            <w:r>
              <w:rPr>
                <w:rFonts w:hint="eastAsia"/>
                <w:color w:val="auto"/>
                <w:w w:val="95"/>
                <w:sz w:val="20"/>
                <w:highlight w:val="none"/>
              </w:rPr>
              <w:t>病院・診療所・歯科・薬局</w:t>
            </w:r>
          </w:p>
        </w:tc>
        <w:tc>
          <w:tcPr>
            <w:tcW w:w="525" w:type="dxa"/>
            <w:vAlign w:val="top"/>
          </w:tcPr>
          <w:p>
            <w:pPr>
              <w:pStyle w:val="0"/>
              <w:jc w:val="right"/>
              <w:rPr>
                <w:rFonts w:hint="default"/>
                <w:color w:val="auto"/>
                <w:sz w:val="20"/>
                <w:highlight w:val="none"/>
              </w:rPr>
            </w:pPr>
            <w:r>
              <w:rPr>
                <w:rFonts w:hint="eastAsia"/>
                <w:color w:val="auto"/>
                <w:sz w:val="20"/>
                <w:highlight w:val="none"/>
              </w:rPr>
              <w:t>16</w:t>
            </w:r>
          </w:p>
        </w:tc>
        <w:tc>
          <w:tcPr>
            <w:tcW w:w="2520" w:type="dxa"/>
            <w:vAlign w:val="top"/>
          </w:tcPr>
          <w:p>
            <w:pPr>
              <w:pStyle w:val="0"/>
              <w:rPr>
                <w:rFonts w:hint="default"/>
                <w:color w:val="auto"/>
                <w:sz w:val="20"/>
                <w:highlight w:val="none"/>
              </w:rPr>
            </w:pPr>
            <w:r>
              <w:rPr>
                <w:rFonts w:hint="eastAsia"/>
                <w:color w:val="auto"/>
                <w:sz w:val="20"/>
                <w:highlight w:val="none"/>
              </w:rPr>
              <w:t>コンビニエンスストア</w:t>
            </w:r>
          </w:p>
        </w:tc>
        <w:tc>
          <w:tcPr>
            <w:tcW w:w="560" w:type="dxa"/>
            <w:vAlign w:val="top"/>
          </w:tcPr>
          <w:p>
            <w:pPr>
              <w:pStyle w:val="0"/>
              <w:jc w:val="right"/>
              <w:rPr>
                <w:rFonts w:hint="default"/>
                <w:color w:val="auto"/>
                <w:sz w:val="20"/>
                <w:highlight w:val="none"/>
              </w:rPr>
            </w:pPr>
            <w:r>
              <w:rPr>
                <w:rFonts w:hint="eastAsia"/>
                <w:color w:val="auto"/>
                <w:sz w:val="20"/>
                <w:highlight w:val="none"/>
              </w:rPr>
              <w:t>11</w:t>
            </w:r>
          </w:p>
        </w:tc>
        <w:tc>
          <w:tcPr>
            <w:tcW w:w="2493" w:type="dxa"/>
            <w:vAlign w:val="top"/>
          </w:tcPr>
          <w:p>
            <w:pPr>
              <w:pStyle w:val="0"/>
              <w:rPr>
                <w:rFonts w:hint="default"/>
                <w:color w:val="auto"/>
                <w:sz w:val="20"/>
                <w:highlight w:val="none"/>
              </w:rPr>
            </w:pPr>
          </w:p>
        </w:tc>
        <w:tc>
          <w:tcPr>
            <w:tcW w:w="567" w:type="dxa"/>
            <w:vAlign w:val="top"/>
          </w:tcPr>
          <w:p>
            <w:pPr>
              <w:pStyle w:val="0"/>
              <w:jc w:val="right"/>
              <w:rPr>
                <w:rFonts w:hint="default"/>
                <w:color w:val="auto"/>
                <w:sz w:val="20"/>
                <w:highlight w:val="none"/>
              </w:rPr>
            </w:pPr>
          </w:p>
        </w:tc>
      </w:tr>
    </w:tbl>
    <w:p>
      <w:pPr>
        <w:pStyle w:val="0"/>
        <w:spacing w:before="74" w:beforeLines="20" w:beforeAutospacing="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〔介護サービス資源等〕</w:t>
      </w:r>
    </w:p>
    <w:tbl>
      <w:tblPr>
        <w:tblStyle w:val="81"/>
        <w:tblW w:w="9180" w:type="dxa"/>
        <w:tblInd w:w="0" w:type="dxa"/>
        <w:tblLayout w:type="fixed"/>
        <w:tblLook w:firstRow="1" w:lastRow="0" w:firstColumn="1" w:lastColumn="0" w:noHBand="0" w:noVBand="1" w:val="04A0"/>
      </w:tblPr>
      <w:tblGrid>
        <w:gridCol w:w="2410"/>
        <w:gridCol w:w="630"/>
        <w:gridCol w:w="2520"/>
        <w:gridCol w:w="560"/>
        <w:gridCol w:w="2493"/>
        <w:gridCol w:w="567"/>
      </w:tblGrid>
      <w:tr>
        <w:trPr/>
        <w:tc>
          <w:tcPr>
            <w:tcW w:w="9180" w:type="dxa"/>
            <w:gridSpan w:val="6"/>
            <w:shd w:val="clear" w:color="auto" w:fill="0070C0"/>
            <w:vAlign w:val="top"/>
          </w:tcPr>
          <w:p>
            <w:pPr>
              <w:pStyle w:val="0"/>
              <w:jc w:val="center"/>
              <w:rPr>
                <w:rFonts w:hint="default"/>
                <w:color w:val="auto"/>
                <w:sz w:val="20"/>
                <w:highlight w:val="none"/>
              </w:rPr>
            </w:pPr>
            <w:r>
              <w:rPr>
                <w:rFonts w:hint="eastAsia"/>
                <w:color w:val="auto"/>
                <w:sz w:val="20"/>
                <w:highlight w:val="none"/>
              </w:rPr>
              <w:t>介護サービス事業所等数（令和</w:t>
            </w:r>
            <w:r>
              <w:rPr>
                <w:rFonts w:hint="eastAsia"/>
                <w:color w:val="auto"/>
                <w:sz w:val="20"/>
                <w:highlight w:val="none"/>
              </w:rPr>
              <w:t>5</w:t>
            </w:r>
            <w:r>
              <w:rPr>
                <w:rFonts w:hint="eastAsia"/>
                <w:color w:val="auto"/>
                <w:sz w:val="20"/>
                <w:highlight w:val="none"/>
              </w:rPr>
              <w:t>年</w:t>
            </w:r>
            <w:r>
              <w:rPr>
                <w:rFonts w:hint="eastAsia"/>
                <w:color w:val="auto"/>
                <w:sz w:val="20"/>
                <w:highlight w:val="none"/>
              </w:rPr>
              <w:t>8</w:t>
            </w:r>
            <w:r>
              <w:rPr>
                <w:rFonts w:hint="eastAsia"/>
                <w:color w:val="auto"/>
                <w:sz w:val="20"/>
                <w:highlight w:val="none"/>
              </w:rPr>
              <w:t>月現在）</w:t>
            </w:r>
          </w:p>
        </w:tc>
      </w:tr>
      <w:tr>
        <w:trPr>
          <w:trHeight w:val="194" w:hRule="atLeast"/>
        </w:trPr>
        <w:tc>
          <w:tcPr>
            <w:tcW w:w="2410" w:type="dxa"/>
            <w:shd w:val="clear" w:color="auto" w:themeFill="accent5" w:themeFillTint="33" w:themeFillShade="FF"/>
            <w:vAlign w:val="top"/>
          </w:tcPr>
          <w:p>
            <w:pPr>
              <w:pStyle w:val="0"/>
              <w:rPr>
                <w:rFonts w:hint="default"/>
                <w:b w:val="1"/>
                <w:color w:val="auto"/>
                <w:sz w:val="20"/>
                <w:highlight w:val="none"/>
              </w:rPr>
            </w:pPr>
            <w:r>
              <w:rPr>
                <w:rFonts w:hint="eastAsia"/>
                <w:b w:val="1"/>
                <w:color w:val="auto"/>
                <w:sz w:val="20"/>
                <w:highlight w:val="none"/>
              </w:rPr>
              <w:t>居宅サービス</w:t>
            </w:r>
          </w:p>
        </w:tc>
        <w:tc>
          <w:tcPr>
            <w:tcW w:w="630" w:type="dxa"/>
            <w:shd w:val="clear" w:color="auto" w:themeFill="accent5" w:themeFillTint="33" w:themeFillShade="FF"/>
            <w:vAlign w:val="top"/>
          </w:tcPr>
          <w:p>
            <w:pPr>
              <w:pStyle w:val="0"/>
              <w:jc w:val="right"/>
              <w:rPr>
                <w:rFonts w:hint="default"/>
                <w:b w:val="1"/>
                <w:color w:val="auto"/>
                <w:sz w:val="20"/>
                <w:highlight w:val="none"/>
              </w:rPr>
            </w:pPr>
          </w:p>
        </w:tc>
        <w:tc>
          <w:tcPr>
            <w:tcW w:w="2520" w:type="dxa"/>
            <w:shd w:val="clear" w:color="auto" w:themeFill="accent5" w:themeFillTint="33" w:themeFillShade="FF"/>
            <w:vAlign w:val="top"/>
          </w:tcPr>
          <w:p>
            <w:pPr>
              <w:pStyle w:val="0"/>
              <w:rPr>
                <w:rFonts w:hint="default"/>
                <w:b w:val="1"/>
                <w:color w:val="auto"/>
                <w:sz w:val="20"/>
                <w:highlight w:val="none"/>
              </w:rPr>
            </w:pPr>
            <w:r>
              <w:rPr>
                <w:rFonts w:hint="eastAsia"/>
                <w:b w:val="1"/>
                <w:color w:val="auto"/>
                <w:sz w:val="20"/>
                <w:highlight w:val="none"/>
              </w:rPr>
              <w:t>地域密着型サービス</w:t>
            </w:r>
          </w:p>
        </w:tc>
        <w:tc>
          <w:tcPr>
            <w:tcW w:w="560" w:type="dxa"/>
            <w:shd w:val="clear" w:color="auto" w:themeFill="accent5" w:themeFillTint="33" w:themeFillShade="FF"/>
            <w:vAlign w:val="top"/>
          </w:tcPr>
          <w:p>
            <w:pPr>
              <w:pStyle w:val="0"/>
              <w:rPr>
                <w:rFonts w:hint="default"/>
                <w:b w:val="1"/>
                <w:color w:val="auto"/>
                <w:sz w:val="20"/>
                <w:highlight w:val="none"/>
              </w:rPr>
            </w:pPr>
          </w:p>
        </w:tc>
        <w:tc>
          <w:tcPr>
            <w:tcW w:w="2493" w:type="dxa"/>
            <w:shd w:val="clear" w:color="auto" w:themeFill="accent5" w:themeFillTint="33" w:themeFillShade="FF"/>
            <w:vAlign w:val="top"/>
          </w:tcPr>
          <w:p>
            <w:pPr>
              <w:pStyle w:val="0"/>
              <w:rPr>
                <w:rFonts w:hint="default"/>
                <w:b w:val="1"/>
                <w:color w:val="auto"/>
                <w:sz w:val="20"/>
                <w:highlight w:val="none"/>
              </w:rPr>
            </w:pPr>
            <w:r>
              <w:rPr>
                <w:rFonts w:hint="eastAsia"/>
                <w:b w:val="1"/>
                <w:color w:val="auto"/>
                <w:sz w:val="20"/>
                <w:highlight w:val="none"/>
              </w:rPr>
              <w:t>施設サービス</w:t>
            </w:r>
          </w:p>
        </w:tc>
        <w:tc>
          <w:tcPr>
            <w:tcW w:w="567" w:type="dxa"/>
            <w:shd w:val="clear" w:color="auto" w:themeFill="accent5" w:themeFillTint="33" w:themeFillShade="FF"/>
            <w:vAlign w:val="top"/>
          </w:tcPr>
          <w:p>
            <w:pPr>
              <w:pStyle w:val="0"/>
              <w:rPr>
                <w:rFonts w:hint="default"/>
                <w:b w:val="1"/>
                <w:color w:val="auto"/>
                <w:sz w:val="20"/>
                <w:highlight w:val="none"/>
              </w:rPr>
            </w:pPr>
          </w:p>
        </w:tc>
      </w:tr>
      <w:tr>
        <w:trPr/>
        <w:tc>
          <w:tcPr>
            <w:tcW w:w="2410" w:type="dxa"/>
            <w:vAlign w:val="top"/>
          </w:tcPr>
          <w:p>
            <w:pPr>
              <w:pStyle w:val="0"/>
              <w:ind w:left="220" w:leftChars="100"/>
              <w:rPr>
                <w:rFonts w:hint="default"/>
                <w:color w:val="auto"/>
                <w:sz w:val="20"/>
                <w:highlight w:val="none"/>
              </w:rPr>
            </w:pPr>
            <w:r>
              <w:rPr>
                <w:rFonts w:hint="eastAsia"/>
                <w:color w:val="auto"/>
                <w:sz w:val="20"/>
                <w:highlight w:val="none"/>
              </w:rPr>
              <w:t>居宅介護支援</w:t>
            </w:r>
          </w:p>
        </w:tc>
        <w:tc>
          <w:tcPr>
            <w:tcW w:w="630" w:type="dxa"/>
            <w:vAlign w:val="top"/>
          </w:tcPr>
          <w:p>
            <w:pPr>
              <w:pStyle w:val="0"/>
              <w:jc w:val="right"/>
              <w:rPr>
                <w:rFonts w:hint="default"/>
                <w:color w:val="auto"/>
                <w:sz w:val="20"/>
                <w:highlight w:val="none"/>
              </w:rPr>
            </w:pPr>
            <w:r>
              <w:rPr>
                <w:rFonts w:hint="eastAsia"/>
                <w:color w:val="auto"/>
                <w:sz w:val="20"/>
                <w:highlight w:val="none"/>
              </w:rPr>
              <w:t>8</w:t>
            </w:r>
          </w:p>
        </w:tc>
        <w:tc>
          <w:tcPr>
            <w:tcW w:w="2520" w:type="dxa"/>
            <w:vAlign w:val="top"/>
          </w:tcPr>
          <w:p>
            <w:pPr>
              <w:pStyle w:val="0"/>
              <w:ind w:left="220" w:leftChars="100"/>
              <w:rPr>
                <w:rFonts w:hint="default"/>
                <w:color w:val="auto"/>
                <w:sz w:val="20"/>
                <w:highlight w:val="none"/>
              </w:rPr>
            </w:pPr>
            <w:r>
              <w:rPr>
                <w:rFonts w:hint="eastAsia"/>
                <w:color w:val="auto"/>
                <w:sz w:val="20"/>
                <w:highlight w:val="none"/>
              </w:rPr>
              <w:t>定期巡回</w:t>
            </w:r>
          </w:p>
        </w:tc>
        <w:tc>
          <w:tcPr>
            <w:tcW w:w="560" w:type="dxa"/>
            <w:vAlign w:val="top"/>
          </w:tcPr>
          <w:p>
            <w:pPr>
              <w:pStyle w:val="0"/>
              <w:jc w:val="right"/>
              <w:rPr>
                <w:rFonts w:hint="default"/>
                <w:color w:val="auto"/>
                <w:sz w:val="20"/>
                <w:highlight w:val="none"/>
              </w:rPr>
            </w:pPr>
            <w:r>
              <w:rPr>
                <w:rFonts w:hint="eastAsia"/>
                <w:color w:val="auto"/>
                <w:sz w:val="20"/>
                <w:highlight w:val="none"/>
              </w:rPr>
              <w:t>0</w:t>
            </w:r>
          </w:p>
        </w:tc>
        <w:tc>
          <w:tcPr>
            <w:tcW w:w="2493" w:type="dxa"/>
            <w:vAlign w:val="top"/>
          </w:tcPr>
          <w:p>
            <w:pPr>
              <w:pStyle w:val="0"/>
              <w:ind w:left="220" w:leftChars="100" w:right="-110" w:rightChars="-50"/>
              <w:rPr>
                <w:rFonts w:hint="default"/>
                <w:color w:val="auto"/>
                <w:sz w:val="20"/>
                <w:highlight w:val="none"/>
              </w:rPr>
            </w:pPr>
            <w:r>
              <w:rPr>
                <w:rFonts w:hint="eastAsia"/>
                <w:color w:val="auto"/>
                <w:sz w:val="20"/>
                <w:highlight w:val="none"/>
              </w:rPr>
              <w:t>介護老人福祉施設</w:t>
            </w:r>
          </w:p>
        </w:tc>
        <w:tc>
          <w:tcPr>
            <w:tcW w:w="567" w:type="dxa"/>
            <w:vAlign w:val="top"/>
          </w:tcPr>
          <w:p>
            <w:pPr>
              <w:pStyle w:val="0"/>
              <w:jc w:val="right"/>
              <w:rPr>
                <w:rFonts w:hint="default"/>
                <w:color w:val="auto"/>
                <w:sz w:val="20"/>
                <w:highlight w:val="none"/>
              </w:rPr>
            </w:pPr>
            <w:r>
              <w:rPr>
                <w:rFonts w:hint="eastAsia"/>
                <w:color w:val="auto"/>
                <w:sz w:val="20"/>
                <w:highlight w:val="none"/>
              </w:rPr>
              <w:t>1</w:t>
            </w:r>
          </w:p>
        </w:tc>
      </w:tr>
      <w:tr>
        <w:trPr/>
        <w:tc>
          <w:tcPr>
            <w:tcW w:w="2410" w:type="dxa"/>
            <w:vAlign w:val="top"/>
          </w:tcPr>
          <w:p>
            <w:pPr>
              <w:pStyle w:val="0"/>
              <w:ind w:left="220" w:leftChars="100"/>
              <w:rPr>
                <w:rFonts w:hint="default"/>
                <w:color w:val="auto"/>
                <w:sz w:val="20"/>
                <w:highlight w:val="none"/>
              </w:rPr>
            </w:pPr>
            <w:r>
              <w:rPr>
                <w:rFonts w:hint="eastAsia"/>
                <w:color w:val="auto"/>
                <w:sz w:val="20"/>
                <w:highlight w:val="none"/>
              </w:rPr>
              <w:t>訪問介護</w:t>
            </w:r>
          </w:p>
        </w:tc>
        <w:tc>
          <w:tcPr>
            <w:tcW w:w="630" w:type="dxa"/>
            <w:vAlign w:val="top"/>
          </w:tcPr>
          <w:p>
            <w:pPr>
              <w:pStyle w:val="0"/>
              <w:jc w:val="right"/>
              <w:rPr>
                <w:rFonts w:hint="default"/>
                <w:color w:val="auto"/>
                <w:sz w:val="20"/>
                <w:highlight w:val="none"/>
              </w:rPr>
            </w:pPr>
            <w:r>
              <w:rPr>
                <w:rFonts w:hint="eastAsia"/>
                <w:color w:val="auto"/>
                <w:sz w:val="20"/>
                <w:highlight w:val="none"/>
              </w:rPr>
              <w:t>5</w:t>
            </w:r>
          </w:p>
        </w:tc>
        <w:tc>
          <w:tcPr>
            <w:tcW w:w="2520" w:type="dxa"/>
            <w:vAlign w:val="top"/>
          </w:tcPr>
          <w:p>
            <w:pPr>
              <w:pStyle w:val="0"/>
              <w:ind w:left="220" w:leftChars="100"/>
              <w:rPr>
                <w:rFonts w:hint="default"/>
                <w:color w:val="auto"/>
                <w:sz w:val="20"/>
                <w:highlight w:val="none"/>
              </w:rPr>
            </w:pPr>
            <w:r>
              <w:rPr>
                <w:rFonts w:hint="eastAsia"/>
                <w:color w:val="auto"/>
                <w:sz w:val="20"/>
                <w:highlight w:val="none"/>
              </w:rPr>
              <w:t>認知症対応型通所</w:t>
            </w:r>
          </w:p>
        </w:tc>
        <w:tc>
          <w:tcPr>
            <w:tcW w:w="560" w:type="dxa"/>
            <w:vAlign w:val="top"/>
          </w:tcPr>
          <w:p>
            <w:pPr>
              <w:pStyle w:val="0"/>
              <w:jc w:val="right"/>
              <w:rPr>
                <w:rFonts w:hint="default"/>
                <w:color w:val="auto"/>
                <w:sz w:val="20"/>
                <w:highlight w:val="none"/>
              </w:rPr>
            </w:pPr>
            <w:r>
              <w:rPr>
                <w:rFonts w:hint="eastAsia"/>
                <w:color w:val="auto"/>
                <w:sz w:val="20"/>
                <w:highlight w:val="none"/>
              </w:rPr>
              <w:t>1</w:t>
            </w:r>
          </w:p>
        </w:tc>
        <w:tc>
          <w:tcPr>
            <w:tcW w:w="2493" w:type="dxa"/>
            <w:vAlign w:val="top"/>
          </w:tcPr>
          <w:p>
            <w:pPr>
              <w:pStyle w:val="0"/>
              <w:ind w:left="220" w:leftChars="100" w:right="-110" w:rightChars="-50"/>
              <w:rPr>
                <w:rFonts w:hint="default"/>
                <w:color w:val="auto"/>
                <w:sz w:val="20"/>
                <w:highlight w:val="none"/>
              </w:rPr>
            </w:pPr>
            <w:r>
              <w:rPr>
                <w:rFonts w:hint="eastAsia"/>
                <w:color w:val="auto"/>
                <w:sz w:val="20"/>
                <w:highlight w:val="none"/>
              </w:rPr>
              <w:t>介護老人保健施設</w:t>
            </w:r>
          </w:p>
        </w:tc>
        <w:tc>
          <w:tcPr>
            <w:tcW w:w="567" w:type="dxa"/>
            <w:vAlign w:val="top"/>
          </w:tcPr>
          <w:p>
            <w:pPr>
              <w:pStyle w:val="0"/>
              <w:jc w:val="right"/>
              <w:rPr>
                <w:rFonts w:hint="default"/>
                <w:color w:val="auto"/>
                <w:sz w:val="20"/>
                <w:highlight w:val="none"/>
              </w:rPr>
            </w:pPr>
            <w:r>
              <w:rPr>
                <w:rFonts w:hint="eastAsia"/>
                <w:color w:val="auto"/>
                <w:sz w:val="20"/>
                <w:highlight w:val="none"/>
              </w:rPr>
              <w:t>1</w:t>
            </w:r>
          </w:p>
        </w:tc>
      </w:tr>
      <w:tr>
        <w:trPr/>
        <w:tc>
          <w:tcPr>
            <w:tcW w:w="2410" w:type="dxa"/>
            <w:vAlign w:val="top"/>
          </w:tcPr>
          <w:p>
            <w:pPr>
              <w:pStyle w:val="0"/>
              <w:ind w:left="220" w:leftChars="100"/>
              <w:rPr>
                <w:rFonts w:hint="default"/>
                <w:color w:val="auto"/>
                <w:sz w:val="20"/>
                <w:highlight w:val="none"/>
              </w:rPr>
            </w:pPr>
            <w:r>
              <w:rPr>
                <w:rFonts w:hint="eastAsia"/>
                <w:color w:val="auto"/>
                <w:sz w:val="20"/>
                <w:highlight w:val="none"/>
              </w:rPr>
              <w:t>訪問入浴介護</w:t>
            </w:r>
          </w:p>
        </w:tc>
        <w:tc>
          <w:tcPr>
            <w:tcW w:w="630" w:type="dxa"/>
            <w:vAlign w:val="top"/>
          </w:tcPr>
          <w:p>
            <w:pPr>
              <w:pStyle w:val="0"/>
              <w:jc w:val="right"/>
              <w:rPr>
                <w:rFonts w:hint="default"/>
                <w:color w:val="auto"/>
                <w:sz w:val="20"/>
                <w:highlight w:val="none"/>
              </w:rPr>
            </w:pPr>
            <w:r>
              <w:rPr>
                <w:rFonts w:hint="eastAsia"/>
                <w:color w:val="auto"/>
                <w:sz w:val="20"/>
                <w:highlight w:val="none"/>
              </w:rPr>
              <w:t>0</w:t>
            </w:r>
          </w:p>
        </w:tc>
        <w:tc>
          <w:tcPr>
            <w:tcW w:w="2520" w:type="dxa"/>
            <w:vAlign w:val="top"/>
          </w:tcPr>
          <w:p>
            <w:pPr>
              <w:pStyle w:val="0"/>
              <w:ind w:left="220" w:leftChars="100"/>
              <w:rPr>
                <w:rFonts w:hint="default"/>
                <w:color w:val="auto"/>
                <w:sz w:val="20"/>
                <w:highlight w:val="none"/>
              </w:rPr>
            </w:pPr>
            <w:r>
              <w:rPr>
                <w:rFonts w:hint="eastAsia"/>
                <w:color w:val="auto"/>
                <w:sz w:val="20"/>
                <w:highlight w:val="none"/>
              </w:rPr>
              <w:t>地域密着型通所</w:t>
            </w:r>
          </w:p>
        </w:tc>
        <w:tc>
          <w:tcPr>
            <w:tcW w:w="560" w:type="dxa"/>
            <w:vAlign w:val="top"/>
          </w:tcPr>
          <w:p>
            <w:pPr>
              <w:pStyle w:val="0"/>
              <w:jc w:val="right"/>
              <w:rPr>
                <w:rFonts w:hint="default"/>
                <w:color w:val="auto"/>
                <w:sz w:val="20"/>
                <w:highlight w:val="none"/>
              </w:rPr>
            </w:pPr>
            <w:r>
              <w:rPr>
                <w:rFonts w:hint="eastAsia"/>
                <w:color w:val="auto"/>
                <w:sz w:val="20"/>
                <w:highlight w:val="none"/>
              </w:rPr>
              <w:t>4</w:t>
            </w:r>
          </w:p>
        </w:tc>
        <w:tc>
          <w:tcPr>
            <w:tcW w:w="2493" w:type="dxa"/>
            <w:vAlign w:val="top"/>
          </w:tcPr>
          <w:p>
            <w:pPr>
              <w:pStyle w:val="0"/>
              <w:ind w:firstLine="200" w:firstLineChars="100"/>
              <w:rPr>
                <w:rFonts w:hint="default"/>
                <w:color w:val="auto"/>
                <w:sz w:val="20"/>
                <w:highlight w:val="none"/>
              </w:rPr>
            </w:pPr>
            <w:r>
              <w:rPr>
                <w:rFonts w:hint="eastAsia"/>
                <w:color w:val="auto"/>
                <w:sz w:val="20"/>
                <w:highlight w:val="none"/>
              </w:rPr>
              <w:t>介護医療院</w:t>
            </w:r>
          </w:p>
        </w:tc>
        <w:tc>
          <w:tcPr>
            <w:tcW w:w="567" w:type="dxa"/>
            <w:vAlign w:val="top"/>
          </w:tcPr>
          <w:p>
            <w:pPr>
              <w:pStyle w:val="0"/>
              <w:jc w:val="right"/>
              <w:rPr>
                <w:rFonts w:hint="default"/>
                <w:color w:val="auto"/>
                <w:sz w:val="20"/>
                <w:highlight w:val="none"/>
              </w:rPr>
            </w:pPr>
            <w:r>
              <w:rPr>
                <w:rFonts w:hint="eastAsia"/>
                <w:color w:val="auto"/>
                <w:sz w:val="20"/>
                <w:highlight w:val="none"/>
              </w:rPr>
              <w:t>1</w:t>
            </w:r>
          </w:p>
        </w:tc>
      </w:tr>
      <w:tr>
        <w:trPr/>
        <w:tc>
          <w:tcPr>
            <w:tcW w:w="2410" w:type="dxa"/>
            <w:vAlign w:val="top"/>
          </w:tcPr>
          <w:p>
            <w:pPr>
              <w:pStyle w:val="0"/>
              <w:ind w:left="220" w:leftChars="100"/>
              <w:rPr>
                <w:rFonts w:hint="default"/>
                <w:color w:val="auto"/>
                <w:sz w:val="20"/>
                <w:highlight w:val="none"/>
              </w:rPr>
            </w:pPr>
            <w:r>
              <w:rPr>
                <w:rFonts w:hint="eastAsia"/>
                <w:color w:val="auto"/>
                <w:sz w:val="20"/>
                <w:highlight w:val="none"/>
              </w:rPr>
              <w:t>訪問看護</w:t>
            </w:r>
          </w:p>
        </w:tc>
        <w:tc>
          <w:tcPr>
            <w:tcW w:w="630" w:type="dxa"/>
            <w:vAlign w:val="top"/>
          </w:tcPr>
          <w:p>
            <w:pPr>
              <w:pStyle w:val="0"/>
              <w:jc w:val="right"/>
              <w:rPr>
                <w:rFonts w:hint="default"/>
                <w:color w:val="auto"/>
                <w:sz w:val="20"/>
                <w:highlight w:val="none"/>
              </w:rPr>
            </w:pPr>
            <w:r>
              <w:rPr>
                <w:rFonts w:hint="eastAsia"/>
                <w:color w:val="auto"/>
                <w:sz w:val="20"/>
                <w:highlight w:val="none"/>
              </w:rPr>
              <w:t>4</w:t>
            </w:r>
          </w:p>
        </w:tc>
        <w:tc>
          <w:tcPr>
            <w:tcW w:w="2520" w:type="dxa"/>
            <w:vAlign w:val="top"/>
          </w:tcPr>
          <w:p>
            <w:pPr>
              <w:pStyle w:val="0"/>
              <w:ind w:left="220" w:leftChars="100"/>
              <w:rPr>
                <w:rFonts w:hint="default"/>
                <w:color w:val="auto"/>
                <w:sz w:val="20"/>
                <w:highlight w:val="none"/>
              </w:rPr>
            </w:pPr>
            <w:r>
              <w:rPr>
                <w:rFonts w:hint="eastAsia"/>
                <w:color w:val="auto"/>
                <w:sz w:val="20"/>
                <w:highlight w:val="none"/>
              </w:rPr>
              <w:t>グループホーム</w:t>
            </w:r>
          </w:p>
        </w:tc>
        <w:tc>
          <w:tcPr>
            <w:tcW w:w="560" w:type="dxa"/>
            <w:vAlign w:val="top"/>
          </w:tcPr>
          <w:p>
            <w:pPr>
              <w:pStyle w:val="0"/>
              <w:jc w:val="right"/>
              <w:rPr>
                <w:rFonts w:hint="default"/>
                <w:color w:val="auto"/>
                <w:sz w:val="20"/>
                <w:highlight w:val="none"/>
              </w:rPr>
            </w:pPr>
            <w:r>
              <w:rPr>
                <w:rFonts w:hint="eastAsia"/>
                <w:color w:val="auto"/>
                <w:sz w:val="20"/>
                <w:highlight w:val="none"/>
              </w:rPr>
              <w:t>3</w:t>
            </w:r>
          </w:p>
        </w:tc>
        <w:tc>
          <w:tcPr>
            <w:tcW w:w="2493" w:type="dxa"/>
            <w:shd w:val="clear" w:color="auto" w:themeFill="text2" w:themeFillTint="33" w:themeFillShade="FF"/>
            <w:vAlign w:val="top"/>
          </w:tcPr>
          <w:p>
            <w:pPr>
              <w:pStyle w:val="0"/>
              <w:rPr>
                <w:rFonts w:hint="default"/>
                <w:b w:val="1"/>
                <w:color w:val="auto"/>
                <w:sz w:val="20"/>
                <w:highlight w:val="none"/>
              </w:rPr>
            </w:pPr>
            <w:r>
              <w:rPr>
                <w:rFonts w:hint="eastAsia"/>
                <w:b w:val="1"/>
                <w:color w:val="auto"/>
                <w:sz w:val="20"/>
                <w:highlight w:val="none"/>
              </w:rPr>
              <w:t>総合事業</w:t>
            </w:r>
          </w:p>
        </w:tc>
        <w:tc>
          <w:tcPr>
            <w:tcW w:w="567" w:type="dxa"/>
            <w:shd w:val="clear" w:color="auto" w:themeFill="text2" w:themeFillTint="33" w:themeFillShade="FF"/>
            <w:vAlign w:val="top"/>
          </w:tcPr>
          <w:p>
            <w:pPr>
              <w:pStyle w:val="0"/>
              <w:jc w:val="right"/>
              <w:rPr>
                <w:rFonts w:hint="default"/>
                <w:color w:val="auto"/>
                <w:sz w:val="20"/>
                <w:highlight w:val="none"/>
              </w:rPr>
            </w:pPr>
            <w:r>
              <w:rPr>
                <w:rFonts w:hint="eastAsia"/>
                <w:color w:val="auto"/>
                <w:sz w:val="20"/>
                <w:highlight w:val="none"/>
              </w:rPr>
              <w:t>13</w:t>
            </w:r>
          </w:p>
        </w:tc>
      </w:tr>
      <w:tr>
        <w:trPr/>
        <w:tc>
          <w:tcPr>
            <w:tcW w:w="2410" w:type="dxa"/>
            <w:vAlign w:val="top"/>
          </w:tcPr>
          <w:p>
            <w:pPr>
              <w:pStyle w:val="0"/>
              <w:ind w:left="220" w:leftChars="100"/>
              <w:rPr>
                <w:rFonts w:hint="default"/>
                <w:color w:val="auto"/>
                <w:sz w:val="20"/>
                <w:highlight w:val="none"/>
              </w:rPr>
            </w:pPr>
            <w:r>
              <w:rPr>
                <w:rFonts w:hint="eastAsia"/>
                <w:color w:val="auto"/>
                <w:sz w:val="20"/>
                <w:highlight w:val="none"/>
              </w:rPr>
              <w:t>訪問ﾘﾊﾋﾞﾘﾃｰｼｮﾝ</w:t>
            </w:r>
          </w:p>
        </w:tc>
        <w:tc>
          <w:tcPr>
            <w:tcW w:w="630" w:type="dxa"/>
            <w:vAlign w:val="top"/>
          </w:tcPr>
          <w:p>
            <w:pPr>
              <w:pStyle w:val="0"/>
              <w:jc w:val="right"/>
              <w:rPr>
                <w:rFonts w:hint="default"/>
                <w:color w:val="auto"/>
                <w:sz w:val="20"/>
                <w:highlight w:val="none"/>
              </w:rPr>
            </w:pPr>
            <w:r>
              <w:rPr>
                <w:rFonts w:hint="eastAsia"/>
                <w:color w:val="auto"/>
                <w:sz w:val="20"/>
                <w:highlight w:val="none"/>
              </w:rPr>
              <w:t>1</w:t>
            </w:r>
          </w:p>
        </w:tc>
        <w:tc>
          <w:tcPr>
            <w:tcW w:w="2520" w:type="dxa"/>
            <w:vAlign w:val="top"/>
          </w:tcPr>
          <w:p>
            <w:pPr>
              <w:pStyle w:val="0"/>
              <w:ind w:firstLine="200" w:firstLineChars="100"/>
              <w:rPr>
                <w:rFonts w:hint="default"/>
                <w:color w:val="auto"/>
                <w:sz w:val="20"/>
                <w:highlight w:val="none"/>
              </w:rPr>
            </w:pPr>
            <w:r>
              <w:rPr>
                <w:rFonts w:hint="eastAsia"/>
                <w:color w:val="auto"/>
                <w:sz w:val="20"/>
                <w:highlight w:val="none"/>
              </w:rPr>
              <w:t>小規模多機能</w:t>
            </w:r>
          </w:p>
        </w:tc>
        <w:tc>
          <w:tcPr>
            <w:tcW w:w="560" w:type="dxa"/>
            <w:vAlign w:val="top"/>
          </w:tcPr>
          <w:p>
            <w:pPr>
              <w:pStyle w:val="0"/>
              <w:jc w:val="right"/>
              <w:rPr>
                <w:rFonts w:hint="default"/>
                <w:color w:val="auto"/>
                <w:sz w:val="20"/>
                <w:highlight w:val="none"/>
              </w:rPr>
            </w:pPr>
            <w:r>
              <w:rPr>
                <w:rFonts w:hint="eastAsia"/>
                <w:color w:val="auto"/>
                <w:sz w:val="20"/>
                <w:highlight w:val="none"/>
              </w:rPr>
              <w:t>0</w:t>
            </w:r>
          </w:p>
        </w:tc>
        <w:tc>
          <w:tcPr>
            <w:tcW w:w="2493" w:type="dxa"/>
            <w:shd w:val="clear" w:color="auto" w:themeFill="text2" w:themeFillTint="33" w:themeFillShade="FF"/>
            <w:vAlign w:val="top"/>
          </w:tcPr>
          <w:p>
            <w:pPr>
              <w:pStyle w:val="0"/>
              <w:rPr>
                <w:rFonts w:hint="default"/>
                <w:b w:val="1"/>
                <w:color w:val="auto"/>
                <w:sz w:val="20"/>
                <w:highlight w:val="none"/>
              </w:rPr>
            </w:pPr>
            <w:r>
              <w:rPr>
                <w:rFonts w:hint="eastAsia"/>
                <w:b w:val="1"/>
                <w:color w:val="auto"/>
                <w:sz w:val="20"/>
                <w:highlight w:val="none"/>
              </w:rPr>
              <w:t>その他</w:t>
            </w:r>
          </w:p>
        </w:tc>
        <w:tc>
          <w:tcPr>
            <w:tcW w:w="567" w:type="dxa"/>
            <w:shd w:val="clear" w:color="auto" w:themeFill="text2" w:themeFillTint="33" w:themeFillShade="FF"/>
            <w:vAlign w:val="top"/>
          </w:tcPr>
          <w:p>
            <w:pPr>
              <w:pStyle w:val="0"/>
              <w:jc w:val="right"/>
              <w:rPr>
                <w:rFonts w:hint="default"/>
                <w:b w:val="1"/>
                <w:color w:val="auto"/>
                <w:sz w:val="20"/>
                <w:highlight w:val="none"/>
              </w:rPr>
            </w:pPr>
          </w:p>
        </w:tc>
      </w:tr>
      <w:tr>
        <w:trPr>
          <w:trHeight w:val="122" w:hRule="atLeast"/>
        </w:trPr>
        <w:tc>
          <w:tcPr>
            <w:tcW w:w="2410" w:type="dxa"/>
            <w:vAlign w:val="top"/>
          </w:tcPr>
          <w:p>
            <w:pPr>
              <w:pStyle w:val="0"/>
              <w:ind w:left="220" w:leftChars="100"/>
              <w:rPr>
                <w:rFonts w:hint="default"/>
                <w:color w:val="auto"/>
                <w:sz w:val="20"/>
                <w:highlight w:val="none"/>
              </w:rPr>
            </w:pPr>
            <w:r>
              <w:rPr>
                <w:rFonts w:hint="eastAsia"/>
                <w:color w:val="auto"/>
                <w:sz w:val="20"/>
                <w:highlight w:val="none"/>
              </w:rPr>
              <w:t>通所介護</w:t>
            </w:r>
          </w:p>
        </w:tc>
        <w:tc>
          <w:tcPr>
            <w:tcW w:w="630" w:type="dxa"/>
            <w:vAlign w:val="top"/>
          </w:tcPr>
          <w:p>
            <w:pPr>
              <w:pStyle w:val="0"/>
              <w:jc w:val="right"/>
              <w:rPr>
                <w:rFonts w:hint="default"/>
                <w:color w:val="auto"/>
                <w:sz w:val="20"/>
                <w:highlight w:val="none"/>
              </w:rPr>
            </w:pPr>
            <w:r>
              <w:rPr>
                <w:rFonts w:hint="eastAsia"/>
                <w:color w:val="auto"/>
                <w:sz w:val="20"/>
                <w:highlight w:val="none"/>
              </w:rPr>
              <w:t>4</w:t>
            </w:r>
          </w:p>
        </w:tc>
        <w:tc>
          <w:tcPr>
            <w:tcW w:w="2520" w:type="dxa"/>
            <w:vAlign w:val="top"/>
          </w:tcPr>
          <w:p>
            <w:pPr>
              <w:pStyle w:val="0"/>
              <w:ind w:firstLine="200" w:firstLineChars="100"/>
              <w:rPr>
                <w:rFonts w:hint="default"/>
                <w:color w:val="auto"/>
                <w:sz w:val="20"/>
                <w:highlight w:val="none"/>
              </w:rPr>
            </w:pPr>
            <w:r>
              <w:rPr>
                <w:rFonts w:hint="eastAsia"/>
                <w:color w:val="auto"/>
                <w:sz w:val="20"/>
                <w:highlight w:val="none"/>
              </w:rPr>
              <w:t>看護小規模多機能</w:t>
            </w:r>
          </w:p>
        </w:tc>
        <w:tc>
          <w:tcPr>
            <w:tcW w:w="560" w:type="dxa"/>
            <w:vAlign w:val="top"/>
          </w:tcPr>
          <w:p>
            <w:pPr>
              <w:pStyle w:val="0"/>
              <w:jc w:val="right"/>
              <w:rPr>
                <w:rFonts w:hint="default"/>
                <w:color w:val="auto"/>
                <w:sz w:val="20"/>
                <w:highlight w:val="none"/>
              </w:rPr>
            </w:pPr>
            <w:r>
              <w:rPr>
                <w:rFonts w:hint="eastAsia"/>
                <w:color w:val="auto"/>
                <w:sz w:val="20"/>
                <w:highlight w:val="none"/>
              </w:rPr>
              <w:t>0</w:t>
            </w:r>
          </w:p>
        </w:tc>
        <w:tc>
          <w:tcPr>
            <w:tcW w:w="2493" w:type="dxa"/>
            <w:shd w:val="clear" w:color="auto" w:fill="auto"/>
            <w:vAlign w:val="top"/>
          </w:tcPr>
          <w:p>
            <w:pPr>
              <w:pStyle w:val="0"/>
              <w:ind w:firstLine="200" w:firstLineChars="100"/>
              <w:rPr>
                <w:rFonts w:hint="default"/>
                <w:color w:val="auto"/>
                <w:sz w:val="20"/>
                <w:highlight w:val="none"/>
              </w:rPr>
            </w:pPr>
            <w:r>
              <w:rPr>
                <w:rFonts w:hint="eastAsia"/>
                <w:color w:val="auto"/>
                <w:sz w:val="20"/>
                <w:highlight w:val="none"/>
              </w:rPr>
              <w:t>ｹｱﾊｳｽ</w:t>
            </w:r>
            <w:r>
              <w:rPr>
                <w:rFonts w:hint="eastAsia"/>
                <w:color w:val="auto"/>
                <w:sz w:val="20"/>
                <w:highlight w:val="none"/>
              </w:rPr>
              <w:t>(</w:t>
            </w:r>
            <w:r>
              <w:rPr>
                <w:rFonts w:hint="eastAsia"/>
                <w:color w:val="auto"/>
                <w:sz w:val="20"/>
                <w:highlight w:val="none"/>
              </w:rPr>
              <w:t>軽費老人ﾎｰﾑ</w:t>
            </w:r>
            <w:r>
              <w:rPr>
                <w:rFonts w:hint="eastAsia"/>
                <w:color w:val="auto"/>
                <w:sz w:val="20"/>
                <w:highlight w:val="none"/>
              </w:rPr>
              <w:t>)</w:t>
            </w:r>
          </w:p>
        </w:tc>
        <w:tc>
          <w:tcPr>
            <w:tcW w:w="567" w:type="dxa"/>
            <w:shd w:val="clear" w:color="auto" w:fill="auto"/>
            <w:vAlign w:val="top"/>
          </w:tcPr>
          <w:p>
            <w:pPr>
              <w:pStyle w:val="0"/>
              <w:jc w:val="right"/>
              <w:rPr>
                <w:rFonts w:hint="default"/>
                <w:color w:val="auto"/>
                <w:sz w:val="20"/>
                <w:highlight w:val="none"/>
              </w:rPr>
            </w:pPr>
            <w:r>
              <w:rPr>
                <w:rFonts w:hint="eastAsia"/>
                <w:color w:val="auto"/>
                <w:sz w:val="20"/>
                <w:highlight w:val="none"/>
              </w:rPr>
              <w:t>0</w:t>
            </w:r>
          </w:p>
        </w:tc>
      </w:tr>
      <w:tr>
        <w:trPr/>
        <w:tc>
          <w:tcPr>
            <w:tcW w:w="2410" w:type="dxa"/>
            <w:vAlign w:val="top"/>
          </w:tcPr>
          <w:p>
            <w:pPr>
              <w:pStyle w:val="0"/>
              <w:ind w:left="220" w:leftChars="100"/>
              <w:rPr>
                <w:rFonts w:hint="default"/>
                <w:color w:val="auto"/>
                <w:sz w:val="20"/>
                <w:highlight w:val="none"/>
              </w:rPr>
            </w:pPr>
            <w:r>
              <w:rPr>
                <w:rFonts w:hint="eastAsia"/>
                <w:color w:val="auto"/>
                <w:sz w:val="20"/>
                <w:highlight w:val="none"/>
              </w:rPr>
              <w:t>通所ﾘﾊﾋﾞﾘﾃｰｼｮﾝ</w:t>
            </w:r>
          </w:p>
        </w:tc>
        <w:tc>
          <w:tcPr>
            <w:tcW w:w="630" w:type="dxa"/>
            <w:vAlign w:val="top"/>
          </w:tcPr>
          <w:p>
            <w:pPr>
              <w:pStyle w:val="0"/>
              <w:jc w:val="right"/>
              <w:rPr>
                <w:rFonts w:hint="default"/>
                <w:color w:val="auto"/>
                <w:sz w:val="20"/>
                <w:highlight w:val="none"/>
              </w:rPr>
            </w:pPr>
            <w:r>
              <w:rPr>
                <w:rFonts w:hint="eastAsia"/>
                <w:color w:val="auto"/>
                <w:sz w:val="20"/>
                <w:highlight w:val="none"/>
              </w:rPr>
              <w:t>3</w:t>
            </w:r>
          </w:p>
        </w:tc>
        <w:tc>
          <w:tcPr>
            <w:tcW w:w="2520" w:type="dxa"/>
            <w:vAlign w:val="top"/>
          </w:tcPr>
          <w:p>
            <w:pPr>
              <w:pStyle w:val="0"/>
              <w:rPr>
                <w:rFonts w:hint="default"/>
                <w:color w:val="auto"/>
                <w:sz w:val="20"/>
                <w:highlight w:val="none"/>
              </w:rPr>
            </w:pPr>
            <w:r>
              <w:rPr>
                <w:rFonts w:hint="eastAsia"/>
                <w:color w:val="auto"/>
                <w:sz w:val="20"/>
                <w:highlight w:val="none"/>
              </w:rPr>
              <w:t>　</w:t>
            </w:r>
            <w:r>
              <w:rPr>
                <w:rFonts w:hint="eastAsia"/>
                <w:color w:val="auto"/>
                <w:sz w:val="20"/>
                <w:highlight w:val="none"/>
              </w:rPr>
              <w:t xml:space="preserve"> </w:t>
            </w:r>
            <w:r>
              <w:rPr>
                <w:rFonts w:hint="eastAsia"/>
                <w:color w:val="auto"/>
                <w:sz w:val="20"/>
                <w:highlight w:val="none"/>
              </w:rPr>
              <w:t>地域密着型特養</w:t>
            </w:r>
          </w:p>
        </w:tc>
        <w:tc>
          <w:tcPr>
            <w:tcW w:w="560" w:type="dxa"/>
            <w:vAlign w:val="top"/>
          </w:tcPr>
          <w:p>
            <w:pPr>
              <w:pStyle w:val="0"/>
              <w:jc w:val="right"/>
              <w:rPr>
                <w:rFonts w:hint="default"/>
                <w:color w:val="auto"/>
                <w:sz w:val="20"/>
                <w:highlight w:val="none"/>
              </w:rPr>
            </w:pPr>
            <w:r>
              <w:rPr>
                <w:rFonts w:hint="eastAsia"/>
                <w:color w:val="auto"/>
                <w:sz w:val="20"/>
                <w:highlight w:val="none"/>
              </w:rPr>
              <w:t>0</w:t>
            </w:r>
          </w:p>
        </w:tc>
        <w:tc>
          <w:tcPr>
            <w:tcW w:w="2493" w:type="dxa"/>
            <w:shd w:val="clear" w:color="auto" w:fill="auto"/>
            <w:vAlign w:val="top"/>
          </w:tcPr>
          <w:p>
            <w:pPr>
              <w:pStyle w:val="0"/>
              <w:ind w:right="-110" w:rightChars="-50" w:firstLine="200" w:firstLineChars="100"/>
              <w:rPr>
                <w:rFonts w:hint="default"/>
                <w:color w:val="auto"/>
                <w:sz w:val="20"/>
                <w:highlight w:val="none"/>
              </w:rPr>
            </w:pPr>
            <w:r>
              <w:rPr>
                <w:rFonts w:hint="eastAsia"/>
                <w:color w:val="auto"/>
                <w:sz w:val="20"/>
                <w:highlight w:val="none"/>
              </w:rPr>
              <w:t>サ高住</w:t>
            </w:r>
          </w:p>
        </w:tc>
        <w:tc>
          <w:tcPr>
            <w:tcW w:w="567" w:type="dxa"/>
            <w:shd w:val="clear" w:color="auto" w:fill="auto"/>
            <w:vAlign w:val="top"/>
          </w:tcPr>
          <w:p>
            <w:pPr>
              <w:pStyle w:val="0"/>
              <w:jc w:val="right"/>
              <w:rPr>
                <w:rFonts w:hint="default"/>
                <w:color w:val="auto"/>
                <w:sz w:val="20"/>
                <w:highlight w:val="none"/>
              </w:rPr>
            </w:pPr>
            <w:r>
              <w:rPr>
                <w:rFonts w:hint="eastAsia"/>
                <w:color w:val="auto"/>
                <w:sz w:val="20"/>
                <w:highlight w:val="none"/>
              </w:rPr>
              <w:t>4</w:t>
            </w:r>
          </w:p>
        </w:tc>
      </w:tr>
      <w:tr>
        <w:trPr/>
        <w:tc>
          <w:tcPr>
            <w:tcW w:w="2410" w:type="dxa"/>
            <w:vAlign w:val="top"/>
          </w:tcPr>
          <w:p>
            <w:pPr>
              <w:pStyle w:val="0"/>
              <w:ind w:left="220" w:leftChars="100"/>
              <w:rPr>
                <w:rFonts w:hint="default"/>
                <w:color w:val="auto"/>
                <w:sz w:val="20"/>
                <w:highlight w:val="none"/>
              </w:rPr>
            </w:pPr>
            <w:r>
              <w:rPr>
                <w:rFonts w:hint="eastAsia"/>
                <w:color w:val="auto"/>
                <w:sz w:val="20"/>
                <w:highlight w:val="none"/>
              </w:rPr>
              <w:t>ショートステイ</w:t>
            </w:r>
          </w:p>
        </w:tc>
        <w:tc>
          <w:tcPr>
            <w:tcW w:w="630" w:type="dxa"/>
            <w:vAlign w:val="top"/>
          </w:tcPr>
          <w:p>
            <w:pPr>
              <w:pStyle w:val="0"/>
              <w:jc w:val="right"/>
              <w:rPr>
                <w:rFonts w:hint="default"/>
                <w:color w:val="auto"/>
                <w:sz w:val="20"/>
                <w:highlight w:val="none"/>
              </w:rPr>
            </w:pPr>
            <w:r>
              <w:rPr>
                <w:rFonts w:hint="eastAsia"/>
                <w:color w:val="auto"/>
                <w:sz w:val="20"/>
                <w:highlight w:val="none"/>
              </w:rPr>
              <w:t>2</w:t>
            </w:r>
          </w:p>
        </w:tc>
        <w:tc>
          <w:tcPr>
            <w:tcW w:w="2520" w:type="dxa"/>
            <w:vAlign w:val="top"/>
          </w:tcPr>
          <w:p>
            <w:pPr>
              <w:pStyle w:val="0"/>
              <w:ind w:left="220" w:leftChars="100"/>
              <w:rPr>
                <w:rFonts w:hint="default"/>
                <w:color w:val="auto"/>
                <w:sz w:val="20"/>
                <w:highlight w:val="none"/>
              </w:rPr>
            </w:pPr>
            <w:r>
              <w:rPr>
                <w:rFonts w:hint="eastAsia"/>
                <w:color w:val="auto"/>
                <w:sz w:val="20"/>
                <w:highlight w:val="none"/>
              </w:rPr>
              <w:t>地域密着型特定入居</w:t>
            </w:r>
          </w:p>
        </w:tc>
        <w:tc>
          <w:tcPr>
            <w:tcW w:w="560" w:type="dxa"/>
            <w:vAlign w:val="top"/>
          </w:tcPr>
          <w:p>
            <w:pPr>
              <w:pStyle w:val="0"/>
              <w:jc w:val="right"/>
              <w:rPr>
                <w:rFonts w:hint="default"/>
                <w:color w:val="auto"/>
                <w:sz w:val="20"/>
                <w:highlight w:val="none"/>
              </w:rPr>
            </w:pPr>
            <w:r>
              <w:rPr>
                <w:rFonts w:hint="eastAsia"/>
                <w:color w:val="auto"/>
                <w:sz w:val="20"/>
                <w:highlight w:val="none"/>
              </w:rPr>
              <w:t>0</w:t>
            </w:r>
          </w:p>
        </w:tc>
        <w:tc>
          <w:tcPr>
            <w:tcW w:w="2493" w:type="dxa"/>
            <w:shd w:val="clear" w:color="auto" w:fill="auto"/>
            <w:vAlign w:val="top"/>
          </w:tcPr>
          <w:p>
            <w:pPr>
              <w:pStyle w:val="0"/>
              <w:ind w:right="-110" w:rightChars="-50" w:firstLine="200" w:firstLineChars="100"/>
              <w:rPr>
                <w:rFonts w:hint="default"/>
                <w:color w:val="auto"/>
                <w:sz w:val="20"/>
                <w:highlight w:val="none"/>
              </w:rPr>
            </w:pPr>
            <w:r>
              <w:rPr>
                <w:rFonts w:hint="eastAsia"/>
                <w:color w:val="auto"/>
                <w:sz w:val="20"/>
                <w:highlight w:val="none"/>
              </w:rPr>
              <w:t>有料老人ホーム</w:t>
            </w:r>
          </w:p>
        </w:tc>
        <w:tc>
          <w:tcPr>
            <w:tcW w:w="567" w:type="dxa"/>
            <w:shd w:val="clear" w:color="auto" w:fill="auto"/>
            <w:vAlign w:val="top"/>
          </w:tcPr>
          <w:p>
            <w:pPr>
              <w:pStyle w:val="0"/>
              <w:jc w:val="right"/>
              <w:rPr>
                <w:rFonts w:hint="default"/>
                <w:color w:val="auto"/>
                <w:sz w:val="20"/>
                <w:highlight w:val="none"/>
              </w:rPr>
            </w:pPr>
            <w:r>
              <w:rPr>
                <w:rFonts w:hint="eastAsia"/>
                <w:color w:val="auto"/>
                <w:sz w:val="20"/>
                <w:highlight w:val="none"/>
              </w:rPr>
              <w:t>1</w:t>
            </w:r>
          </w:p>
        </w:tc>
      </w:tr>
      <w:tr>
        <w:trPr/>
        <w:tc>
          <w:tcPr>
            <w:tcW w:w="2410" w:type="dxa"/>
            <w:vAlign w:val="top"/>
          </w:tcPr>
          <w:p>
            <w:pPr>
              <w:pStyle w:val="0"/>
              <w:ind w:left="220" w:leftChars="100"/>
              <w:rPr>
                <w:rFonts w:hint="default"/>
                <w:color w:val="auto"/>
                <w:sz w:val="20"/>
                <w:highlight w:val="none"/>
              </w:rPr>
            </w:pPr>
            <w:r>
              <w:rPr>
                <w:rFonts w:hint="eastAsia"/>
                <w:color w:val="auto"/>
                <w:sz w:val="20"/>
                <w:highlight w:val="none"/>
              </w:rPr>
              <w:t>特定入居</w:t>
            </w:r>
            <w:r>
              <w:rPr>
                <w:rFonts w:hint="eastAsia"/>
                <w:color w:val="auto"/>
                <w:sz w:val="20"/>
                <w:highlight w:val="none"/>
              </w:rPr>
              <w:t>(</w:t>
            </w:r>
            <w:r>
              <w:rPr>
                <w:rFonts w:hint="eastAsia"/>
                <w:color w:val="auto"/>
                <w:sz w:val="20"/>
                <w:highlight w:val="none"/>
              </w:rPr>
              <w:t>生・療</w:t>
            </w:r>
            <w:r>
              <w:rPr>
                <w:rFonts w:hint="eastAsia"/>
                <w:color w:val="auto"/>
                <w:sz w:val="20"/>
                <w:highlight w:val="none"/>
              </w:rPr>
              <w:t>)</w:t>
            </w:r>
          </w:p>
        </w:tc>
        <w:tc>
          <w:tcPr>
            <w:tcW w:w="630" w:type="dxa"/>
            <w:vAlign w:val="top"/>
          </w:tcPr>
          <w:p>
            <w:pPr>
              <w:pStyle w:val="0"/>
              <w:jc w:val="right"/>
              <w:rPr>
                <w:rFonts w:hint="default"/>
                <w:color w:val="auto"/>
                <w:sz w:val="20"/>
                <w:highlight w:val="none"/>
              </w:rPr>
            </w:pPr>
            <w:r>
              <w:rPr>
                <w:rFonts w:hint="eastAsia"/>
                <w:color w:val="auto"/>
                <w:sz w:val="20"/>
                <w:highlight w:val="none"/>
              </w:rPr>
              <w:t>1</w:t>
            </w:r>
          </w:p>
        </w:tc>
        <w:tc>
          <w:tcPr>
            <w:tcW w:w="2520" w:type="dxa"/>
            <w:vAlign w:val="top"/>
          </w:tcPr>
          <w:p>
            <w:pPr>
              <w:pStyle w:val="0"/>
              <w:ind w:left="220" w:leftChars="100"/>
              <w:rPr>
                <w:rFonts w:hint="default"/>
                <w:color w:val="auto"/>
                <w:sz w:val="20"/>
                <w:highlight w:val="none"/>
              </w:rPr>
            </w:pPr>
          </w:p>
        </w:tc>
        <w:tc>
          <w:tcPr>
            <w:tcW w:w="560" w:type="dxa"/>
            <w:vAlign w:val="top"/>
          </w:tcPr>
          <w:p>
            <w:pPr>
              <w:pStyle w:val="0"/>
              <w:rPr>
                <w:rFonts w:hint="default"/>
                <w:color w:val="auto"/>
                <w:sz w:val="20"/>
                <w:highlight w:val="none"/>
              </w:rPr>
            </w:pPr>
          </w:p>
        </w:tc>
        <w:tc>
          <w:tcPr>
            <w:tcW w:w="2493" w:type="dxa"/>
            <w:shd w:val="clear" w:color="auto" w:fill="auto"/>
            <w:vAlign w:val="top"/>
          </w:tcPr>
          <w:p>
            <w:pPr>
              <w:pStyle w:val="0"/>
              <w:ind w:right="-110" w:rightChars="-50" w:firstLine="200" w:firstLineChars="100"/>
              <w:rPr>
                <w:rFonts w:hint="default"/>
                <w:color w:val="auto"/>
                <w:sz w:val="20"/>
                <w:highlight w:val="none"/>
              </w:rPr>
            </w:pPr>
          </w:p>
        </w:tc>
        <w:tc>
          <w:tcPr>
            <w:tcW w:w="567" w:type="dxa"/>
            <w:shd w:val="clear" w:color="auto" w:fill="auto"/>
            <w:vAlign w:val="top"/>
          </w:tcPr>
          <w:p>
            <w:pPr>
              <w:pStyle w:val="0"/>
              <w:rPr>
                <w:rFonts w:hint="default"/>
                <w:color w:val="auto"/>
                <w:sz w:val="20"/>
                <w:highlight w:val="none"/>
              </w:rPr>
            </w:pPr>
          </w:p>
        </w:tc>
      </w:tr>
    </w:tbl>
    <w:p>
      <w:pPr>
        <w:pStyle w:val="0"/>
        <w:rPr>
          <w:rFonts w:hint="default" w:ascii="BIZ UDPゴシック" w:hAnsi="BIZ UDPゴシック" w:eastAsia="BIZ UDPゴシック"/>
          <w:color w:val="auto"/>
          <w:highlight w:val="none"/>
        </w:rPr>
      </w:pPr>
      <w:r>
        <w:rPr>
          <w:rFonts w:hint="default" w:ascii="BIZ UDPゴシック" w:hAnsi="BIZ UDPゴシック" w:eastAsia="BIZ UDPゴシック"/>
          <w:color w:val="auto"/>
          <w:highlight w:val="none"/>
        </w:rPr>
        <w:br w:type="page"/>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〔図　大野圏域の人口の推計〕</w:t>
      </w:r>
    </w:p>
    <w:p>
      <w:pPr>
        <w:pStyle w:val="0"/>
        <w:rPr>
          <w:rFonts w:hint="default" w:ascii="BIZ UDPゴシック" w:hAnsi="BIZ UDPゴシック" w:eastAsia="BIZ UDPゴシック"/>
          <w:color w:val="auto"/>
          <w:highlight w:val="none"/>
        </w:rPr>
      </w:pPr>
      <w:r>
        <w:rPr>
          <w:rFonts w:hint="default"/>
          <w:color w:val="auto"/>
          <w:highlight w:val="none"/>
        </w:rPr>
        <w:drawing>
          <wp:anchor distT="0" distB="0" distL="114300" distR="114300" simplePos="0" relativeHeight="152" behindDoc="0" locked="0" layoutInCell="1" hidden="0" allowOverlap="1">
            <wp:simplePos x="0" y="0"/>
            <wp:positionH relativeFrom="column">
              <wp:posOffset>390525</wp:posOffset>
            </wp:positionH>
            <wp:positionV relativeFrom="paragraph">
              <wp:posOffset>40005</wp:posOffset>
            </wp:positionV>
            <wp:extent cx="5543550" cy="2400300"/>
            <wp:effectExtent l="0" t="0" r="0" b="0"/>
            <wp:wrapNone/>
            <wp:docPr id="1097" name="Picture 11"/>
            <a:graphic xmlns:a="http://schemas.openxmlformats.org/drawingml/2006/main">
              <a:graphicData uri="http://schemas.openxmlformats.org/drawingml/2006/picture">
                <pic:pic xmlns:pic="http://schemas.openxmlformats.org/drawingml/2006/picture">
                  <pic:nvPicPr>
                    <pic:cNvPr id="1097" name="Picture 11"/>
                    <pic:cNvPicPr>
                      <a:picLocks noChangeAspect="1" noChangeArrowheads="1"/>
                    </pic:cNvPicPr>
                  </pic:nvPicPr>
                  <pic:blipFill>
                    <a:blip r:embed="rId41"/>
                    <a:stretch>
                      <a:fillRect/>
                    </a:stretch>
                  </pic:blipFill>
                  <pic:spPr>
                    <a:xfrm>
                      <a:off x="0" y="0"/>
                      <a:ext cx="5543550" cy="2400300"/>
                    </a:xfrm>
                    <a:prstGeom prst="rect">
                      <a:avLst/>
                    </a:prstGeom>
                    <a:noFill/>
                    <a:ln>
                      <a:noFill/>
                    </a:ln>
                  </pic:spPr>
                </pic:pic>
              </a:graphicData>
            </a:graphic>
          </wp:anchor>
        </w:drawing>
      </w: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jc w:val="right"/>
        <w:rPr>
          <w:rFonts w:hint="default" w:ascii="BIZ UDPゴシック" w:hAnsi="BIZ UDPゴシック" w:eastAsia="BIZ UDPゴシック"/>
          <w:color w:val="auto"/>
          <w:sz w:val="20"/>
          <w:highlight w:val="none"/>
        </w:rPr>
      </w:pPr>
      <w:r>
        <w:rPr>
          <w:rFonts w:hint="eastAsia" w:ascii="BIZ UDPゴシック" w:hAnsi="BIZ UDPゴシック" w:eastAsia="BIZ UDPゴシック"/>
          <w:color w:val="auto"/>
          <w:sz w:val="20"/>
          <w:highlight w:val="none"/>
        </w:rPr>
        <w:t>資料：住民基本台帳人口及び推計値</w:t>
      </w:r>
    </w:p>
    <w:p>
      <w:pPr>
        <w:pStyle w:val="0"/>
        <w:rPr>
          <w:rFonts w:hint="default" w:ascii="BIZ UDPゴシック" w:hAnsi="BIZ UDPゴシック" w:eastAsia="BIZ UDPゴシック"/>
          <w:color w:val="auto"/>
          <w:highlight w:val="none"/>
        </w:rPr>
      </w:pPr>
    </w:p>
    <w:p>
      <w:pPr>
        <w:pStyle w:val="0"/>
        <w:spacing w:line="240" w:lineRule="exact"/>
        <w:jc w:val="center"/>
        <w:rPr>
          <w:rFonts w:hint="default"/>
          <w:color w:val="auto"/>
          <w:highlight w:val="none"/>
        </w:rPr>
      </w:pPr>
      <w:r>
        <w:rPr>
          <w:rFonts w:hint="eastAsia" w:ascii="BIZ UDPゴシック" w:hAnsi="BIZ UDPゴシック" w:eastAsia="BIZ UDPゴシック"/>
          <w:color w:val="auto"/>
          <w:highlight w:val="none"/>
        </w:rPr>
        <w:t>〔大野圏域の要支援・要介護認定者数（第</w:t>
      </w:r>
      <w:r>
        <w:rPr>
          <w:rFonts w:hint="eastAsia" w:ascii="BIZ UDPゴシック" w:hAnsi="BIZ UDPゴシック" w:eastAsia="BIZ UDPゴシック"/>
          <w:color w:val="auto"/>
          <w:highlight w:val="none"/>
        </w:rPr>
        <w:t>1</w:t>
      </w:r>
      <w:r>
        <w:rPr>
          <w:rFonts w:hint="eastAsia" w:ascii="BIZ UDPゴシック" w:hAnsi="BIZ UDPゴシック" w:eastAsia="BIZ UDPゴシック"/>
          <w:color w:val="auto"/>
          <w:highlight w:val="none"/>
        </w:rPr>
        <w:t>号被保険者）の推計〕</w:t>
      </w:r>
    </w:p>
    <w:p>
      <w:pPr>
        <w:pStyle w:val="0"/>
        <w:rPr>
          <w:rFonts w:hint="default" w:ascii="BIZ UDPゴシック" w:hAnsi="BIZ UDPゴシック" w:eastAsia="BIZ UDPゴシック"/>
          <w:color w:val="auto"/>
          <w:highlight w:val="none"/>
        </w:rPr>
      </w:pPr>
      <w:r>
        <w:rPr>
          <w:rFonts w:hint="default"/>
          <w:color w:val="auto"/>
          <w:highlight w:val="none"/>
        </w:rPr>
        <w:drawing>
          <wp:anchor distT="0" distB="0" distL="114300" distR="114300" simplePos="0" relativeHeight="158" behindDoc="0" locked="0" layoutInCell="1" hidden="0" allowOverlap="1">
            <wp:simplePos x="0" y="0"/>
            <wp:positionH relativeFrom="column">
              <wp:posOffset>1436370</wp:posOffset>
            </wp:positionH>
            <wp:positionV relativeFrom="paragraph">
              <wp:posOffset>84455</wp:posOffset>
            </wp:positionV>
            <wp:extent cx="3686175" cy="2057400"/>
            <wp:effectExtent l="0" t="0" r="0" b="0"/>
            <wp:wrapNone/>
            <wp:docPr id="1098" name="Picture 5"/>
            <a:graphic xmlns:a="http://schemas.openxmlformats.org/drawingml/2006/main">
              <a:graphicData uri="http://schemas.openxmlformats.org/drawingml/2006/picture">
                <pic:pic xmlns:pic="http://schemas.openxmlformats.org/drawingml/2006/picture">
                  <pic:nvPicPr>
                    <pic:cNvPr id="1098" name="Picture 5"/>
                    <pic:cNvPicPr>
                      <a:picLocks noChangeAspect="1" noChangeArrowheads="1"/>
                    </pic:cNvPicPr>
                  </pic:nvPicPr>
                  <pic:blipFill>
                    <a:blip r:embed="rId42"/>
                    <a:stretch>
                      <a:fillRect/>
                    </a:stretch>
                  </pic:blipFill>
                  <pic:spPr>
                    <a:xfrm>
                      <a:off x="0" y="0"/>
                      <a:ext cx="3686175" cy="2057400"/>
                    </a:xfrm>
                    <a:prstGeom prst="rect">
                      <a:avLst/>
                    </a:prstGeom>
                    <a:noFill/>
                    <a:ln>
                      <a:noFill/>
                    </a:ln>
                  </pic:spPr>
                </pic:pic>
              </a:graphicData>
            </a:graphic>
          </wp:anchor>
        </w:drawing>
      </w: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〔地域の特徴〕</w:t>
      </w:r>
    </w:p>
    <w:p>
      <w:pPr>
        <w:pStyle w:val="34"/>
        <w:numPr>
          <w:ilvl w:val="0"/>
          <w:numId w:val="2"/>
        </w:numPr>
        <w:spacing w:before="185" w:beforeLines="50" w:beforeAutospacing="0"/>
        <w:ind w:left="652" w:leftChars="0" w:hanging="442"/>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７圏域の中で２番目に人口が多く、高齢化率も２番目に低くなっています。</w:t>
      </w:r>
    </w:p>
    <w:p>
      <w:pPr>
        <w:pStyle w:val="34"/>
        <w:numPr>
          <w:ilvl w:val="0"/>
          <w:numId w:val="2"/>
        </w:numPr>
        <w:ind w:left="650" w:leftChars="0" w:hanging="44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今後、総人口、高齢者数ともに減少しますが、後期高齢者数は令和</w:t>
      </w:r>
      <w:r>
        <w:rPr>
          <w:rFonts w:hint="eastAsia" w:ascii="BIZ UDPゴシック" w:hAnsi="BIZ UDPゴシック" w:eastAsia="BIZ UDPゴシック"/>
          <w:color w:val="auto"/>
          <w:highlight w:val="none"/>
        </w:rPr>
        <w:t>10</w:t>
      </w:r>
      <w:r>
        <w:rPr>
          <w:rFonts w:hint="eastAsia" w:ascii="BIZ UDPゴシック" w:hAnsi="BIZ UDPゴシック" w:eastAsia="BIZ UDPゴシック"/>
          <w:color w:val="auto"/>
          <w:highlight w:val="none"/>
        </w:rPr>
        <w:t>（</w:t>
      </w:r>
      <w:r>
        <w:rPr>
          <w:rFonts w:hint="eastAsia" w:ascii="BIZ UDPゴシック" w:hAnsi="BIZ UDPゴシック" w:eastAsia="BIZ UDPゴシック"/>
          <w:color w:val="auto"/>
          <w:highlight w:val="none"/>
        </w:rPr>
        <w:t>2028</w:t>
      </w:r>
      <w:r>
        <w:rPr>
          <w:rFonts w:hint="eastAsia" w:ascii="BIZ UDPゴシック" w:hAnsi="BIZ UDPゴシック" w:eastAsia="BIZ UDPゴシック"/>
          <w:color w:val="auto"/>
          <w:highlight w:val="none"/>
        </w:rPr>
        <w:t>）年まで、</w:t>
      </w:r>
      <w:r>
        <w:rPr>
          <w:rFonts w:hint="eastAsia" w:ascii="BIZ UDPゴシック" w:hAnsi="BIZ UDPゴシック" w:eastAsia="BIZ UDPゴシック"/>
          <w:color w:val="auto"/>
          <w:highlight w:val="none"/>
        </w:rPr>
        <w:t>85</w:t>
      </w:r>
      <w:r>
        <w:rPr>
          <w:rFonts w:hint="eastAsia" w:ascii="BIZ UDPゴシック" w:hAnsi="BIZ UDPゴシック" w:eastAsia="BIZ UDPゴシック"/>
          <w:color w:val="auto"/>
          <w:highlight w:val="none"/>
        </w:rPr>
        <w:t>歳以上の高齢者数は令和</w:t>
      </w:r>
      <w:r>
        <w:rPr>
          <w:rFonts w:hint="eastAsia" w:ascii="BIZ UDPゴシック" w:hAnsi="BIZ UDPゴシック" w:eastAsia="BIZ UDPゴシック"/>
          <w:color w:val="auto"/>
          <w:highlight w:val="none"/>
        </w:rPr>
        <w:t>18</w:t>
      </w:r>
      <w:r>
        <w:rPr>
          <w:rFonts w:hint="eastAsia" w:ascii="BIZ UDPゴシック" w:hAnsi="BIZ UDPゴシック" w:eastAsia="BIZ UDPゴシック"/>
          <w:color w:val="auto"/>
          <w:highlight w:val="none"/>
        </w:rPr>
        <w:t>（</w:t>
      </w:r>
      <w:r>
        <w:rPr>
          <w:rFonts w:hint="eastAsia" w:ascii="BIZ UDPゴシック" w:hAnsi="BIZ UDPゴシック" w:eastAsia="BIZ UDPゴシック"/>
          <w:color w:val="auto"/>
          <w:highlight w:val="none"/>
        </w:rPr>
        <w:t>2036</w:t>
      </w:r>
      <w:r>
        <w:rPr>
          <w:rFonts w:hint="eastAsia" w:ascii="BIZ UDPゴシック" w:hAnsi="BIZ UDPゴシック" w:eastAsia="BIZ UDPゴシック"/>
          <w:color w:val="auto"/>
          <w:highlight w:val="none"/>
        </w:rPr>
        <w:t>）年まで増加する見込みです。</w:t>
      </w:r>
    </w:p>
    <w:p>
      <w:pPr>
        <w:pStyle w:val="34"/>
        <w:numPr>
          <w:ilvl w:val="0"/>
          <w:numId w:val="2"/>
        </w:numPr>
        <w:ind w:left="650" w:leftChars="0" w:hanging="44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要支援・要介護認定率は７圏域の中では平均的ですが、今後、</w:t>
      </w:r>
      <w:r>
        <w:rPr>
          <w:rFonts w:hint="default" w:ascii="BIZ UDPゴシック" w:hAnsi="BIZ UDPゴシック" w:eastAsia="BIZ UDPゴシック"/>
          <w:color w:val="auto"/>
          <w:highlight w:val="none"/>
        </w:rPr>
        <w:t>85</w:t>
      </w:r>
      <w:r>
        <w:rPr>
          <w:rFonts w:hint="default" w:ascii="BIZ UDPゴシック" w:hAnsi="BIZ UDPゴシック" w:eastAsia="BIZ UDPゴシック"/>
          <w:color w:val="auto"/>
          <w:highlight w:val="none"/>
        </w:rPr>
        <w:t>歳以上の高齢者数</w:t>
      </w:r>
      <w:r>
        <w:rPr>
          <w:rFonts w:hint="eastAsia" w:ascii="BIZ UDPゴシック" w:hAnsi="BIZ UDPゴシック" w:eastAsia="BIZ UDPゴシック"/>
          <w:color w:val="auto"/>
          <w:highlight w:val="none"/>
        </w:rPr>
        <w:t>の増加に伴い、認定者数は増加し、認定率は上昇する見込みです。</w:t>
      </w:r>
    </w:p>
    <w:p>
      <w:pPr>
        <w:pStyle w:val="34"/>
        <w:numPr>
          <w:ilvl w:val="0"/>
          <w:numId w:val="2"/>
        </w:numPr>
        <w:ind w:left="650" w:leftChars="0" w:hanging="44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医療機関や介護保険サービスが充実している地域です。</w:t>
      </w:r>
    </w:p>
    <w:p>
      <w:pPr>
        <w:pStyle w:val="34"/>
        <w:numPr>
          <w:ilvl w:val="0"/>
          <w:numId w:val="2"/>
        </w:numPr>
        <w:ind w:left="650" w:leftChars="0" w:hanging="44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ニーズ調査の結果では、「沿岸部の中では持ち家に住んでいる」の割合が高くなっています。</w:t>
      </w:r>
    </w:p>
    <w:p>
      <w:pPr>
        <w:pStyle w:val="0"/>
        <w:widowControl w:val="1"/>
        <w:spacing w:line="380" w:lineRule="exact"/>
        <w:jc w:val="left"/>
        <w:rPr>
          <w:rFonts w:hint="default"/>
          <w:color w:val="auto"/>
          <w:highlight w:val="none"/>
        </w:rPr>
      </w:pPr>
      <w:r>
        <w:rPr>
          <w:rFonts w:hint="default"/>
          <w:color w:val="auto"/>
          <w:highlight w:val="none"/>
        </w:rPr>
        <w:br w:type="page"/>
      </w:r>
    </w:p>
    <w:p>
      <w:pPr>
        <w:pStyle w:val="0"/>
        <w:jc w:val="center"/>
        <w:rPr>
          <w:rFonts w:hint="default" w:ascii="BIZ UDPゴシック" w:hAnsi="BIZ UDPゴシック" w:eastAsia="BIZ UDPゴシック"/>
          <w:color w:val="auto"/>
          <w:sz w:val="28"/>
          <w:highlight w:val="none"/>
        </w:rPr>
      </w:pPr>
      <w:r>
        <w:rPr>
          <w:rFonts w:hint="eastAsia" w:ascii="BIZ UDPゴシック" w:hAnsi="BIZ UDPゴシック" w:eastAsia="BIZ UDPゴシック"/>
          <w:color w:val="auto"/>
          <w:sz w:val="28"/>
          <w:highlight w:val="none"/>
        </w:rPr>
        <w:t>≪宮島圏域≫</w:t>
      </w:r>
    </w:p>
    <w:tbl>
      <w:tblPr>
        <w:tblStyle w:val="81"/>
        <w:tblW w:w="9090" w:type="dxa"/>
        <w:jc w:val="center"/>
        <w:tblInd w:w="0" w:type="dxa"/>
        <w:tblLayout w:type="fixed"/>
        <w:tblLook w:firstRow="1" w:lastRow="0" w:firstColumn="1" w:lastColumn="0" w:noHBand="0" w:noVBand="1" w:val="04A0"/>
      </w:tblPr>
      <w:tblGrid>
        <w:gridCol w:w="1818"/>
        <w:gridCol w:w="1818"/>
        <w:gridCol w:w="1818"/>
        <w:gridCol w:w="1818"/>
        <w:gridCol w:w="1818"/>
      </w:tblGrid>
      <w:tr>
        <w:trPr>
          <w:trHeight w:val="1191" w:hRule="atLeast"/>
        </w:trPr>
        <w:tc>
          <w:tcPr>
            <w:tcW w:w="1818" w:type="dxa"/>
            <w:shd w:val="clear" w:color="auto" w:themeFill="accent5" w:themeFillTint="66" w:themeFillShade="FF"/>
            <w:vAlign w:val="center"/>
          </w:tcPr>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総人口</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8"/>
                <w:highlight w:val="none"/>
              </w:rPr>
              <w:t>（Ｒ</w:t>
            </w:r>
            <w:r>
              <w:rPr>
                <w:rFonts w:hint="eastAsia" w:ascii="BIZ UDPゴシック" w:hAnsi="BIZ UDPゴシック" w:eastAsia="BIZ UDPゴシック"/>
                <w:color w:val="auto"/>
                <w:sz w:val="18"/>
                <w:highlight w:val="none"/>
              </w:rPr>
              <w:t>5.9</w:t>
            </w:r>
            <w:r>
              <w:rPr>
                <w:rFonts w:hint="eastAsia" w:ascii="BIZ UDPゴシック" w:hAnsi="BIZ UDPゴシック" w:eastAsia="BIZ UDPゴシック"/>
                <w:color w:val="auto"/>
                <w:sz w:val="18"/>
                <w:highlight w:val="none"/>
              </w:rPr>
              <w:t>月末現在）</w:t>
            </w:r>
          </w:p>
        </w:tc>
        <w:tc>
          <w:tcPr>
            <w:tcW w:w="1818" w:type="dxa"/>
            <w:shd w:val="clear" w:color="auto" w:themeFill="accent5" w:themeFillTint="66" w:themeFillShade="FF"/>
            <w:vAlign w:val="center"/>
          </w:tcPr>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高齢者数</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高齢化率</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6"/>
                <w:highlight w:val="none"/>
              </w:rPr>
              <w:t>（Ｒ</w:t>
            </w:r>
            <w:r>
              <w:rPr>
                <w:rFonts w:hint="eastAsia" w:ascii="BIZ UDPゴシック" w:hAnsi="BIZ UDPゴシック" w:eastAsia="BIZ UDPゴシック"/>
                <w:color w:val="auto"/>
                <w:sz w:val="16"/>
                <w:highlight w:val="none"/>
              </w:rPr>
              <w:t>5.9</w:t>
            </w:r>
            <w:r>
              <w:rPr>
                <w:rFonts w:hint="eastAsia" w:ascii="BIZ UDPゴシック" w:hAnsi="BIZ UDPゴシック" w:eastAsia="BIZ UDPゴシック"/>
                <w:color w:val="auto"/>
                <w:sz w:val="16"/>
                <w:highlight w:val="none"/>
              </w:rPr>
              <w:t>月末現在）</w:t>
            </w:r>
          </w:p>
        </w:tc>
        <w:tc>
          <w:tcPr>
            <w:tcW w:w="1818" w:type="dxa"/>
            <w:shd w:val="clear" w:color="auto" w:themeFill="accent5" w:themeFillTint="66" w:themeFillShade="FF"/>
            <w:vAlign w:val="center"/>
          </w:tcPr>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後期高齢者数</w:t>
            </w:r>
          </w:p>
          <w:p>
            <w:pPr>
              <w:pStyle w:val="0"/>
              <w:ind w:left="-110" w:leftChars="-50" w:right="-110" w:rightChars="-50"/>
              <w:jc w:val="center"/>
              <w:rPr>
                <w:rFonts w:hint="default" w:ascii="BIZ UDPゴシック" w:hAnsi="BIZ UDPゴシック" w:eastAsia="BIZ UDPゴシック"/>
                <w:color w:val="auto"/>
                <w:sz w:val="20"/>
                <w:highlight w:val="none"/>
              </w:rPr>
            </w:pPr>
            <w:r>
              <w:rPr>
                <w:rFonts w:hint="eastAsia" w:ascii="BIZ UDPゴシック" w:hAnsi="BIZ UDPゴシック" w:eastAsia="BIZ UDPゴシック"/>
                <w:color w:val="auto"/>
                <w:sz w:val="20"/>
                <w:highlight w:val="none"/>
              </w:rPr>
              <w:t>後期高齢者数割合</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6"/>
                <w:highlight w:val="none"/>
              </w:rPr>
              <w:t>（Ｒ</w:t>
            </w:r>
            <w:r>
              <w:rPr>
                <w:rFonts w:hint="eastAsia" w:ascii="BIZ UDPゴシック" w:hAnsi="BIZ UDPゴシック" w:eastAsia="BIZ UDPゴシック"/>
                <w:color w:val="auto"/>
                <w:sz w:val="16"/>
                <w:highlight w:val="none"/>
              </w:rPr>
              <w:t>5.9</w:t>
            </w:r>
            <w:r>
              <w:rPr>
                <w:rFonts w:hint="eastAsia" w:ascii="BIZ UDPゴシック" w:hAnsi="BIZ UDPゴシック" w:eastAsia="BIZ UDPゴシック"/>
                <w:color w:val="auto"/>
                <w:sz w:val="16"/>
                <w:highlight w:val="none"/>
              </w:rPr>
              <w:t>月末現在）</w:t>
            </w:r>
          </w:p>
        </w:tc>
        <w:tc>
          <w:tcPr>
            <w:tcW w:w="1818" w:type="dxa"/>
            <w:shd w:val="clear" w:color="auto" w:themeFill="accent5" w:themeFillTint="66" w:themeFillShade="FF"/>
            <w:vAlign w:val="center"/>
          </w:tcPr>
          <w:p>
            <w:pPr>
              <w:pStyle w:val="0"/>
              <w:spacing w:line="220" w:lineRule="exact"/>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要支援・要介護</w:t>
            </w:r>
          </w:p>
          <w:p>
            <w:pPr>
              <w:pStyle w:val="0"/>
              <w:spacing w:line="220" w:lineRule="exact"/>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認定者数</w:t>
            </w:r>
          </w:p>
          <w:p>
            <w:pPr>
              <w:pStyle w:val="0"/>
              <w:spacing w:line="220" w:lineRule="exact"/>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認定率</w:t>
            </w:r>
          </w:p>
          <w:p>
            <w:pPr>
              <w:pStyle w:val="0"/>
              <w:jc w:val="center"/>
              <w:rPr>
                <w:rFonts w:hint="default" w:ascii="BIZ UDPゴシック" w:hAnsi="BIZ UDPゴシック" w:eastAsia="BIZ UDPゴシック"/>
                <w:color w:val="auto"/>
                <w:sz w:val="16"/>
                <w:highlight w:val="none"/>
              </w:rPr>
            </w:pPr>
            <w:r>
              <w:rPr>
                <w:rFonts w:hint="eastAsia" w:ascii="BIZ UDPゴシック" w:hAnsi="BIZ UDPゴシック" w:eastAsia="BIZ UDPゴシック"/>
                <w:color w:val="auto"/>
                <w:sz w:val="16"/>
                <w:highlight w:val="none"/>
              </w:rPr>
              <w:t>（第</w:t>
            </w:r>
            <w:r>
              <w:rPr>
                <w:rFonts w:hint="eastAsia" w:ascii="BIZ UDPゴシック" w:hAnsi="BIZ UDPゴシック" w:eastAsia="BIZ UDPゴシック"/>
                <w:color w:val="auto"/>
                <w:sz w:val="16"/>
                <w:highlight w:val="none"/>
              </w:rPr>
              <w:t>1</w:t>
            </w:r>
            <w:r>
              <w:rPr>
                <w:rFonts w:hint="eastAsia" w:ascii="BIZ UDPゴシック" w:hAnsi="BIZ UDPゴシック" w:eastAsia="BIZ UDPゴシック"/>
                <w:color w:val="auto"/>
                <w:sz w:val="16"/>
                <w:highlight w:val="none"/>
              </w:rPr>
              <w:t>号被保険者）</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6"/>
                <w:highlight w:val="none"/>
              </w:rPr>
              <w:t>（Ｒ</w:t>
            </w:r>
            <w:r>
              <w:rPr>
                <w:rFonts w:hint="eastAsia" w:ascii="BIZ UDPゴシック" w:hAnsi="BIZ UDPゴシック" w:eastAsia="BIZ UDPゴシック"/>
                <w:color w:val="auto"/>
                <w:sz w:val="16"/>
                <w:highlight w:val="none"/>
              </w:rPr>
              <w:t>5.9</w:t>
            </w:r>
            <w:r>
              <w:rPr>
                <w:rFonts w:hint="eastAsia" w:ascii="BIZ UDPゴシック" w:hAnsi="BIZ UDPゴシック" w:eastAsia="BIZ UDPゴシック"/>
                <w:color w:val="auto"/>
                <w:sz w:val="16"/>
                <w:highlight w:val="none"/>
              </w:rPr>
              <w:t>月末現在）</w:t>
            </w:r>
          </w:p>
        </w:tc>
        <w:tc>
          <w:tcPr>
            <w:tcW w:w="1818" w:type="dxa"/>
            <w:shd w:val="clear" w:color="auto" w:themeFill="accent5" w:themeFillTint="66" w:themeFillShade="FF"/>
            <w:vAlign w:val="center"/>
          </w:tcPr>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認知症高齢者数</w:t>
            </w:r>
          </w:p>
          <w:p>
            <w:pPr>
              <w:pStyle w:val="0"/>
              <w:ind w:left="-110" w:leftChars="-50" w:right="-110" w:rightChars="-50"/>
              <w:jc w:val="center"/>
              <w:rPr>
                <w:rFonts w:hint="default" w:ascii="BIZ UDPゴシック" w:hAnsi="BIZ UDPゴシック" w:eastAsia="BIZ UDPゴシック"/>
                <w:color w:val="auto"/>
                <w:sz w:val="18"/>
                <w:highlight w:val="none"/>
              </w:rPr>
            </w:pPr>
            <w:r>
              <w:rPr>
                <w:rFonts w:hint="eastAsia" w:ascii="BIZ UDPゴシック" w:hAnsi="BIZ UDPゴシック" w:eastAsia="BIZ UDPゴシック"/>
                <w:color w:val="auto"/>
                <w:sz w:val="18"/>
                <w:highlight w:val="none"/>
              </w:rPr>
              <w:t>高齢者数に占める割合</w:t>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sz w:val="16"/>
                <w:highlight w:val="none"/>
              </w:rPr>
              <w:t>（Ｒ</w:t>
            </w:r>
            <w:r>
              <w:rPr>
                <w:rFonts w:hint="eastAsia" w:ascii="BIZ UDPゴシック" w:hAnsi="BIZ UDPゴシック" w:eastAsia="BIZ UDPゴシック"/>
                <w:color w:val="auto"/>
                <w:sz w:val="16"/>
                <w:highlight w:val="none"/>
              </w:rPr>
              <w:t>5.9</w:t>
            </w:r>
            <w:r>
              <w:rPr>
                <w:rFonts w:hint="eastAsia" w:ascii="BIZ UDPゴシック" w:hAnsi="BIZ UDPゴシック" w:eastAsia="BIZ UDPゴシック"/>
                <w:color w:val="auto"/>
                <w:sz w:val="16"/>
                <w:highlight w:val="none"/>
              </w:rPr>
              <w:t>月末現在）</w:t>
            </w:r>
          </w:p>
        </w:tc>
      </w:tr>
      <w:tr>
        <w:trPr>
          <w:trHeight w:val="680" w:hRule="atLeast"/>
        </w:trPr>
        <w:tc>
          <w:tcPr>
            <w:tcW w:w="1818" w:type="dxa"/>
            <w:vAlign w:val="center"/>
          </w:tcPr>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1,4</w:t>
            </w:r>
            <w:r>
              <w:rPr>
                <w:rFonts w:hint="eastAsia" w:ascii="BIZ UDPゴシック" w:hAnsi="BIZ UDPゴシック" w:eastAsia="BIZ UDPゴシック"/>
                <w:color w:val="auto"/>
                <w:sz w:val="21"/>
                <w:highlight w:val="none"/>
              </w:rPr>
              <w:t>15</w:t>
            </w:r>
            <w:r>
              <w:rPr>
                <w:rFonts w:hint="eastAsia" w:ascii="BIZ UDPゴシック" w:hAnsi="BIZ UDPゴシック" w:eastAsia="BIZ UDPゴシック"/>
                <w:color w:val="auto"/>
                <w:sz w:val="21"/>
                <w:highlight w:val="none"/>
              </w:rPr>
              <w:t>人</w:t>
            </w:r>
          </w:p>
        </w:tc>
        <w:tc>
          <w:tcPr>
            <w:tcW w:w="1818" w:type="dxa"/>
            <w:vAlign w:val="center"/>
          </w:tcPr>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6</w:t>
            </w:r>
            <w:r>
              <w:rPr>
                <w:rFonts w:hint="eastAsia" w:ascii="BIZ UDPゴシック" w:hAnsi="BIZ UDPゴシック" w:eastAsia="BIZ UDPゴシック"/>
                <w:color w:val="auto"/>
                <w:sz w:val="21"/>
                <w:highlight w:val="none"/>
              </w:rPr>
              <w:t>76</w:t>
            </w:r>
            <w:r>
              <w:rPr>
                <w:rFonts w:hint="eastAsia" w:ascii="BIZ UDPゴシック" w:hAnsi="BIZ UDPゴシック" w:eastAsia="BIZ UDPゴシック"/>
                <w:color w:val="auto"/>
                <w:sz w:val="21"/>
                <w:highlight w:val="none"/>
              </w:rPr>
              <w:t>人</w:t>
            </w:r>
          </w:p>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4</w:t>
            </w:r>
            <w:r>
              <w:rPr>
                <w:rFonts w:hint="eastAsia" w:ascii="BIZ UDPゴシック" w:hAnsi="BIZ UDPゴシック" w:eastAsia="BIZ UDPゴシック"/>
                <w:color w:val="auto"/>
                <w:sz w:val="21"/>
                <w:highlight w:val="none"/>
              </w:rPr>
              <w:t>7.8</w:t>
            </w:r>
            <w:r>
              <w:rPr>
                <w:rFonts w:hint="eastAsia" w:ascii="BIZ UDPゴシック" w:hAnsi="BIZ UDPゴシック" w:eastAsia="BIZ UDPゴシック"/>
                <w:color w:val="auto"/>
                <w:sz w:val="21"/>
                <w:highlight w:val="none"/>
              </w:rPr>
              <w:t>％</w:t>
            </w:r>
          </w:p>
        </w:tc>
        <w:tc>
          <w:tcPr>
            <w:tcW w:w="1818" w:type="dxa"/>
            <w:vAlign w:val="center"/>
          </w:tcPr>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4</w:t>
            </w:r>
            <w:r>
              <w:rPr>
                <w:rFonts w:hint="eastAsia" w:ascii="BIZ UDPゴシック" w:hAnsi="BIZ UDPゴシック" w:eastAsia="BIZ UDPゴシック"/>
                <w:color w:val="auto"/>
                <w:sz w:val="21"/>
                <w:highlight w:val="none"/>
              </w:rPr>
              <w:t>35</w:t>
            </w:r>
            <w:r>
              <w:rPr>
                <w:rFonts w:hint="eastAsia" w:ascii="BIZ UDPゴシック" w:hAnsi="BIZ UDPゴシック" w:eastAsia="BIZ UDPゴシック"/>
                <w:color w:val="auto"/>
                <w:sz w:val="21"/>
                <w:highlight w:val="none"/>
              </w:rPr>
              <w:t>人</w:t>
            </w:r>
          </w:p>
          <w:p>
            <w:pPr>
              <w:pStyle w:val="0"/>
              <w:jc w:val="righ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30.7</w:t>
            </w:r>
            <w:r>
              <w:rPr>
                <w:rFonts w:hint="eastAsia" w:ascii="BIZ UDPゴシック" w:hAnsi="BIZ UDPゴシック" w:eastAsia="BIZ UDPゴシック"/>
                <w:color w:val="auto"/>
                <w:sz w:val="21"/>
                <w:highlight w:val="none"/>
              </w:rPr>
              <w:t>％</w:t>
            </w:r>
          </w:p>
        </w:tc>
        <w:tc>
          <w:tcPr>
            <w:tcW w:w="1818" w:type="dxa"/>
            <w:vAlign w:val="center"/>
          </w:tcPr>
          <w:p>
            <w:pPr>
              <w:pStyle w:val="0"/>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1</w:t>
            </w:r>
            <w:r>
              <w:rPr>
                <w:rFonts w:hint="eastAsia" w:ascii="BIZ UDPゴシック" w:hAnsi="BIZ UDPゴシック" w:eastAsia="BIZ UDPゴシック"/>
                <w:color w:val="auto"/>
                <w:sz w:val="21"/>
                <w:highlight w:val="none"/>
              </w:rPr>
              <w:t>53</w:t>
            </w:r>
            <w:r>
              <w:rPr>
                <w:rFonts w:hint="eastAsia" w:ascii="BIZ UDPゴシック" w:hAnsi="BIZ UDPゴシック" w:eastAsia="BIZ UDPゴシック"/>
                <w:color w:val="auto"/>
                <w:sz w:val="21"/>
                <w:highlight w:val="none"/>
              </w:rPr>
              <w:t>人</w:t>
            </w:r>
          </w:p>
          <w:p>
            <w:pPr>
              <w:pStyle w:val="0"/>
              <w:jc w:val="righ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22.6</w:t>
            </w:r>
            <w:r>
              <w:rPr>
                <w:rFonts w:hint="eastAsia" w:ascii="BIZ UDPゴシック" w:hAnsi="BIZ UDPゴシック" w:eastAsia="BIZ UDPゴシック"/>
                <w:color w:val="auto"/>
                <w:sz w:val="21"/>
                <w:highlight w:val="none"/>
              </w:rPr>
              <w:t>％</w:t>
            </w:r>
          </w:p>
        </w:tc>
        <w:tc>
          <w:tcPr>
            <w:tcW w:w="1818" w:type="dxa"/>
            <w:vAlign w:val="center"/>
          </w:tcPr>
          <w:p>
            <w:pPr>
              <w:pStyle w:val="0"/>
              <w:jc w:val="righ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87</w:t>
            </w:r>
            <w:r>
              <w:rPr>
                <w:rFonts w:hint="eastAsia" w:ascii="BIZ UDPゴシック" w:hAnsi="BIZ UDPゴシック" w:eastAsia="BIZ UDPゴシック"/>
                <w:color w:val="auto"/>
                <w:sz w:val="21"/>
                <w:highlight w:val="none"/>
              </w:rPr>
              <w:t>人</w:t>
            </w:r>
          </w:p>
          <w:p>
            <w:pPr>
              <w:pStyle w:val="0"/>
              <w:jc w:val="right"/>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12.9</w:t>
            </w:r>
            <w:r>
              <w:rPr>
                <w:rFonts w:hint="eastAsia" w:ascii="BIZ UDPゴシック" w:hAnsi="BIZ UDPゴシック" w:eastAsia="BIZ UDPゴシック"/>
                <w:color w:val="auto"/>
                <w:sz w:val="21"/>
                <w:highlight w:val="none"/>
              </w:rPr>
              <w:t>％</w:t>
            </w:r>
          </w:p>
        </w:tc>
      </w:tr>
    </w:tbl>
    <w:tbl>
      <w:tblPr>
        <w:tblStyle w:val="90"/>
        <w:tblpPr w:leftFromText="142" w:rightFromText="142" w:topFromText="0" w:bottomFromText="0" w:vertAnchor="text" w:horzAnchor="text" w:tblpX="3233" w:tblpY="155"/>
        <w:tblW w:w="0" w:type="auto"/>
        <w:tblLayout w:type="fixed"/>
        <w:tblLook w:firstRow="1" w:lastRow="0" w:firstColumn="1" w:lastColumn="0" w:noHBand="0" w:noVBand="1" w:val="04A0"/>
      </w:tblPr>
      <w:tblGrid>
        <w:gridCol w:w="1815"/>
        <w:gridCol w:w="4083"/>
      </w:tblGrid>
      <w:tr>
        <w:trPr/>
        <w:tc>
          <w:tcPr>
            <w:tcW w:w="181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小学校</w:t>
            </w:r>
          </w:p>
        </w:tc>
        <w:tc>
          <w:tcPr>
            <w:tcW w:w="4083"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宮島</w:t>
            </w:r>
          </w:p>
        </w:tc>
      </w:tr>
      <w:tr>
        <w:trPr/>
        <w:tc>
          <w:tcPr>
            <w:tcW w:w="181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中学校</w:t>
            </w:r>
          </w:p>
        </w:tc>
        <w:tc>
          <w:tcPr>
            <w:tcW w:w="4083"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宮島</w:t>
            </w:r>
          </w:p>
        </w:tc>
      </w:tr>
      <w:tr>
        <w:trPr/>
        <w:tc>
          <w:tcPr>
            <w:tcW w:w="181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交通機関</w:t>
            </w:r>
          </w:p>
        </w:tc>
        <w:tc>
          <w:tcPr>
            <w:tcW w:w="4083"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フェリー：</w:t>
            </w:r>
            <w:r>
              <w:rPr>
                <w:rFonts w:hint="eastAsia" w:ascii="BIZ UDPゴシック" w:hAnsi="BIZ UDPゴシック" w:eastAsia="BIZ UDPゴシック"/>
                <w:color w:val="auto"/>
                <w:sz w:val="21"/>
                <w:highlight w:val="none"/>
              </w:rPr>
              <w:t>JR</w:t>
            </w:r>
            <w:r>
              <w:rPr>
                <w:rFonts w:hint="eastAsia" w:ascii="BIZ UDPゴシック" w:hAnsi="BIZ UDPゴシック" w:eastAsia="BIZ UDPゴシック"/>
                <w:color w:val="auto"/>
                <w:sz w:val="21"/>
                <w:highlight w:val="none"/>
              </w:rPr>
              <w:t>西日本宮島フェリー、宮島松大汽船</w:t>
            </w:r>
          </w:p>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バス：メイプルライナー</w:t>
            </w:r>
          </w:p>
        </w:tc>
      </w:tr>
      <w:tr>
        <w:trPr/>
        <w:tc>
          <w:tcPr>
            <w:tcW w:w="181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市営住宅</w:t>
            </w:r>
          </w:p>
        </w:tc>
        <w:tc>
          <w:tcPr>
            <w:tcW w:w="4083"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網之浦コーポ、網之浦住宅、西連コーポ、輝ハイツ、長浜コーポ、みどりハイツ、高葦コーポ、金岡コーポ、ひの木</w:t>
            </w:r>
          </w:p>
        </w:tc>
      </w:tr>
      <w:tr>
        <w:trPr/>
        <w:tc>
          <w:tcPr>
            <w:tcW w:w="181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市民センター等</w:t>
            </w:r>
          </w:p>
        </w:tc>
        <w:tc>
          <w:tcPr>
            <w:tcW w:w="4083"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etto</w:t>
            </w:r>
            <w:r>
              <w:rPr>
                <w:rFonts w:hint="eastAsia" w:ascii="BIZ UDPゴシック" w:hAnsi="BIZ UDPゴシック" w:eastAsia="BIZ UDPゴシック"/>
                <w:color w:val="auto"/>
                <w:sz w:val="21"/>
                <w:highlight w:val="none"/>
              </w:rPr>
              <w:t>宮島交流館（宮島）</w:t>
            </w:r>
          </w:p>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宮島まちづくり交流センター杉之浦</w:t>
            </w:r>
          </w:p>
          <w:p>
            <w:pPr>
              <w:pStyle w:val="0"/>
              <w:rPr>
                <w:rFonts w:hint="default" w:ascii="BIZ UDPゴシック" w:hAnsi="BIZ UDPゴシック" w:eastAsia="BIZ UDPゴシック"/>
                <w:color w:val="auto"/>
                <w:sz w:val="21"/>
                <w:highlight w:val="none"/>
              </w:rPr>
            </w:pPr>
          </w:p>
        </w:tc>
      </w:tr>
      <w:tr>
        <w:trPr>
          <w:trHeight w:val="810" w:hRule="atLeast"/>
        </w:trPr>
        <w:tc>
          <w:tcPr>
            <w:tcW w:w="1815"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その他</w:t>
            </w:r>
          </w:p>
        </w:tc>
        <w:tc>
          <w:tcPr>
            <w:tcW w:w="4083" w:type="dxa"/>
            <w:vAlign w:val="top"/>
          </w:tcPr>
          <w:p>
            <w:pPr>
              <w:pStyle w:val="0"/>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宮島福祉センター、観光地</w:t>
            </w:r>
          </w:p>
        </w:tc>
      </w:tr>
    </w:tbl>
    <w:p>
      <w:pPr>
        <w:pStyle w:val="0"/>
        <w:rPr>
          <w:rFonts w:hint="default" w:ascii="BIZ UDPゴシック" w:hAnsi="BIZ UDPゴシック" w:eastAsia="BIZ UDPゴシック"/>
          <w:color w:val="auto"/>
          <w:highlight w:val="none"/>
        </w:rPr>
      </w:pPr>
      <w:r>
        <w:rPr>
          <w:rFonts w:hint="eastAsia"/>
          <w:color w:val="auto"/>
          <w:highlight w:val="none"/>
        </w:rPr>
        <w:drawing>
          <wp:anchor distT="0" distB="0" distL="203200" distR="203200" simplePos="0" relativeHeight="108" behindDoc="0" locked="0" layoutInCell="1" hidden="0" allowOverlap="1">
            <wp:simplePos x="0" y="0"/>
            <wp:positionH relativeFrom="column">
              <wp:posOffset>-57785</wp:posOffset>
            </wp:positionH>
            <wp:positionV relativeFrom="page">
              <wp:posOffset>2658110</wp:posOffset>
            </wp:positionV>
            <wp:extent cx="1915160" cy="2284095"/>
            <wp:effectExtent l="0" t="0" r="0" b="0"/>
            <wp:wrapNone/>
            <wp:docPr id="1099" name="図 895524917" descr="地図と文字の加工写真&#10;&#10;中程度の精度で自動的に生成された説明"/>
            <a:graphic xmlns:a="http://schemas.openxmlformats.org/drawingml/2006/main">
              <a:graphicData uri="http://schemas.openxmlformats.org/drawingml/2006/picture">
                <pic:pic xmlns:pic="http://schemas.openxmlformats.org/drawingml/2006/picture">
                  <pic:nvPicPr>
                    <pic:cNvPr id="1099" name="図 895524917" descr="地図と文字の加工写真&#10;&#10;中程度の精度で自動的に生成された説明"/>
                    <pic:cNvPicPr>
                      <a:picLocks noChangeAspect="1"/>
                    </pic:cNvPicPr>
                  </pic:nvPicPr>
                  <pic:blipFill>
                    <a:blip r:embed="rId43"/>
                    <a:stretch>
                      <a:fillRect/>
                    </a:stretch>
                  </pic:blipFill>
                  <pic:spPr>
                    <a:xfrm>
                      <a:off x="0" y="0"/>
                      <a:ext cx="1915160" cy="2284095"/>
                    </a:xfrm>
                    <a:prstGeom prst="rect">
                      <a:avLst/>
                    </a:prstGeom>
                  </pic:spPr>
                </pic:pic>
              </a:graphicData>
            </a:graphic>
          </wp:anchor>
        </w:drawing>
      </w:r>
      <w:r>
        <w:rPr>
          <w:rFonts w:hint="eastAsia" w:ascii="BIZ UDPゴシック" w:hAnsi="BIZ UDPゴシック" w:eastAsia="BIZ UDPゴシック"/>
          <w:color w:val="auto"/>
          <w:highlight w:val="none"/>
        </w:rPr>
        <w:t>〔地理的特徴〕</w:t>
      </w: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ind w:firstLine="3300" w:firstLineChars="150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〔地域資源〕</w:t>
      </w:r>
    </w:p>
    <w:tbl>
      <w:tblPr>
        <w:tblStyle w:val="81"/>
        <w:tblW w:w="9180" w:type="dxa"/>
        <w:tblInd w:w="0" w:type="dxa"/>
        <w:tblLayout w:type="fixed"/>
        <w:tblLook w:firstRow="1" w:lastRow="0" w:firstColumn="1" w:lastColumn="0" w:noHBand="0" w:noVBand="1" w:val="04A0"/>
      </w:tblPr>
      <w:tblGrid>
        <w:gridCol w:w="2410"/>
        <w:gridCol w:w="630"/>
        <w:gridCol w:w="2625"/>
        <w:gridCol w:w="455"/>
        <w:gridCol w:w="2493"/>
        <w:gridCol w:w="567"/>
      </w:tblGrid>
      <w:tr>
        <w:trPr/>
        <w:tc>
          <w:tcPr>
            <w:tcW w:w="9180" w:type="dxa"/>
            <w:gridSpan w:val="6"/>
            <w:shd w:val="clear" w:color="auto" w:fill="0070C0"/>
            <w:vAlign w:val="top"/>
          </w:tcPr>
          <w:p>
            <w:pPr>
              <w:pStyle w:val="0"/>
              <w:jc w:val="center"/>
              <w:rPr>
                <w:rFonts w:hint="default"/>
                <w:color w:val="auto"/>
                <w:highlight w:val="none"/>
              </w:rPr>
            </w:pPr>
            <w:r>
              <w:rPr>
                <w:rFonts w:hint="eastAsia"/>
                <w:color w:val="auto"/>
                <w:highlight w:val="none"/>
              </w:rPr>
              <w:t>生活関連（令和</w:t>
            </w:r>
            <w:r>
              <w:rPr>
                <w:rFonts w:hint="eastAsia"/>
                <w:color w:val="auto"/>
                <w:highlight w:val="none"/>
              </w:rPr>
              <w:t>5</w:t>
            </w:r>
            <w:r>
              <w:rPr>
                <w:rFonts w:hint="eastAsia"/>
                <w:color w:val="auto"/>
                <w:highlight w:val="none"/>
              </w:rPr>
              <w:t>年</w:t>
            </w:r>
            <w:r>
              <w:rPr>
                <w:rFonts w:hint="eastAsia"/>
                <w:color w:val="auto"/>
                <w:highlight w:val="none"/>
              </w:rPr>
              <w:t>8</w:t>
            </w:r>
            <w:r>
              <w:rPr>
                <w:rFonts w:hint="eastAsia"/>
                <w:color w:val="auto"/>
                <w:highlight w:val="none"/>
              </w:rPr>
              <w:t>月末現在）</w:t>
            </w:r>
          </w:p>
        </w:tc>
      </w:tr>
      <w:tr>
        <w:trPr/>
        <w:tc>
          <w:tcPr>
            <w:tcW w:w="2410" w:type="dxa"/>
            <w:vAlign w:val="top"/>
          </w:tcPr>
          <w:p>
            <w:pPr>
              <w:pStyle w:val="0"/>
              <w:rPr>
                <w:rFonts w:hint="default"/>
                <w:color w:val="auto"/>
                <w:highlight w:val="none"/>
              </w:rPr>
            </w:pPr>
            <w:r>
              <w:rPr>
                <w:rFonts w:hint="eastAsia"/>
                <w:color w:val="auto"/>
                <w:sz w:val="21"/>
                <w:highlight w:val="none"/>
              </w:rPr>
              <w:t>コミュニティ</w:t>
            </w:r>
          </w:p>
        </w:tc>
        <w:tc>
          <w:tcPr>
            <w:tcW w:w="630" w:type="dxa"/>
            <w:vAlign w:val="top"/>
          </w:tcPr>
          <w:p>
            <w:pPr>
              <w:pStyle w:val="0"/>
              <w:jc w:val="right"/>
              <w:rPr>
                <w:rFonts w:hint="default"/>
                <w:color w:val="auto"/>
                <w:highlight w:val="none"/>
              </w:rPr>
            </w:pPr>
            <w:r>
              <w:rPr>
                <w:rFonts w:hint="eastAsia"/>
                <w:color w:val="auto"/>
                <w:sz w:val="21"/>
                <w:highlight w:val="none"/>
              </w:rPr>
              <w:t>1</w:t>
            </w:r>
          </w:p>
        </w:tc>
        <w:tc>
          <w:tcPr>
            <w:tcW w:w="2625" w:type="dxa"/>
            <w:vAlign w:val="top"/>
          </w:tcPr>
          <w:p>
            <w:pPr>
              <w:pStyle w:val="0"/>
              <w:rPr>
                <w:rFonts w:hint="default"/>
                <w:color w:val="auto"/>
                <w:highlight w:val="none"/>
              </w:rPr>
            </w:pPr>
            <w:r>
              <w:rPr>
                <w:rFonts w:hint="eastAsia"/>
                <w:color w:val="auto"/>
                <w:sz w:val="21"/>
                <w:highlight w:val="none"/>
              </w:rPr>
              <w:t>百歳体操</w:t>
            </w:r>
          </w:p>
        </w:tc>
        <w:tc>
          <w:tcPr>
            <w:tcW w:w="455" w:type="dxa"/>
            <w:vAlign w:val="top"/>
          </w:tcPr>
          <w:p>
            <w:pPr>
              <w:pStyle w:val="0"/>
              <w:jc w:val="right"/>
              <w:rPr>
                <w:rFonts w:hint="default"/>
                <w:color w:val="auto"/>
                <w:highlight w:val="none"/>
              </w:rPr>
            </w:pPr>
            <w:r>
              <w:rPr>
                <w:rFonts w:hint="eastAsia"/>
                <w:color w:val="auto"/>
                <w:sz w:val="21"/>
                <w:highlight w:val="none"/>
              </w:rPr>
              <w:t>3</w:t>
            </w:r>
          </w:p>
        </w:tc>
        <w:tc>
          <w:tcPr>
            <w:tcW w:w="2493" w:type="dxa"/>
            <w:vAlign w:val="top"/>
          </w:tcPr>
          <w:p>
            <w:pPr>
              <w:pStyle w:val="0"/>
              <w:rPr>
                <w:rFonts w:hint="default"/>
                <w:color w:val="auto"/>
                <w:highlight w:val="none"/>
              </w:rPr>
            </w:pPr>
            <w:r>
              <w:rPr>
                <w:rFonts w:hint="eastAsia"/>
                <w:color w:val="auto"/>
                <w:sz w:val="21"/>
                <w:highlight w:val="none"/>
              </w:rPr>
              <w:t>シルバー人材センター</w:t>
            </w:r>
          </w:p>
        </w:tc>
        <w:tc>
          <w:tcPr>
            <w:tcW w:w="567" w:type="dxa"/>
            <w:vAlign w:val="top"/>
          </w:tcPr>
          <w:p>
            <w:pPr>
              <w:pStyle w:val="0"/>
              <w:jc w:val="right"/>
              <w:rPr>
                <w:rFonts w:hint="default"/>
                <w:color w:val="auto"/>
                <w:highlight w:val="none"/>
              </w:rPr>
            </w:pPr>
            <w:r>
              <w:rPr>
                <w:rFonts w:hint="eastAsia"/>
                <w:color w:val="auto"/>
                <w:sz w:val="21"/>
                <w:highlight w:val="none"/>
              </w:rPr>
              <w:t>1</w:t>
            </w:r>
          </w:p>
        </w:tc>
      </w:tr>
      <w:tr>
        <w:trPr/>
        <w:tc>
          <w:tcPr>
            <w:tcW w:w="2410" w:type="dxa"/>
            <w:vAlign w:val="top"/>
          </w:tcPr>
          <w:p>
            <w:pPr>
              <w:pStyle w:val="0"/>
              <w:rPr>
                <w:rFonts w:hint="default"/>
                <w:color w:val="auto"/>
                <w:highlight w:val="none"/>
              </w:rPr>
            </w:pPr>
            <w:r>
              <w:rPr>
                <w:rFonts w:hint="eastAsia"/>
                <w:color w:val="auto"/>
                <w:sz w:val="21"/>
                <w:highlight w:val="none"/>
              </w:rPr>
              <w:t>協議体</w:t>
            </w:r>
          </w:p>
        </w:tc>
        <w:tc>
          <w:tcPr>
            <w:tcW w:w="630" w:type="dxa"/>
            <w:vAlign w:val="top"/>
          </w:tcPr>
          <w:p>
            <w:pPr>
              <w:pStyle w:val="0"/>
              <w:jc w:val="right"/>
              <w:rPr>
                <w:rFonts w:hint="default"/>
                <w:color w:val="auto"/>
                <w:highlight w:val="none"/>
              </w:rPr>
            </w:pPr>
            <w:r>
              <w:rPr>
                <w:rFonts w:hint="eastAsia"/>
                <w:color w:val="auto"/>
                <w:sz w:val="21"/>
                <w:highlight w:val="none"/>
              </w:rPr>
              <w:t>2</w:t>
            </w:r>
          </w:p>
        </w:tc>
        <w:tc>
          <w:tcPr>
            <w:tcW w:w="2625" w:type="dxa"/>
            <w:vAlign w:val="top"/>
          </w:tcPr>
          <w:p>
            <w:pPr>
              <w:pStyle w:val="0"/>
              <w:rPr>
                <w:rFonts w:hint="default"/>
                <w:color w:val="auto"/>
                <w:w w:val="95"/>
                <w:highlight w:val="none"/>
              </w:rPr>
            </w:pPr>
            <w:r>
              <w:rPr>
                <w:rFonts w:hint="eastAsia"/>
                <w:color w:val="auto"/>
                <w:w w:val="95"/>
                <w:sz w:val="21"/>
                <w:highlight w:val="none"/>
              </w:rPr>
              <w:t>病院・診療所・歯科・薬局</w:t>
            </w:r>
          </w:p>
        </w:tc>
        <w:tc>
          <w:tcPr>
            <w:tcW w:w="455" w:type="dxa"/>
            <w:vAlign w:val="top"/>
          </w:tcPr>
          <w:p>
            <w:pPr>
              <w:pStyle w:val="0"/>
              <w:jc w:val="right"/>
              <w:rPr>
                <w:rFonts w:hint="default"/>
                <w:color w:val="auto"/>
                <w:highlight w:val="none"/>
              </w:rPr>
            </w:pPr>
            <w:r>
              <w:rPr>
                <w:rFonts w:hint="eastAsia"/>
                <w:color w:val="auto"/>
                <w:sz w:val="21"/>
                <w:highlight w:val="none"/>
              </w:rPr>
              <w:t>2</w:t>
            </w:r>
          </w:p>
        </w:tc>
        <w:tc>
          <w:tcPr>
            <w:tcW w:w="2493" w:type="dxa"/>
            <w:vAlign w:val="top"/>
          </w:tcPr>
          <w:p>
            <w:pPr>
              <w:pStyle w:val="0"/>
              <w:rPr>
                <w:rFonts w:hint="default"/>
                <w:color w:val="auto"/>
                <w:highlight w:val="none"/>
              </w:rPr>
            </w:pPr>
            <w:r>
              <w:rPr>
                <w:rFonts w:hint="eastAsia"/>
                <w:color w:val="auto"/>
                <w:sz w:val="21"/>
                <w:highlight w:val="none"/>
              </w:rPr>
              <w:t>民生委員</w:t>
            </w:r>
          </w:p>
        </w:tc>
        <w:tc>
          <w:tcPr>
            <w:tcW w:w="567" w:type="dxa"/>
            <w:vAlign w:val="top"/>
          </w:tcPr>
          <w:p>
            <w:pPr>
              <w:pStyle w:val="0"/>
              <w:jc w:val="right"/>
              <w:rPr>
                <w:rFonts w:hint="default"/>
                <w:color w:val="auto"/>
                <w:highlight w:val="none"/>
              </w:rPr>
            </w:pPr>
            <w:r>
              <w:rPr>
                <w:rFonts w:hint="eastAsia"/>
                <w:color w:val="auto"/>
                <w:sz w:val="21"/>
                <w:highlight w:val="none"/>
              </w:rPr>
              <w:t>9</w:t>
            </w:r>
          </w:p>
        </w:tc>
      </w:tr>
      <w:tr>
        <w:trPr/>
        <w:tc>
          <w:tcPr>
            <w:tcW w:w="2410" w:type="dxa"/>
            <w:vAlign w:val="top"/>
          </w:tcPr>
          <w:p>
            <w:pPr>
              <w:pStyle w:val="0"/>
              <w:rPr>
                <w:rFonts w:hint="default"/>
                <w:color w:val="auto"/>
                <w:highlight w:val="none"/>
              </w:rPr>
            </w:pPr>
            <w:r>
              <w:rPr>
                <w:rFonts w:hint="eastAsia"/>
                <w:color w:val="auto"/>
                <w:sz w:val="21"/>
                <w:highlight w:val="none"/>
              </w:rPr>
              <w:t>単位老人クラブ</w:t>
            </w:r>
          </w:p>
        </w:tc>
        <w:tc>
          <w:tcPr>
            <w:tcW w:w="630" w:type="dxa"/>
            <w:vAlign w:val="top"/>
          </w:tcPr>
          <w:p>
            <w:pPr>
              <w:pStyle w:val="0"/>
              <w:jc w:val="right"/>
              <w:rPr>
                <w:rFonts w:hint="default"/>
                <w:color w:val="auto"/>
                <w:highlight w:val="none"/>
              </w:rPr>
            </w:pPr>
            <w:r>
              <w:rPr>
                <w:rFonts w:hint="eastAsia"/>
                <w:color w:val="auto"/>
                <w:sz w:val="21"/>
                <w:highlight w:val="none"/>
              </w:rPr>
              <w:t>8</w:t>
            </w:r>
          </w:p>
        </w:tc>
        <w:tc>
          <w:tcPr>
            <w:tcW w:w="2625" w:type="dxa"/>
            <w:vAlign w:val="top"/>
          </w:tcPr>
          <w:p>
            <w:pPr>
              <w:pStyle w:val="0"/>
              <w:rPr>
                <w:rFonts w:hint="default"/>
                <w:color w:val="auto"/>
                <w:highlight w:val="none"/>
              </w:rPr>
            </w:pPr>
            <w:r>
              <w:rPr>
                <w:rFonts w:hint="eastAsia"/>
                <w:color w:val="auto"/>
                <w:sz w:val="21"/>
                <w:highlight w:val="none"/>
              </w:rPr>
              <w:t>スーパーマーケット</w:t>
            </w:r>
          </w:p>
        </w:tc>
        <w:tc>
          <w:tcPr>
            <w:tcW w:w="455" w:type="dxa"/>
            <w:vAlign w:val="top"/>
          </w:tcPr>
          <w:p>
            <w:pPr>
              <w:pStyle w:val="0"/>
              <w:jc w:val="right"/>
              <w:rPr>
                <w:rFonts w:hint="default"/>
                <w:color w:val="auto"/>
                <w:highlight w:val="none"/>
              </w:rPr>
            </w:pPr>
            <w:r>
              <w:rPr>
                <w:rFonts w:hint="eastAsia"/>
                <w:color w:val="auto"/>
                <w:sz w:val="21"/>
                <w:highlight w:val="none"/>
              </w:rPr>
              <w:t>3</w:t>
            </w:r>
          </w:p>
        </w:tc>
        <w:tc>
          <w:tcPr>
            <w:tcW w:w="2493" w:type="dxa"/>
            <w:vAlign w:val="top"/>
          </w:tcPr>
          <w:p>
            <w:pPr>
              <w:pStyle w:val="0"/>
              <w:rPr>
                <w:rFonts w:hint="default"/>
                <w:color w:val="auto"/>
                <w:highlight w:val="none"/>
              </w:rPr>
            </w:pPr>
            <w:r>
              <w:rPr>
                <w:rFonts w:hint="eastAsia"/>
                <w:color w:val="auto"/>
                <w:sz w:val="21"/>
                <w:highlight w:val="none"/>
              </w:rPr>
              <w:t>生活支援ｺｰﾃﾞｨﾈｰﾀｰ</w:t>
            </w:r>
          </w:p>
        </w:tc>
        <w:tc>
          <w:tcPr>
            <w:tcW w:w="567" w:type="dxa"/>
            <w:vAlign w:val="top"/>
          </w:tcPr>
          <w:p>
            <w:pPr>
              <w:pStyle w:val="0"/>
              <w:jc w:val="right"/>
              <w:rPr>
                <w:rFonts w:hint="default"/>
                <w:color w:val="auto"/>
                <w:highlight w:val="none"/>
              </w:rPr>
            </w:pPr>
            <w:r>
              <w:rPr>
                <w:rFonts w:hint="eastAsia"/>
                <w:color w:val="auto"/>
                <w:sz w:val="21"/>
                <w:highlight w:val="none"/>
              </w:rPr>
              <w:t>1</w:t>
            </w:r>
          </w:p>
        </w:tc>
      </w:tr>
      <w:tr>
        <w:trPr/>
        <w:tc>
          <w:tcPr>
            <w:tcW w:w="2410" w:type="dxa"/>
            <w:vAlign w:val="top"/>
          </w:tcPr>
          <w:p>
            <w:pPr>
              <w:pStyle w:val="0"/>
              <w:rPr>
                <w:rFonts w:hint="default"/>
                <w:color w:val="auto"/>
                <w:highlight w:val="none"/>
              </w:rPr>
            </w:pPr>
            <w:r>
              <w:rPr>
                <w:rFonts w:hint="eastAsia"/>
                <w:color w:val="auto"/>
                <w:sz w:val="21"/>
                <w:highlight w:val="none"/>
              </w:rPr>
              <w:t>サロン</w:t>
            </w:r>
          </w:p>
        </w:tc>
        <w:tc>
          <w:tcPr>
            <w:tcW w:w="630" w:type="dxa"/>
            <w:vAlign w:val="top"/>
          </w:tcPr>
          <w:p>
            <w:pPr>
              <w:pStyle w:val="0"/>
              <w:jc w:val="right"/>
              <w:rPr>
                <w:rFonts w:hint="default"/>
                <w:color w:val="auto"/>
                <w:highlight w:val="none"/>
              </w:rPr>
            </w:pPr>
            <w:r>
              <w:rPr>
                <w:rFonts w:hint="eastAsia"/>
                <w:color w:val="auto"/>
                <w:sz w:val="21"/>
                <w:highlight w:val="none"/>
              </w:rPr>
              <w:t>2</w:t>
            </w:r>
          </w:p>
        </w:tc>
        <w:tc>
          <w:tcPr>
            <w:tcW w:w="2625" w:type="dxa"/>
            <w:vAlign w:val="top"/>
          </w:tcPr>
          <w:p>
            <w:pPr>
              <w:pStyle w:val="0"/>
              <w:rPr>
                <w:rFonts w:hint="default"/>
                <w:color w:val="auto"/>
                <w:highlight w:val="none"/>
              </w:rPr>
            </w:pPr>
            <w:r>
              <w:rPr>
                <w:rFonts w:hint="eastAsia"/>
                <w:color w:val="auto"/>
                <w:sz w:val="21"/>
                <w:highlight w:val="none"/>
              </w:rPr>
              <w:t>コンビニエンスストア</w:t>
            </w:r>
          </w:p>
        </w:tc>
        <w:tc>
          <w:tcPr>
            <w:tcW w:w="455" w:type="dxa"/>
            <w:shd w:val="clear" w:color="auto" w:fill="auto"/>
            <w:vAlign w:val="top"/>
          </w:tcPr>
          <w:p>
            <w:pPr>
              <w:pStyle w:val="0"/>
              <w:jc w:val="right"/>
              <w:rPr>
                <w:rFonts w:hint="default"/>
                <w:color w:val="auto"/>
                <w:highlight w:val="none"/>
              </w:rPr>
            </w:pPr>
            <w:r>
              <w:rPr>
                <w:rFonts w:hint="eastAsia"/>
                <w:color w:val="auto"/>
                <w:sz w:val="21"/>
                <w:highlight w:val="none"/>
              </w:rPr>
              <w:t>1</w:t>
            </w:r>
          </w:p>
        </w:tc>
        <w:tc>
          <w:tcPr>
            <w:tcW w:w="2493" w:type="dxa"/>
            <w:vAlign w:val="top"/>
          </w:tcPr>
          <w:p>
            <w:pPr>
              <w:pStyle w:val="0"/>
              <w:rPr>
                <w:rFonts w:hint="default"/>
                <w:color w:val="auto"/>
                <w:highlight w:val="none"/>
              </w:rPr>
            </w:pPr>
          </w:p>
        </w:tc>
        <w:tc>
          <w:tcPr>
            <w:tcW w:w="567" w:type="dxa"/>
            <w:vAlign w:val="top"/>
          </w:tcPr>
          <w:p>
            <w:pPr>
              <w:pStyle w:val="0"/>
              <w:jc w:val="right"/>
              <w:rPr>
                <w:rFonts w:hint="default"/>
                <w:color w:val="auto"/>
                <w:highlight w:val="none"/>
              </w:rPr>
            </w:pPr>
          </w:p>
        </w:tc>
      </w:tr>
    </w:tbl>
    <w:p>
      <w:pPr>
        <w:pStyle w:val="0"/>
        <w:spacing w:before="74" w:beforeLines="20" w:beforeAutospacing="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〔介護サービス資源等〕</w:t>
      </w:r>
    </w:p>
    <w:tbl>
      <w:tblPr>
        <w:tblStyle w:val="81"/>
        <w:tblW w:w="9180" w:type="dxa"/>
        <w:tblInd w:w="0" w:type="dxa"/>
        <w:tblLayout w:type="fixed"/>
        <w:tblLook w:firstRow="1" w:lastRow="0" w:firstColumn="1" w:lastColumn="0" w:noHBand="0" w:noVBand="1" w:val="04A0"/>
      </w:tblPr>
      <w:tblGrid>
        <w:gridCol w:w="2410"/>
        <w:gridCol w:w="630"/>
        <w:gridCol w:w="2625"/>
        <w:gridCol w:w="455"/>
        <w:gridCol w:w="2493"/>
        <w:gridCol w:w="567"/>
      </w:tblGrid>
      <w:tr>
        <w:trPr/>
        <w:tc>
          <w:tcPr>
            <w:tcW w:w="9180" w:type="dxa"/>
            <w:gridSpan w:val="6"/>
            <w:shd w:val="clear" w:color="auto" w:fill="0070C0"/>
            <w:vAlign w:val="top"/>
          </w:tcPr>
          <w:p>
            <w:pPr>
              <w:pStyle w:val="0"/>
              <w:jc w:val="center"/>
              <w:rPr>
                <w:rFonts w:hint="default"/>
                <w:color w:val="auto"/>
                <w:sz w:val="20"/>
                <w:highlight w:val="none"/>
              </w:rPr>
            </w:pPr>
            <w:r>
              <w:rPr>
                <w:rFonts w:hint="eastAsia"/>
                <w:color w:val="auto"/>
                <w:sz w:val="20"/>
                <w:highlight w:val="none"/>
              </w:rPr>
              <w:t>介護サービス事業所等数（令和</w:t>
            </w:r>
            <w:r>
              <w:rPr>
                <w:rFonts w:hint="eastAsia"/>
                <w:color w:val="auto"/>
                <w:sz w:val="20"/>
                <w:highlight w:val="none"/>
              </w:rPr>
              <w:t>5</w:t>
            </w:r>
            <w:r>
              <w:rPr>
                <w:rFonts w:hint="eastAsia"/>
                <w:color w:val="auto"/>
                <w:sz w:val="20"/>
                <w:highlight w:val="none"/>
              </w:rPr>
              <w:t>年</w:t>
            </w:r>
            <w:r>
              <w:rPr>
                <w:rFonts w:hint="eastAsia"/>
                <w:color w:val="auto"/>
                <w:sz w:val="20"/>
                <w:highlight w:val="none"/>
              </w:rPr>
              <w:t>8</w:t>
            </w:r>
            <w:r>
              <w:rPr>
                <w:rFonts w:hint="eastAsia"/>
                <w:color w:val="auto"/>
                <w:sz w:val="20"/>
                <w:highlight w:val="none"/>
              </w:rPr>
              <w:t>月現在）</w:t>
            </w:r>
          </w:p>
        </w:tc>
      </w:tr>
      <w:tr>
        <w:trPr>
          <w:trHeight w:val="194" w:hRule="atLeast"/>
        </w:trPr>
        <w:tc>
          <w:tcPr>
            <w:tcW w:w="2410" w:type="dxa"/>
            <w:shd w:val="clear" w:color="auto" w:themeFill="accent5" w:themeFillTint="33" w:themeFillShade="FF"/>
            <w:vAlign w:val="top"/>
          </w:tcPr>
          <w:p>
            <w:pPr>
              <w:pStyle w:val="0"/>
              <w:rPr>
                <w:rFonts w:hint="default"/>
                <w:b w:val="1"/>
                <w:color w:val="auto"/>
                <w:sz w:val="20"/>
                <w:highlight w:val="none"/>
              </w:rPr>
            </w:pPr>
            <w:r>
              <w:rPr>
                <w:rFonts w:hint="eastAsia"/>
                <w:b w:val="1"/>
                <w:color w:val="auto"/>
                <w:sz w:val="20"/>
                <w:highlight w:val="none"/>
              </w:rPr>
              <w:t>居宅サービス</w:t>
            </w:r>
          </w:p>
        </w:tc>
        <w:tc>
          <w:tcPr>
            <w:tcW w:w="630" w:type="dxa"/>
            <w:shd w:val="clear" w:color="auto" w:themeFill="accent5" w:themeFillTint="33" w:themeFillShade="FF"/>
            <w:vAlign w:val="top"/>
          </w:tcPr>
          <w:p>
            <w:pPr>
              <w:pStyle w:val="0"/>
              <w:jc w:val="right"/>
              <w:rPr>
                <w:rFonts w:hint="default"/>
                <w:b w:val="1"/>
                <w:color w:val="auto"/>
                <w:sz w:val="20"/>
                <w:highlight w:val="none"/>
              </w:rPr>
            </w:pPr>
          </w:p>
        </w:tc>
        <w:tc>
          <w:tcPr>
            <w:tcW w:w="2625" w:type="dxa"/>
            <w:shd w:val="clear" w:color="auto" w:themeFill="accent5" w:themeFillTint="33" w:themeFillShade="FF"/>
            <w:vAlign w:val="top"/>
          </w:tcPr>
          <w:p>
            <w:pPr>
              <w:pStyle w:val="0"/>
              <w:rPr>
                <w:rFonts w:hint="default"/>
                <w:b w:val="1"/>
                <w:color w:val="auto"/>
                <w:sz w:val="20"/>
                <w:highlight w:val="none"/>
              </w:rPr>
            </w:pPr>
            <w:r>
              <w:rPr>
                <w:rFonts w:hint="eastAsia"/>
                <w:b w:val="1"/>
                <w:color w:val="auto"/>
                <w:sz w:val="20"/>
                <w:highlight w:val="none"/>
              </w:rPr>
              <w:t>地域密着型サービス</w:t>
            </w:r>
          </w:p>
        </w:tc>
        <w:tc>
          <w:tcPr>
            <w:tcW w:w="455" w:type="dxa"/>
            <w:shd w:val="clear" w:color="auto" w:themeFill="accent5" w:themeFillTint="33" w:themeFillShade="FF"/>
            <w:vAlign w:val="top"/>
          </w:tcPr>
          <w:p>
            <w:pPr>
              <w:pStyle w:val="0"/>
              <w:rPr>
                <w:rFonts w:hint="default"/>
                <w:b w:val="1"/>
                <w:color w:val="auto"/>
                <w:sz w:val="20"/>
                <w:highlight w:val="none"/>
              </w:rPr>
            </w:pPr>
          </w:p>
        </w:tc>
        <w:tc>
          <w:tcPr>
            <w:tcW w:w="2493" w:type="dxa"/>
            <w:shd w:val="clear" w:color="auto" w:themeFill="accent5" w:themeFillTint="33" w:themeFillShade="FF"/>
            <w:vAlign w:val="top"/>
          </w:tcPr>
          <w:p>
            <w:pPr>
              <w:pStyle w:val="0"/>
              <w:rPr>
                <w:rFonts w:hint="default"/>
                <w:b w:val="1"/>
                <w:color w:val="auto"/>
                <w:sz w:val="20"/>
                <w:highlight w:val="none"/>
              </w:rPr>
            </w:pPr>
            <w:r>
              <w:rPr>
                <w:rFonts w:hint="eastAsia"/>
                <w:b w:val="1"/>
                <w:color w:val="auto"/>
                <w:sz w:val="20"/>
                <w:highlight w:val="none"/>
              </w:rPr>
              <w:t>施設サービス</w:t>
            </w:r>
          </w:p>
        </w:tc>
        <w:tc>
          <w:tcPr>
            <w:tcW w:w="567" w:type="dxa"/>
            <w:shd w:val="clear" w:color="auto" w:themeFill="accent5" w:themeFillTint="33" w:themeFillShade="FF"/>
            <w:vAlign w:val="top"/>
          </w:tcPr>
          <w:p>
            <w:pPr>
              <w:pStyle w:val="0"/>
              <w:rPr>
                <w:rFonts w:hint="default"/>
                <w:b w:val="1"/>
                <w:color w:val="auto"/>
                <w:sz w:val="20"/>
                <w:highlight w:val="none"/>
              </w:rPr>
            </w:pPr>
          </w:p>
        </w:tc>
      </w:tr>
      <w:tr>
        <w:trPr/>
        <w:tc>
          <w:tcPr>
            <w:tcW w:w="2410" w:type="dxa"/>
            <w:vAlign w:val="top"/>
          </w:tcPr>
          <w:p>
            <w:pPr>
              <w:pStyle w:val="0"/>
              <w:ind w:left="220" w:leftChars="100"/>
              <w:rPr>
                <w:rFonts w:hint="default"/>
                <w:color w:val="auto"/>
                <w:sz w:val="20"/>
                <w:highlight w:val="none"/>
              </w:rPr>
            </w:pPr>
            <w:r>
              <w:rPr>
                <w:rFonts w:hint="eastAsia"/>
                <w:color w:val="auto"/>
                <w:sz w:val="20"/>
                <w:highlight w:val="none"/>
              </w:rPr>
              <w:t>居宅介護支援</w:t>
            </w:r>
          </w:p>
        </w:tc>
        <w:tc>
          <w:tcPr>
            <w:tcW w:w="630" w:type="dxa"/>
            <w:vAlign w:val="top"/>
          </w:tcPr>
          <w:p>
            <w:pPr>
              <w:pStyle w:val="0"/>
              <w:jc w:val="right"/>
              <w:rPr>
                <w:rFonts w:hint="default"/>
                <w:color w:val="auto"/>
                <w:sz w:val="20"/>
                <w:highlight w:val="none"/>
              </w:rPr>
            </w:pPr>
            <w:r>
              <w:rPr>
                <w:rFonts w:hint="eastAsia"/>
                <w:color w:val="auto"/>
                <w:sz w:val="20"/>
                <w:highlight w:val="none"/>
              </w:rPr>
              <w:t>1</w:t>
            </w:r>
          </w:p>
        </w:tc>
        <w:tc>
          <w:tcPr>
            <w:tcW w:w="2625" w:type="dxa"/>
            <w:vAlign w:val="top"/>
          </w:tcPr>
          <w:p>
            <w:pPr>
              <w:pStyle w:val="0"/>
              <w:ind w:left="220" w:leftChars="100"/>
              <w:rPr>
                <w:rFonts w:hint="default"/>
                <w:color w:val="auto"/>
                <w:sz w:val="20"/>
                <w:highlight w:val="none"/>
              </w:rPr>
            </w:pPr>
            <w:r>
              <w:rPr>
                <w:rFonts w:hint="eastAsia"/>
                <w:color w:val="auto"/>
                <w:sz w:val="20"/>
                <w:highlight w:val="none"/>
              </w:rPr>
              <w:t>定期巡回</w:t>
            </w:r>
          </w:p>
        </w:tc>
        <w:tc>
          <w:tcPr>
            <w:tcW w:w="455" w:type="dxa"/>
            <w:vAlign w:val="top"/>
          </w:tcPr>
          <w:p>
            <w:pPr>
              <w:pStyle w:val="0"/>
              <w:jc w:val="right"/>
              <w:rPr>
                <w:rFonts w:hint="default"/>
                <w:color w:val="auto"/>
                <w:sz w:val="20"/>
                <w:highlight w:val="none"/>
              </w:rPr>
            </w:pPr>
            <w:r>
              <w:rPr>
                <w:rFonts w:hint="eastAsia"/>
                <w:color w:val="auto"/>
                <w:sz w:val="20"/>
                <w:highlight w:val="none"/>
              </w:rPr>
              <w:t>0</w:t>
            </w:r>
          </w:p>
        </w:tc>
        <w:tc>
          <w:tcPr>
            <w:tcW w:w="2493" w:type="dxa"/>
            <w:vAlign w:val="top"/>
          </w:tcPr>
          <w:p>
            <w:pPr>
              <w:pStyle w:val="0"/>
              <w:ind w:left="220" w:leftChars="100" w:right="-110" w:rightChars="-50"/>
              <w:rPr>
                <w:rFonts w:hint="default"/>
                <w:color w:val="auto"/>
                <w:sz w:val="20"/>
                <w:highlight w:val="none"/>
              </w:rPr>
            </w:pPr>
            <w:r>
              <w:rPr>
                <w:rFonts w:hint="eastAsia"/>
                <w:color w:val="auto"/>
                <w:sz w:val="20"/>
                <w:highlight w:val="none"/>
              </w:rPr>
              <w:t>介護老人福祉施設</w:t>
            </w:r>
          </w:p>
        </w:tc>
        <w:tc>
          <w:tcPr>
            <w:tcW w:w="567" w:type="dxa"/>
            <w:vAlign w:val="top"/>
          </w:tcPr>
          <w:p>
            <w:pPr>
              <w:pStyle w:val="0"/>
              <w:jc w:val="right"/>
              <w:rPr>
                <w:rFonts w:hint="default"/>
                <w:color w:val="auto"/>
                <w:sz w:val="20"/>
                <w:highlight w:val="none"/>
              </w:rPr>
            </w:pPr>
            <w:r>
              <w:rPr>
                <w:rFonts w:hint="eastAsia"/>
                <w:color w:val="auto"/>
                <w:sz w:val="20"/>
                <w:highlight w:val="none"/>
              </w:rPr>
              <w:t>0</w:t>
            </w:r>
          </w:p>
        </w:tc>
      </w:tr>
      <w:tr>
        <w:trPr/>
        <w:tc>
          <w:tcPr>
            <w:tcW w:w="2410" w:type="dxa"/>
            <w:vAlign w:val="top"/>
          </w:tcPr>
          <w:p>
            <w:pPr>
              <w:pStyle w:val="0"/>
              <w:ind w:left="220" w:leftChars="100"/>
              <w:rPr>
                <w:rFonts w:hint="default"/>
                <w:color w:val="auto"/>
                <w:sz w:val="20"/>
                <w:highlight w:val="none"/>
              </w:rPr>
            </w:pPr>
            <w:r>
              <w:rPr>
                <w:rFonts w:hint="eastAsia"/>
                <w:color w:val="auto"/>
                <w:sz w:val="20"/>
                <w:highlight w:val="none"/>
              </w:rPr>
              <w:t>訪問介護</w:t>
            </w:r>
          </w:p>
        </w:tc>
        <w:tc>
          <w:tcPr>
            <w:tcW w:w="630" w:type="dxa"/>
            <w:vAlign w:val="top"/>
          </w:tcPr>
          <w:p>
            <w:pPr>
              <w:pStyle w:val="0"/>
              <w:jc w:val="right"/>
              <w:rPr>
                <w:rFonts w:hint="default"/>
                <w:color w:val="auto"/>
                <w:sz w:val="20"/>
                <w:highlight w:val="none"/>
              </w:rPr>
            </w:pPr>
            <w:r>
              <w:rPr>
                <w:rFonts w:hint="eastAsia"/>
                <w:color w:val="auto"/>
                <w:sz w:val="20"/>
                <w:highlight w:val="none"/>
              </w:rPr>
              <w:t>1</w:t>
            </w:r>
          </w:p>
        </w:tc>
        <w:tc>
          <w:tcPr>
            <w:tcW w:w="2625" w:type="dxa"/>
            <w:vAlign w:val="top"/>
          </w:tcPr>
          <w:p>
            <w:pPr>
              <w:pStyle w:val="0"/>
              <w:ind w:left="220" w:leftChars="100"/>
              <w:rPr>
                <w:rFonts w:hint="default"/>
                <w:color w:val="auto"/>
                <w:sz w:val="20"/>
                <w:highlight w:val="none"/>
              </w:rPr>
            </w:pPr>
            <w:r>
              <w:rPr>
                <w:rFonts w:hint="eastAsia"/>
                <w:color w:val="auto"/>
                <w:sz w:val="20"/>
                <w:highlight w:val="none"/>
              </w:rPr>
              <w:t>認知症対応型通所</w:t>
            </w:r>
          </w:p>
        </w:tc>
        <w:tc>
          <w:tcPr>
            <w:tcW w:w="455" w:type="dxa"/>
            <w:vAlign w:val="top"/>
          </w:tcPr>
          <w:p>
            <w:pPr>
              <w:pStyle w:val="0"/>
              <w:jc w:val="right"/>
              <w:rPr>
                <w:rFonts w:hint="default"/>
                <w:color w:val="auto"/>
                <w:sz w:val="20"/>
                <w:highlight w:val="none"/>
              </w:rPr>
            </w:pPr>
            <w:r>
              <w:rPr>
                <w:rFonts w:hint="eastAsia"/>
                <w:color w:val="auto"/>
                <w:sz w:val="20"/>
                <w:highlight w:val="none"/>
              </w:rPr>
              <w:t>0</w:t>
            </w:r>
          </w:p>
        </w:tc>
        <w:tc>
          <w:tcPr>
            <w:tcW w:w="2493" w:type="dxa"/>
            <w:vAlign w:val="top"/>
          </w:tcPr>
          <w:p>
            <w:pPr>
              <w:pStyle w:val="0"/>
              <w:ind w:left="220" w:leftChars="100" w:right="-110" w:rightChars="-50"/>
              <w:rPr>
                <w:rFonts w:hint="default"/>
                <w:color w:val="auto"/>
                <w:sz w:val="20"/>
                <w:highlight w:val="none"/>
              </w:rPr>
            </w:pPr>
            <w:r>
              <w:rPr>
                <w:rFonts w:hint="eastAsia"/>
                <w:color w:val="auto"/>
                <w:sz w:val="20"/>
                <w:highlight w:val="none"/>
              </w:rPr>
              <w:t>介護老人保健施設</w:t>
            </w:r>
          </w:p>
        </w:tc>
        <w:tc>
          <w:tcPr>
            <w:tcW w:w="567" w:type="dxa"/>
            <w:vAlign w:val="top"/>
          </w:tcPr>
          <w:p>
            <w:pPr>
              <w:pStyle w:val="0"/>
              <w:jc w:val="right"/>
              <w:rPr>
                <w:rFonts w:hint="default"/>
                <w:color w:val="auto"/>
                <w:sz w:val="20"/>
                <w:highlight w:val="none"/>
              </w:rPr>
            </w:pPr>
            <w:r>
              <w:rPr>
                <w:rFonts w:hint="eastAsia"/>
                <w:color w:val="auto"/>
                <w:sz w:val="20"/>
                <w:highlight w:val="none"/>
              </w:rPr>
              <w:t>0</w:t>
            </w:r>
          </w:p>
        </w:tc>
      </w:tr>
      <w:tr>
        <w:trPr/>
        <w:tc>
          <w:tcPr>
            <w:tcW w:w="2410" w:type="dxa"/>
            <w:vAlign w:val="top"/>
          </w:tcPr>
          <w:p>
            <w:pPr>
              <w:pStyle w:val="0"/>
              <w:ind w:left="220" w:leftChars="100"/>
              <w:rPr>
                <w:rFonts w:hint="default"/>
                <w:color w:val="auto"/>
                <w:sz w:val="20"/>
                <w:highlight w:val="none"/>
              </w:rPr>
            </w:pPr>
            <w:r>
              <w:rPr>
                <w:rFonts w:hint="eastAsia"/>
                <w:color w:val="auto"/>
                <w:sz w:val="20"/>
                <w:highlight w:val="none"/>
              </w:rPr>
              <w:t>訪問入浴介護</w:t>
            </w:r>
          </w:p>
        </w:tc>
        <w:tc>
          <w:tcPr>
            <w:tcW w:w="630" w:type="dxa"/>
            <w:vAlign w:val="top"/>
          </w:tcPr>
          <w:p>
            <w:pPr>
              <w:pStyle w:val="0"/>
              <w:jc w:val="right"/>
              <w:rPr>
                <w:rFonts w:hint="default"/>
                <w:color w:val="auto"/>
                <w:sz w:val="20"/>
                <w:highlight w:val="none"/>
              </w:rPr>
            </w:pPr>
            <w:r>
              <w:rPr>
                <w:rFonts w:hint="eastAsia"/>
                <w:color w:val="auto"/>
                <w:sz w:val="20"/>
                <w:highlight w:val="none"/>
              </w:rPr>
              <w:t>0</w:t>
            </w:r>
          </w:p>
        </w:tc>
        <w:tc>
          <w:tcPr>
            <w:tcW w:w="2625" w:type="dxa"/>
            <w:vAlign w:val="top"/>
          </w:tcPr>
          <w:p>
            <w:pPr>
              <w:pStyle w:val="0"/>
              <w:ind w:left="220" w:leftChars="100"/>
              <w:rPr>
                <w:rFonts w:hint="default"/>
                <w:color w:val="auto"/>
                <w:sz w:val="20"/>
                <w:highlight w:val="none"/>
              </w:rPr>
            </w:pPr>
            <w:r>
              <w:rPr>
                <w:rFonts w:hint="eastAsia"/>
                <w:color w:val="auto"/>
                <w:sz w:val="20"/>
                <w:highlight w:val="none"/>
              </w:rPr>
              <w:t>地域密着型通所</w:t>
            </w:r>
          </w:p>
        </w:tc>
        <w:tc>
          <w:tcPr>
            <w:tcW w:w="455" w:type="dxa"/>
            <w:vAlign w:val="top"/>
          </w:tcPr>
          <w:p>
            <w:pPr>
              <w:pStyle w:val="0"/>
              <w:jc w:val="right"/>
              <w:rPr>
                <w:rFonts w:hint="default"/>
                <w:color w:val="auto"/>
                <w:sz w:val="20"/>
                <w:highlight w:val="none"/>
              </w:rPr>
            </w:pPr>
            <w:r>
              <w:rPr>
                <w:rFonts w:hint="eastAsia"/>
                <w:color w:val="auto"/>
                <w:sz w:val="20"/>
                <w:highlight w:val="none"/>
              </w:rPr>
              <w:t>1</w:t>
            </w:r>
          </w:p>
        </w:tc>
        <w:tc>
          <w:tcPr>
            <w:tcW w:w="2493" w:type="dxa"/>
            <w:vAlign w:val="top"/>
          </w:tcPr>
          <w:p>
            <w:pPr>
              <w:pStyle w:val="0"/>
              <w:ind w:firstLine="200" w:firstLineChars="100"/>
              <w:rPr>
                <w:rFonts w:hint="default"/>
                <w:color w:val="auto"/>
                <w:sz w:val="20"/>
                <w:highlight w:val="none"/>
              </w:rPr>
            </w:pPr>
            <w:r>
              <w:rPr>
                <w:rFonts w:hint="eastAsia"/>
                <w:color w:val="auto"/>
                <w:sz w:val="20"/>
                <w:highlight w:val="none"/>
              </w:rPr>
              <w:t>介護医療院</w:t>
            </w:r>
          </w:p>
        </w:tc>
        <w:tc>
          <w:tcPr>
            <w:tcW w:w="567" w:type="dxa"/>
            <w:vAlign w:val="top"/>
          </w:tcPr>
          <w:p>
            <w:pPr>
              <w:pStyle w:val="0"/>
              <w:jc w:val="right"/>
              <w:rPr>
                <w:rFonts w:hint="default"/>
                <w:color w:val="auto"/>
                <w:sz w:val="20"/>
                <w:highlight w:val="none"/>
              </w:rPr>
            </w:pPr>
            <w:r>
              <w:rPr>
                <w:rFonts w:hint="eastAsia"/>
                <w:color w:val="auto"/>
                <w:sz w:val="20"/>
                <w:highlight w:val="none"/>
              </w:rPr>
              <w:t>0</w:t>
            </w:r>
          </w:p>
        </w:tc>
      </w:tr>
      <w:tr>
        <w:trPr/>
        <w:tc>
          <w:tcPr>
            <w:tcW w:w="2410" w:type="dxa"/>
            <w:vAlign w:val="top"/>
          </w:tcPr>
          <w:p>
            <w:pPr>
              <w:pStyle w:val="0"/>
              <w:ind w:left="220" w:leftChars="100"/>
              <w:rPr>
                <w:rFonts w:hint="default"/>
                <w:color w:val="auto"/>
                <w:sz w:val="20"/>
                <w:highlight w:val="none"/>
              </w:rPr>
            </w:pPr>
            <w:r>
              <w:rPr>
                <w:rFonts w:hint="eastAsia"/>
                <w:color w:val="auto"/>
                <w:sz w:val="20"/>
                <w:highlight w:val="none"/>
              </w:rPr>
              <w:t>訪問看護</w:t>
            </w:r>
          </w:p>
        </w:tc>
        <w:tc>
          <w:tcPr>
            <w:tcW w:w="630" w:type="dxa"/>
            <w:vAlign w:val="top"/>
          </w:tcPr>
          <w:p>
            <w:pPr>
              <w:pStyle w:val="0"/>
              <w:jc w:val="right"/>
              <w:rPr>
                <w:rFonts w:hint="default"/>
                <w:color w:val="auto"/>
                <w:sz w:val="20"/>
                <w:highlight w:val="none"/>
              </w:rPr>
            </w:pPr>
            <w:r>
              <w:rPr>
                <w:rFonts w:hint="eastAsia"/>
                <w:color w:val="auto"/>
                <w:sz w:val="20"/>
                <w:highlight w:val="none"/>
              </w:rPr>
              <w:t>0</w:t>
            </w:r>
          </w:p>
        </w:tc>
        <w:tc>
          <w:tcPr>
            <w:tcW w:w="2625" w:type="dxa"/>
            <w:vAlign w:val="top"/>
          </w:tcPr>
          <w:p>
            <w:pPr>
              <w:pStyle w:val="0"/>
              <w:ind w:left="220" w:leftChars="100"/>
              <w:rPr>
                <w:rFonts w:hint="default"/>
                <w:color w:val="auto"/>
                <w:sz w:val="20"/>
                <w:highlight w:val="none"/>
              </w:rPr>
            </w:pPr>
            <w:r>
              <w:rPr>
                <w:rFonts w:hint="eastAsia"/>
                <w:color w:val="auto"/>
                <w:sz w:val="20"/>
                <w:highlight w:val="none"/>
              </w:rPr>
              <w:t>グループホーム</w:t>
            </w:r>
          </w:p>
        </w:tc>
        <w:tc>
          <w:tcPr>
            <w:tcW w:w="455" w:type="dxa"/>
            <w:vAlign w:val="top"/>
          </w:tcPr>
          <w:p>
            <w:pPr>
              <w:pStyle w:val="0"/>
              <w:jc w:val="right"/>
              <w:rPr>
                <w:rFonts w:hint="default"/>
                <w:color w:val="auto"/>
                <w:sz w:val="20"/>
                <w:highlight w:val="none"/>
              </w:rPr>
            </w:pPr>
            <w:r>
              <w:rPr>
                <w:rFonts w:hint="eastAsia"/>
                <w:color w:val="auto"/>
                <w:sz w:val="20"/>
                <w:highlight w:val="none"/>
              </w:rPr>
              <w:t>0</w:t>
            </w:r>
          </w:p>
        </w:tc>
        <w:tc>
          <w:tcPr>
            <w:tcW w:w="2493" w:type="dxa"/>
            <w:shd w:val="clear" w:color="auto" w:themeFill="text2" w:themeFillTint="33" w:themeFillShade="FF"/>
            <w:vAlign w:val="top"/>
          </w:tcPr>
          <w:p>
            <w:pPr>
              <w:pStyle w:val="0"/>
              <w:rPr>
                <w:rFonts w:hint="default"/>
                <w:b w:val="1"/>
                <w:color w:val="auto"/>
                <w:sz w:val="20"/>
                <w:highlight w:val="none"/>
              </w:rPr>
            </w:pPr>
            <w:r>
              <w:rPr>
                <w:rFonts w:hint="eastAsia"/>
                <w:b w:val="1"/>
                <w:color w:val="auto"/>
                <w:sz w:val="20"/>
                <w:highlight w:val="none"/>
              </w:rPr>
              <w:t>総合事業</w:t>
            </w:r>
          </w:p>
        </w:tc>
        <w:tc>
          <w:tcPr>
            <w:tcW w:w="567" w:type="dxa"/>
            <w:shd w:val="clear" w:color="auto" w:themeFill="text2" w:themeFillTint="33" w:themeFillShade="FF"/>
            <w:vAlign w:val="top"/>
          </w:tcPr>
          <w:p>
            <w:pPr>
              <w:pStyle w:val="0"/>
              <w:jc w:val="right"/>
              <w:rPr>
                <w:rFonts w:hint="default"/>
                <w:color w:val="auto"/>
                <w:sz w:val="20"/>
                <w:highlight w:val="none"/>
              </w:rPr>
            </w:pPr>
            <w:r>
              <w:rPr>
                <w:rFonts w:hint="eastAsia"/>
                <w:color w:val="auto"/>
                <w:sz w:val="20"/>
                <w:highlight w:val="none"/>
              </w:rPr>
              <w:t>2</w:t>
            </w:r>
          </w:p>
        </w:tc>
      </w:tr>
      <w:tr>
        <w:trPr/>
        <w:tc>
          <w:tcPr>
            <w:tcW w:w="2410" w:type="dxa"/>
            <w:vAlign w:val="top"/>
          </w:tcPr>
          <w:p>
            <w:pPr>
              <w:pStyle w:val="0"/>
              <w:ind w:left="220" w:leftChars="100"/>
              <w:rPr>
                <w:rFonts w:hint="default"/>
                <w:color w:val="auto"/>
                <w:sz w:val="20"/>
                <w:highlight w:val="none"/>
              </w:rPr>
            </w:pPr>
            <w:r>
              <w:rPr>
                <w:rFonts w:hint="eastAsia"/>
                <w:color w:val="auto"/>
                <w:sz w:val="20"/>
                <w:highlight w:val="none"/>
              </w:rPr>
              <w:t>訪問ﾘﾊﾋﾞﾘﾃｰｼｮﾝ</w:t>
            </w:r>
          </w:p>
        </w:tc>
        <w:tc>
          <w:tcPr>
            <w:tcW w:w="630" w:type="dxa"/>
            <w:vAlign w:val="top"/>
          </w:tcPr>
          <w:p>
            <w:pPr>
              <w:pStyle w:val="0"/>
              <w:jc w:val="right"/>
              <w:rPr>
                <w:rFonts w:hint="default"/>
                <w:color w:val="auto"/>
                <w:sz w:val="20"/>
                <w:highlight w:val="none"/>
              </w:rPr>
            </w:pPr>
            <w:r>
              <w:rPr>
                <w:rFonts w:hint="eastAsia"/>
                <w:color w:val="auto"/>
                <w:sz w:val="20"/>
                <w:highlight w:val="none"/>
              </w:rPr>
              <w:t>0</w:t>
            </w:r>
          </w:p>
        </w:tc>
        <w:tc>
          <w:tcPr>
            <w:tcW w:w="2625" w:type="dxa"/>
            <w:vAlign w:val="top"/>
          </w:tcPr>
          <w:p>
            <w:pPr>
              <w:pStyle w:val="0"/>
              <w:ind w:firstLine="200" w:firstLineChars="100"/>
              <w:rPr>
                <w:rFonts w:hint="default"/>
                <w:color w:val="auto"/>
                <w:sz w:val="20"/>
                <w:highlight w:val="none"/>
              </w:rPr>
            </w:pPr>
            <w:r>
              <w:rPr>
                <w:rFonts w:hint="eastAsia"/>
                <w:color w:val="auto"/>
                <w:sz w:val="20"/>
                <w:highlight w:val="none"/>
              </w:rPr>
              <w:t>小規模多機能</w:t>
            </w:r>
          </w:p>
        </w:tc>
        <w:tc>
          <w:tcPr>
            <w:tcW w:w="455" w:type="dxa"/>
            <w:vAlign w:val="top"/>
          </w:tcPr>
          <w:p>
            <w:pPr>
              <w:pStyle w:val="0"/>
              <w:jc w:val="right"/>
              <w:rPr>
                <w:rFonts w:hint="default"/>
                <w:color w:val="auto"/>
                <w:sz w:val="20"/>
                <w:highlight w:val="none"/>
              </w:rPr>
            </w:pPr>
            <w:r>
              <w:rPr>
                <w:rFonts w:hint="eastAsia"/>
                <w:color w:val="auto"/>
                <w:sz w:val="20"/>
                <w:highlight w:val="none"/>
              </w:rPr>
              <w:t>0</w:t>
            </w:r>
          </w:p>
        </w:tc>
        <w:tc>
          <w:tcPr>
            <w:tcW w:w="2493" w:type="dxa"/>
            <w:shd w:val="clear" w:color="auto" w:themeFill="text2" w:themeFillTint="33" w:themeFillShade="FF"/>
            <w:vAlign w:val="top"/>
          </w:tcPr>
          <w:p>
            <w:pPr>
              <w:pStyle w:val="0"/>
              <w:rPr>
                <w:rFonts w:hint="default"/>
                <w:b w:val="1"/>
                <w:color w:val="auto"/>
                <w:sz w:val="20"/>
                <w:highlight w:val="none"/>
              </w:rPr>
            </w:pPr>
            <w:r>
              <w:rPr>
                <w:rFonts w:hint="eastAsia"/>
                <w:b w:val="1"/>
                <w:color w:val="auto"/>
                <w:sz w:val="20"/>
                <w:highlight w:val="none"/>
              </w:rPr>
              <w:t>その他</w:t>
            </w:r>
          </w:p>
        </w:tc>
        <w:tc>
          <w:tcPr>
            <w:tcW w:w="567" w:type="dxa"/>
            <w:shd w:val="clear" w:color="auto" w:themeFill="text2" w:themeFillTint="33" w:themeFillShade="FF"/>
            <w:vAlign w:val="top"/>
          </w:tcPr>
          <w:p>
            <w:pPr>
              <w:pStyle w:val="0"/>
              <w:jc w:val="right"/>
              <w:rPr>
                <w:rFonts w:hint="default"/>
                <w:color w:val="auto"/>
                <w:sz w:val="20"/>
                <w:highlight w:val="none"/>
              </w:rPr>
            </w:pPr>
            <w:r>
              <w:rPr>
                <w:rFonts w:hint="eastAsia"/>
                <w:color w:val="auto"/>
                <w:sz w:val="20"/>
                <w:highlight w:val="none"/>
              </w:rPr>
              <w:t>0</w:t>
            </w:r>
          </w:p>
        </w:tc>
      </w:tr>
      <w:tr>
        <w:trPr>
          <w:trHeight w:val="122" w:hRule="atLeast"/>
        </w:trPr>
        <w:tc>
          <w:tcPr>
            <w:tcW w:w="2410" w:type="dxa"/>
            <w:vAlign w:val="top"/>
          </w:tcPr>
          <w:p>
            <w:pPr>
              <w:pStyle w:val="0"/>
              <w:ind w:left="220" w:leftChars="100"/>
              <w:rPr>
                <w:rFonts w:hint="default"/>
                <w:color w:val="auto"/>
                <w:sz w:val="20"/>
                <w:highlight w:val="none"/>
              </w:rPr>
            </w:pPr>
            <w:r>
              <w:rPr>
                <w:rFonts w:hint="eastAsia"/>
                <w:color w:val="auto"/>
                <w:sz w:val="20"/>
                <w:highlight w:val="none"/>
              </w:rPr>
              <w:t>通所介護</w:t>
            </w:r>
          </w:p>
        </w:tc>
        <w:tc>
          <w:tcPr>
            <w:tcW w:w="630" w:type="dxa"/>
            <w:vAlign w:val="top"/>
          </w:tcPr>
          <w:p>
            <w:pPr>
              <w:pStyle w:val="0"/>
              <w:jc w:val="right"/>
              <w:rPr>
                <w:rFonts w:hint="default"/>
                <w:color w:val="auto"/>
                <w:sz w:val="20"/>
                <w:highlight w:val="none"/>
              </w:rPr>
            </w:pPr>
            <w:r>
              <w:rPr>
                <w:rFonts w:hint="eastAsia"/>
                <w:color w:val="auto"/>
                <w:sz w:val="20"/>
                <w:highlight w:val="none"/>
              </w:rPr>
              <w:t>0</w:t>
            </w:r>
          </w:p>
        </w:tc>
        <w:tc>
          <w:tcPr>
            <w:tcW w:w="2625" w:type="dxa"/>
            <w:vAlign w:val="top"/>
          </w:tcPr>
          <w:p>
            <w:pPr>
              <w:pStyle w:val="0"/>
              <w:ind w:firstLine="200" w:firstLineChars="100"/>
              <w:rPr>
                <w:rFonts w:hint="default"/>
                <w:color w:val="auto"/>
                <w:sz w:val="20"/>
                <w:highlight w:val="none"/>
              </w:rPr>
            </w:pPr>
            <w:r>
              <w:rPr>
                <w:rFonts w:hint="eastAsia"/>
                <w:color w:val="auto"/>
                <w:sz w:val="20"/>
                <w:highlight w:val="none"/>
              </w:rPr>
              <w:t>看護小規模多機能</w:t>
            </w:r>
          </w:p>
        </w:tc>
        <w:tc>
          <w:tcPr>
            <w:tcW w:w="455" w:type="dxa"/>
            <w:vAlign w:val="top"/>
          </w:tcPr>
          <w:p>
            <w:pPr>
              <w:pStyle w:val="0"/>
              <w:jc w:val="right"/>
              <w:rPr>
                <w:rFonts w:hint="default"/>
                <w:color w:val="auto"/>
                <w:sz w:val="20"/>
                <w:highlight w:val="none"/>
              </w:rPr>
            </w:pPr>
            <w:r>
              <w:rPr>
                <w:rFonts w:hint="eastAsia"/>
                <w:color w:val="auto"/>
                <w:sz w:val="20"/>
                <w:highlight w:val="none"/>
              </w:rPr>
              <w:t>0</w:t>
            </w:r>
          </w:p>
        </w:tc>
        <w:tc>
          <w:tcPr>
            <w:tcW w:w="2493" w:type="dxa"/>
            <w:shd w:val="clear" w:color="auto" w:fill="auto"/>
            <w:vAlign w:val="top"/>
          </w:tcPr>
          <w:p>
            <w:pPr>
              <w:pStyle w:val="0"/>
              <w:ind w:firstLine="200" w:firstLineChars="100"/>
              <w:rPr>
                <w:rFonts w:hint="default"/>
                <w:color w:val="auto"/>
                <w:sz w:val="20"/>
                <w:highlight w:val="none"/>
              </w:rPr>
            </w:pPr>
            <w:r>
              <w:rPr>
                <w:rFonts w:hint="eastAsia"/>
                <w:color w:val="auto"/>
                <w:sz w:val="20"/>
                <w:highlight w:val="none"/>
              </w:rPr>
              <w:t>ｹｱﾊｳｽ</w:t>
            </w:r>
            <w:r>
              <w:rPr>
                <w:rFonts w:hint="eastAsia"/>
                <w:color w:val="auto"/>
                <w:sz w:val="20"/>
                <w:highlight w:val="none"/>
              </w:rPr>
              <w:t>(</w:t>
            </w:r>
            <w:r>
              <w:rPr>
                <w:rFonts w:hint="eastAsia"/>
                <w:color w:val="auto"/>
                <w:sz w:val="20"/>
                <w:highlight w:val="none"/>
              </w:rPr>
              <w:t>軽費老人ﾎｰﾑ</w:t>
            </w:r>
            <w:r>
              <w:rPr>
                <w:rFonts w:hint="eastAsia"/>
                <w:color w:val="auto"/>
                <w:sz w:val="20"/>
                <w:highlight w:val="none"/>
              </w:rPr>
              <w:t>)</w:t>
            </w:r>
          </w:p>
        </w:tc>
        <w:tc>
          <w:tcPr>
            <w:tcW w:w="567" w:type="dxa"/>
            <w:shd w:val="clear" w:color="auto" w:fill="auto"/>
            <w:vAlign w:val="top"/>
          </w:tcPr>
          <w:p>
            <w:pPr>
              <w:pStyle w:val="0"/>
              <w:jc w:val="right"/>
              <w:rPr>
                <w:rFonts w:hint="default"/>
                <w:color w:val="auto"/>
                <w:sz w:val="20"/>
                <w:highlight w:val="none"/>
              </w:rPr>
            </w:pPr>
            <w:r>
              <w:rPr>
                <w:rFonts w:hint="eastAsia"/>
                <w:color w:val="auto"/>
                <w:sz w:val="20"/>
                <w:highlight w:val="none"/>
              </w:rPr>
              <w:t>0</w:t>
            </w:r>
          </w:p>
        </w:tc>
      </w:tr>
      <w:tr>
        <w:trPr/>
        <w:tc>
          <w:tcPr>
            <w:tcW w:w="2410" w:type="dxa"/>
            <w:vAlign w:val="top"/>
          </w:tcPr>
          <w:p>
            <w:pPr>
              <w:pStyle w:val="0"/>
              <w:ind w:left="220" w:leftChars="100"/>
              <w:rPr>
                <w:rFonts w:hint="default"/>
                <w:color w:val="auto"/>
                <w:sz w:val="20"/>
                <w:highlight w:val="none"/>
              </w:rPr>
            </w:pPr>
            <w:r>
              <w:rPr>
                <w:rFonts w:hint="eastAsia"/>
                <w:color w:val="auto"/>
                <w:sz w:val="20"/>
                <w:highlight w:val="none"/>
              </w:rPr>
              <w:t>通所ﾘﾊﾋﾞﾘﾃｰｼｮﾝ</w:t>
            </w:r>
          </w:p>
        </w:tc>
        <w:tc>
          <w:tcPr>
            <w:tcW w:w="630" w:type="dxa"/>
            <w:vAlign w:val="top"/>
          </w:tcPr>
          <w:p>
            <w:pPr>
              <w:pStyle w:val="0"/>
              <w:jc w:val="right"/>
              <w:rPr>
                <w:rFonts w:hint="default"/>
                <w:color w:val="auto"/>
                <w:sz w:val="20"/>
                <w:highlight w:val="none"/>
              </w:rPr>
            </w:pPr>
            <w:r>
              <w:rPr>
                <w:rFonts w:hint="eastAsia"/>
                <w:color w:val="auto"/>
                <w:sz w:val="20"/>
                <w:highlight w:val="none"/>
              </w:rPr>
              <w:t>0</w:t>
            </w:r>
          </w:p>
        </w:tc>
        <w:tc>
          <w:tcPr>
            <w:tcW w:w="2625" w:type="dxa"/>
            <w:vAlign w:val="top"/>
          </w:tcPr>
          <w:p>
            <w:pPr>
              <w:pStyle w:val="0"/>
              <w:rPr>
                <w:rFonts w:hint="default"/>
                <w:color w:val="auto"/>
                <w:sz w:val="20"/>
                <w:highlight w:val="none"/>
              </w:rPr>
            </w:pPr>
            <w:r>
              <w:rPr>
                <w:rFonts w:hint="eastAsia"/>
                <w:color w:val="auto"/>
                <w:sz w:val="20"/>
                <w:highlight w:val="none"/>
              </w:rPr>
              <w:t>　</w:t>
            </w:r>
            <w:r>
              <w:rPr>
                <w:rFonts w:hint="eastAsia"/>
                <w:color w:val="auto"/>
                <w:sz w:val="20"/>
                <w:highlight w:val="none"/>
              </w:rPr>
              <w:t xml:space="preserve"> </w:t>
            </w:r>
            <w:r>
              <w:rPr>
                <w:rFonts w:hint="eastAsia"/>
                <w:color w:val="auto"/>
                <w:sz w:val="20"/>
                <w:highlight w:val="none"/>
              </w:rPr>
              <w:t>地域密着型特養</w:t>
            </w:r>
          </w:p>
        </w:tc>
        <w:tc>
          <w:tcPr>
            <w:tcW w:w="455" w:type="dxa"/>
            <w:vAlign w:val="top"/>
          </w:tcPr>
          <w:p>
            <w:pPr>
              <w:pStyle w:val="0"/>
              <w:jc w:val="right"/>
              <w:rPr>
                <w:rFonts w:hint="default"/>
                <w:color w:val="auto"/>
                <w:sz w:val="20"/>
                <w:highlight w:val="none"/>
              </w:rPr>
            </w:pPr>
            <w:r>
              <w:rPr>
                <w:rFonts w:hint="eastAsia"/>
                <w:color w:val="auto"/>
                <w:sz w:val="20"/>
                <w:highlight w:val="none"/>
              </w:rPr>
              <w:t>1</w:t>
            </w:r>
          </w:p>
        </w:tc>
        <w:tc>
          <w:tcPr>
            <w:tcW w:w="2493" w:type="dxa"/>
            <w:shd w:val="clear" w:color="auto" w:fill="auto"/>
            <w:vAlign w:val="top"/>
          </w:tcPr>
          <w:p>
            <w:pPr>
              <w:pStyle w:val="0"/>
              <w:ind w:right="-110" w:rightChars="-50" w:firstLine="200" w:firstLineChars="100"/>
              <w:rPr>
                <w:rFonts w:hint="default"/>
                <w:color w:val="auto"/>
                <w:sz w:val="20"/>
                <w:highlight w:val="none"/>
              </w:rPr>
            </w:pPr>
            <w:r>
              <w:rPr>
                <w:rFonts w:hint="eastAsia"/>
                <w:color w:val="auto"/>
                <w:sz w:val="20"/>
                <w:highlight w:val="none"/>
              </w:rPr>
              <w:t>サ高住</w:t>
            </w:r>
          </w:p>
        </w:tc>
        <w:tc>
          <w:tcPr>
            <w:tcW w:w="567" w:type="dxa"/>
            <w:shd w:val="clear" w:color="auto" w:fill="auto"/>
            <w:vAlign w:val="top"/>
          </w:tcPr>
          <w:p>
            <w:pPr>
              <w:pStyle w:val="0"/>
              <w:jc w:val="right"/>
              <w:rPr>
                <w:rFonts w:hint="default"/>
                <w:color w:val="auto"/>
                <w:sz w:val="20"/>
                <w:highlight w:val="none"/>
              </w:rPr>
            </w:pPr>
            <w:r>
              <w:rPr>
                <w:rFonts w:hint="eastAsia"/>
                <w:color w:val="auto"/>
                <w:sz w:val="20"/>
                <w:highlight w:val="none"/>
              </w:rPr>
              <w:t>0</w:t>
            </w:r>
          </w:p>
        </w:tc>
      </w:tr>
      <w:tr>
        <w:trPr/>
        <w:tc>
          <w:tcPr>
            <w:tcW w:w="2410" w:type="dxa"/>
            <w:vAlign w:val="top"/>
          </w:tcPr>
          <w:p>
            <w:pPr>
              <w:pStyle w:val="0"/>
              <w:ind w:left="220" w:leftChars="100"/>
              <w:rPr>
                <w:rFonts w:hint="default"/>
                <w:color w:val="auto"/>
                <w:sz w:val="20"/>
                <w:highlight w:val="none"/>
              </w:rPr>
            </w:pPr>
            <w:r>
              <w:rPr>
                <w:rFonts w:hint="eastAsia"/>
                <w:color w:val="auto"/>
                <w:sz w:val="20"/>
                <w:highlight w:val="none"/>
              </w:rPr>
              <w:t>ショートステイ</w:t>
            </w:r>
          </w:p>
        </w:tc>
        <w:tc>
          <w:tcPr>
            <w:tcW w:w="630" w:type="dxa"/>
            <w:vAlign w:val="top"/>
          </w:tcPr>
          <w:p>
            <w:pPr>
              <w:pStyle w:val="0"/>
              <w:jc w:val="right"/>
              <w:rPr>
                <w:rFonts w:hint="default"/>
                <w:color w:val="auto"/>
                <w:sz w:val="20"/>
                <w:highlight w:val="none"/>
              </w:rPr>
            </w:pPr>
            <w:r>
              <w:rPr>
                <w:rFonts w:hint="eastAsia"/>
                <w:color w:val="auto"/>
                <w:sz w:val="20"/>
                <w:highlight w:val="none"/>
              </w:rPr>
              <w:t>0</w:t>
            </w:r>
          </w:p>
        </w:tc>
        <w:tc>
          <w:tcPr>
            <w:tcW w:w="2625" w:type="dxa"/>
            <w:vAlign w:val="top"/>
          </w:tcPr>
          <w:p>
            <w:pPr>
              <w:pStyle w:val="0"/>
              <w:ind w:left="220" w:leftChars="100"/>
              <w:rPr>
                <w:rFonts w:hint="default"/>
                <w:color w:val="auto"/>
                <w:sz w:val="20"/>
                <w:highlight w:val="none"/>
              </w:rPr>
            </w:pPr>
            <w:r>
              <w:rPr>
                <w:rFonts w:hint="eastAsia"/>
                <w:color w:val="auto"/>
                <w:sz w:val="20"/>
                <w:highlight w:val="none"/>
              </w:rPr>
              <w:t>地域密着型特定入居</w:t>
            </w:r>
          </w:p>
        </w:tc>
        <w:tc>
          <w:tcPr>
            <w:tcW w:w="455" w:type="dxa"/>
            <w:vAlign w:val="top"/>
          </w:tcPr>
          <w:p>
            <w:pPr>
              <w:pStyle w:val="0"/>
              <w:jc w:val="right"/>
              <w:rPr>
                <w:rFonts w:hint="default"/>
                <w:color w:val="auto"/>
                <w:sz w:val="20"/>
                <w:highlight w:val="none"/>
              </w:rPr>
            </w:pPr>
            <w:r>
              <w:rPr>
                <w:rFonts w:hint="eastAsia"/>
                <w:color w:val="auto"/>
                <w:sz w:val="20"/>
                <w:highlight w:val="none"/>
              </w:rPr>
              <w:t>0</w:t>
            </w:r>
          </w:p>
        </w:tc>
        <w:tc>
          <w:tcPr>
            <w:tcW w:w="2493" w:type="dxa"/>
            <w:shd w:val="clear" w:color="auto" w:fill="auto"/>
            <w:vAlign w:val="top"/>
          </w:tcPr>
          <w:p>
            <w:pPr>
              <w:pStyle w:val="0"/>
              <w:ind w:right="-110" w:rightChars="-50" w:firstLine="200" w:firstLineChars="100"/>
              <w:rPr>
                <w:rFonts w:hint="default"/>
                <w:color w:val="auto"/>
                <w:sz w:val="20"/>
                <w:highlight w:val="none"/>
              </w:rPr>
            </w:pPr>
            <w:r>
              <w:rPr>
                <w:rFonts w:hint="eastAsia"/>
                <w:color w:val="auto"/>
                <w:sz w:val="20"/>
                <w:highlight w:val="none"/>
              </w:rPr>
              <w:t>有料老人ホーム</w:t>
            </w:r>
          </w:p>
        </w:tc>
        <w:tc>
          <w:tcPr>
            <w:tcW w:w="567" w:type="dxa"/>
            <w:shd w:val="clear" w:color="auto" w:fill="auto"/>
            <w:vAlign w:val="top"/>
          </w:tcPr>
          <w:p>
            <w:pPr>
              <w:pStyle w:val="0"/>
              <w:jc w:val="right"/>
              <w:rPr>
                <w:rFonts w:hint="default"/>
                <w:color w:val="auto"/>
                <w:sz w:val="20"/>
                <w:highlight w:val="none"/>
              </w:rPr>
            </w:pPr>
            <w:r>
              <w:rPr>
                <w:rFonts w:hint="eastAsia"/>
                <w:color w:val="auto"/>
                <w:sz w:val="20"/>
                <w:highlight w:val="none"/>
              </w:rPr>
              <w:t>0</w:t>
            </w:r>
          </w:p>
        </w:tc>
      </w:tr>
      <w:tr>
        <w:trPr/>
        <w:tc>
          <w:tcPr>
            <w:tcW w:w="2410" w:type="dxa"/>
            <w:vAlign w:val="top"/>
          </w:tcPr>
          <w:p>
            <w:pPr>
              <w:pStyle w:val="0"/>
              <w:ind w:left="220" w:leftChars="100"/>
              <w:rPr>
                <w:rFonts w:hint="default"/>
                <w:color w:val="auto"/>
                <w:sz w:val="20"/>
                <w:highlight w:val="none"/>
              </w:rPr>
            </w:pPr>
            <w:r>
              <w:rPr>
                <w:rFonts w:hint="eastAsia"/>
                <w:color w:val="auto"/>
                <w:sz w:val="20"/>
                <w:highlight w:val="none"/>
              </w:rPr>
              <w:t>特定入居</w:t>
            </w:r>
            <w:r>
              <w:rPr>
                <w:rFonts w:hint="eastAsia"/>
                <w:color w:val="auto"/>
                <w:sz w:val="20"/>
                <w:highlight w:val="none"/>
              </w:rPr>
              <w:t>(</w:t>
            </w:r>
            <w:r>
              <w:rPr>
                <w:rFonts w:hint="eastAsia"/>
                <w:color w:val="auto"/>
                <w:sz w:val="20"/>
                <w:highlight w:val="none"/>
              </w:rPr>
              <w:t>生・療</w:t>
            </w:r>
            <w:r>
              <w:rPr>
                <w:rFonts w:hint="eastAsia"/>
                <w:color w:val="auto"/>
                <w:sz w:val="20"/>
                <w:highlight w:val="none"/>
              </w:rPr>
              <w:t>)</w:t>
            </w:r>
          </w:p>
        </w:tc>
        <w:tc>
          <w:tcPr>
            <w:tcW w:w="630" w:type="dxa"/>
            <w:vAlign w:val="top"/>
          </w:tcPr>
          <w:p>
            <w:pPr>
              <w:pStyle w:val="0"/>
              <w:jc w:val="right"/>
              <w:rPr>
                <w:rFonts w:hint="default"/>
                <w:color w:val="auto"/>
                <w:sz w:val="20"/>
                <w:highlight w:val="none"/>
              </w:rPr>
            </w:pPr>
            <w:r>
              <w:rPr>
                <w:rFonts w:hint="eastAsia"/>
                <w:color w:val="auto"/>
                <w:sz w:val="20"/>
                <w:highlight w:val="none"/>
              </w:rPr>
              <w:t>0</w:t>
            </w:r>
          </w:p>
        </w:tc>
        <w:tc>
          <w:tcPr>
            <w:tcW w:w="2625" w:type="dxa"/>
            <w:vAlign w:val="top"/>
          </w:tcPr>
          <w:p>
            <w:pPr>
              <w:pStyle w:val="0"/>
              <w:ind w:left="220" w:leftChars="100"/>
              <w:rPr>
                <w:rFonts w:hint="default"/>
                <w:color w:val="auto"/>
                <w:sz w:val="20"/>
                <w:highlight w:val="none"/>
              </w:rPr>
            </w:pPr>
          </w:p>
        </w:tc>
        <w:tc>
          <w:tcPr>
            <w:tcW w:w="455" w:type="dxa"/>
            <w:vAlign w:val="top"/>
          </w:tcPr>
          <w:p>
            <w:pPr>
              <w:pStyle w:val="0"/>
              <w:rPr>
                <w:rFonts w:hint="default"/>
                <w:color w:val="auto"/>
                <w:sz w:val="20"/>
                <w:highlight w:val="none"/>
              </w:rPr>
            </w:pPr>
          </w:p>
        </w:tc>
        <w:tc>
          <w:tcPr>
            <w:tcW w:w="2493" w:type="dxa"/>
            <w:shd w:val="clear" w:color="auto" w:fill="auto"/>
            <w:vAlign w:val="top"/>
          </w:tcPr>
          <w:p>
            <w:pPr>
              <w:pStyle w:val="0"/>
              <w:rPr>
                <w:rFonts w:hint="default"/>
                <w:color w:val="auto"/>
                <w:sz w:val="20"/>
                <w:highlight w:val="none"/>
              </w:rPr>
            </w:pPr>
          </w:p>
        </w:tc>
        <w:tc>
          <w:tcPr>
            <w:tcW w:w="567" w:type="dxa"/>
            <w:shd w:val="clear" w:color="auto" w:fill="auto"/>
            <w:vAlign w:val="top"/>
          </w:tcPr>
          <w:p>
            <w:pPr>
              <w:pStyle w:val="0"/>
              <w:rPr>
                <w:rFonts w:hint="default"/>
                <w:color w:val="auto"/>
                <w:sz w:val="20"/>
                <w:highlight w:val="none"/>
              </w:rPr>
            </w:pPr>
          </w:p>
        </w:tc>
      </w:tr>
    </w:tbl>
    <w:p>
      <w:pPr>
        <w:pStyle w:val="0"/>
        <w:spacing w:line="120" w:lineRule="exact"/>
        <w:rPr>
          <w:rFonts w:hint="default" w:ascii="BIZ UDPゴシック" w:hAnsi="BIZ UDPゴシック" w:eastAsia="BIZ UDPゴシック"/>
          <w:color w:val="auto"/>
          <w:highlight w:val="none"/>
        </w:rPr>
      </w:pPr>
    </w:p>
    <w:p>
      <w:pPr>
        <w:pStyle w:val="0"/>
        <w:spacing w:line="120" w:lineRule="exact"/>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r>
        <w:rPr>
          <w:rFonts w:hint="default" w:ascii="BIZ UDPゴシック" w:hAnsi="BIZ UDPゴシック" w:eastAsia="BIZ UDPゴシック"/>
          <w:color w:val="auto"/>
          <w:highlight w:val="none"/>
        </w:rPr>
        <w:br w:type="page"/>
      </w:r>
    </w:p>
    <w:p>
      <w:pPr>
        <w:pStyle w:val="0"/>
        <w:jc w:val="center"/>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〔図　宮島圏域の人口の推計〕</w:t>
      </w:r>
    </w:p>
    <w:p>
      <w:pPr>
        <w:pStyle w:val="0"/>
        <w:rPr>
          <w:rFonts w:hint="default" w:ascii="BIZ UDPゴシック" w:hAnsi="BIZ UDPゴシック" w:eastAsia="BIZ UDPゴシック"/>
          <w:color w:val="auto"/>
          <w:highlight w:val="none"/>
        </w:rPr>
      </w:pPr>
      <w:r>
        <w:rPr>
          <w:rFonts w:hint="default"/>
          <w:color w:val="auto"/>
          <w:highlight w:val="none"/>
        </w:rPr>
        <w:drawing>
          <wp:anchor distT="0" distB="0" distL="114300" distR="114300" simplePos="0" relativeHeight="153" behindDoc="0" locked="0" layoutInCell="1" hidden="0" allowOverlap="1">
            <wp:simplePos x="0" y="0"/>
            <wp:positionH relativeFrom="column">
              <wp:posOffset>423545</wp:posOffset>
            </wp:positionH>
            <wp:positionV relativeFrom="paragraph">
              <wp:posOffset>20955</wp:posOffset>
            </wp:positionV>
            <wp:extent cx="5543550" cy="2400300"/>
            <wp:effectExtent l="0" t="0" r="0" b="0"/>
            <wp:wrapNone/>
            <wp:docPr id="1100" name="Picture 12"/>
            <a:graphic xmlns:a="http://schemas.openxmlformats.org/drawingml/2006/main">
              <a:graphicData uri="http://schemas.openxmlformats.org/drawingml/2006/picture">
                <pic:pic xmlns:pic="http://schemas.openxmlformats.org/drawingml/2006/picture">
                  <pic:nvPicPr>
                    <pic:cNvPr id="1100" name="Picture 12"/>
                    <pic:cNvPicPr>
                      <a:picLocks noChangeAspect="1" noChangeArrowheads="1"/>
                    </pic:cNvPicPr>
                  </pic:nvPicPr>
                  <pic:blipFill>
                    <a:blip r:embed="rId44"/>
                    <a:stretch>
                      <a:fillRect/>
                    </a:stretch>
                  </pic:blipFill>
                  <pic:spPr>
                    <a:xfrm>
                      <a:off x="0" y="0"/>
                      <a:ext cx="5543550" cy="2400300"/>
                    </a:xfrm>
                    <a:prstGeom prst="rect">
                      <a:avLst/>
                    </a:prstGeom>
                    <a:noFill/>
                    <a:ln>
                      <a:noFill/>
                    </a:ln>
                  </pic:spPr>
                </pic:pic>
              </a:graphicData>
            </a:graphic>
          </wp:anchor>
        </w:drawing>
      </w: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jc w:val="right"/>
        <w:rPr>
          <w:rFonts w:hint="default" w:ascii="BIZ UDPゴシック" w:hAnsi="BIZ UDPゴシック" w:eastAsia="BIZ UDPゴシック"/>
          <w:color w:val="auto"/>
          <w:sz w:val="20"/>
          <w:highlight w:val="none"/>
        </w:rPr>
      </w:pPr>
      <w:r>
        <w:rPr>
          <w:rFonts w:hint="eastAsia" w:ascii="BIZ UDPゴシック" w:hAnsi="BIZ UDPゴシック" w:eastAsia="BIZ UDPゴシック"/>
          <w:color w:val="auto"/>
          <w:sz w:val="20"/>
          <w:highlight w:val="none"/>
        </w:rPr>
        <w:t>資料：住民基本台帳人口及び推計値</w:t>
      </w:r>
    </w:p>
    <w:p>
      <w:pPr>
        <w:pStyle w:val="0"/>
        <w:rPr>
          <w:rFonts w:hint="default" w:ascii="BIZ UDPゴシック" w:hAnsi="BIZ UDPゴシック" w:eastAsia="BIZ UDPゴシック"/>
          <w:color w:val="auto"/>
          <w:highlight w:val="none"/>
        </w:rPr>
      </w:pPr>
    </w:p>
    <w:p>
      <w:pPr>
        <w:pStyle w:val="0"/>
        <w:spacing w:line="240" w:lineRule="exact"/>
        <w:jc w:val="center"/>
        <w:rPr>
          <w:rFonts w:hint="default"/>
          <w:color w:val="auto"/>
          <w:highlight w:val="none"/>
        </w:rPr>
      </w:pPr>
      <w:r>
        <w:rPr>
          <w:rFonts w:hint="eastAsia" w:ascii="BIZ UDPゴシック" w:hAnsi="BIZ UDPゴシック" w:eastAsia="BIZ UDPゴシック"/>
          <w:color w:val="auto"/>
          <w:highlight w:val="none"/>
        </w:rPr>
        <w:t>〔宮島圏域の要支援・要介護認定者数（第</w:t>
      </w:r>
      <w:r>
        <w:rPr>
          <w:rFonts w:hint="eastAsia" w:ascii="BIZ UDPゴシック" w:hAnsi="BIZ UDPゴシック" w:eastAsia="BIZ UDPゴシック"/>
          <w:color w:val="auto"/>
          <w:highlight w:val="none"/>
        </w:rPr>
        <w:t>1</w:t>
      </w:r>
      <w:r>
        <w:rPr>
          <w:rFonts w:hint="eastAsia" w:ascii="BIZ UDPゴシック" w:hAnsi="BIZ UDPゴシック" w:eastAsia="BIZ UDPゴシック"/>
          <w:color w:val="auto"/>
          <w:highlight w:val="none"/>
        </w:rPr>
        <w:t>号被保険者）の推計〕</w:t>
      </w:r>
    </w:p>
    <w:p>
      <w:pPr>
        <w:pStyle w:val="0"/>
        <w:rPr>
          <w:rFonts w:hint="default" w:ascii="BIZ UDPゴシック" w:hAnsi="BIZ UDPゴシック" w:eastAsia="BIZ UDPゴシック"/>
          <w:color w:val="auto"/>
          <w:highlight w:val="none"/>
        </w:rPr>
      </w:pPr>
      <w:r>
        <w:rPr>
          <w:rFonts w:hint="default"/>
          <w:color w:val="auto"/>
          <w:highlight w:val="none"/>
        </w:rPr>
        <w:drawing>
          <wp:anchor distT="0" distB="0" distL="114300" distR="114300" simplePos="0" relativeHeight="159" behindDoc="0" locked="0" layoutInCell="1" hidden="0" allowOverlap="1">
            <wp:simplePos x="0" y="0"/>
            <wp:positionH relativeFrom="column">
              <wp:posOffset>1403350</wp:posOffset>
            </wp:positionH>
            <wp:positionV relativeFrom="paragraph">
              <wp:posOffset>90805</wp:posOffset>
            </wp:positionV>
            <wp:extent cx="3686175" cy="2057400"/>
            <wp:effectExtent l="0" t="0" r="0" b="0"/>
            <wp:wrapNone/>
            <wp:docPr id="1101" name="Picture 6"/>
            <a:graphic xmlns:a="http://schemas.openxmlformats.org/drawingml/2006/main">
              <a:graphicData uri="http://schemas.openxmlformats.org/drawingml/2006/picture">
                <pic:pic xmlns:pic="http://schemas.openxmlformats.org/drawingml/2006/picture">
                  <pic:nvPicPr>
                    <pic:cNvPr id="1101" name="Picture 6"/>
                    <pic:cNvPicPr>
                      <a:picLocks noChangeAspect="1" noChangeArrowheads="1"/>
                    </pic:cNvPicPr>
                  </pic:nvPicPr>
                  <pic:blipFill>
                    <a:blip r:embed="rId45"/>
                    <a:stretch>
                      <a:fillRect/>
                    </a:stretch>
                  </pic:blipFill>
                  <pic:spPr>
                    <a:xfrm>
                      <a:off x="0" y="0"/>
                      <a:ext cx="3686175" cy="2057400"/>
                    </a:xfrm>
                    <a:prstGeom prst="rect">
                      <a:avLst/>
                    </a:prstGeom>
                    <a:noFill/>
                    <a:ln>
                      <a:noFill/>
                    </a:ln>
                  </pic:spPr>
                </pic:pic>
              </a:graphicData>
            </a:graphic>
          </wp:anchor>
        </w:drawing>
      </w: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p>
    <w:p>
      <w:pPr>
        <w:pStyle w:val="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〔地域の特徴〕</w:t>
      </w:r>
    </w:p>
    <w:p>
      <w:pPr>
        <w:pStyle w:val="34"/>
        <w:numPr>
          <w:ilvl w:val="0"/>
          <w:numId w:val="2"/>
        </w:numPr>
        <w:spacing w:before="185" w:beforeLines="50" w:beforeAutospacing="0"/>
        <w:ind w:left="652" w:leftChars="0" w:hanging="442"/>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７圏域の中で２番目に人口が少なく、高齢化率は２番目に高くなっています。</w:t>
      </w:r>
    </w:p>
    <w:p>
      <w:pPr>
        <w:pStyle w:val="34"/>
        <w:numPr>
          <w:ilvl w:val="0"/>
          <w:numId w:val="2"/>
        </w:numPr>
        <w:ind w:left="650" w:leftChars="0" w:hanging="44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85</w:t>
      </w:r>
      <w:r>
        <w:rPr>
          <w:rFonts w:hint="eastAsia" w:ascii="BIZ UDPゴシック" w:hAnsi="BIZ UDPゴシック" w:eastAsia="BIZ UDPゴシック"/>
          <w:color w:val="auto"/>
          <w:highlight w:val="none"/>
        </w:rPr>
        <w:t>歳以上の高齢者数は令和</w:t>
      </w:r>
      <w:r>
        <w:rPr>
          <w:rFonts w:hint="eastAsia" w:ascii="BIZ UDPゴシック" w:hAnsi="BIZ UDPゴシック" w:eastAsia="BIZ UDPゴシック"/>
          <w:color w:val="auto"/>
          <w:highlight w:val="none"/>
        </w:rPr>
        <w:t>17</w:t>
      </w:r>
      <w:r>
        <w:rPr>
          <w:rFonts w:hint="eastAsia" w:ascii="BIZ UDPゴシック" w:hAnsi="BIZ UDPゴシック" w:eastAsia="BIZ UDPゴシック"/>
          <w:color w:val="auto"/>
          <w:highlight w:val="none"/>
        </w:rPr>
        <w:t>（</w:t>
      </w:r>
      <w:r>
        <w:rPr>
          <w:rFonts w:hint="eastAsia" w:ascii="BIZ UDPゴシック" w:hAnsi="BIZ UDPゴシック" w:eastAsia="BIZ UDPゴシック"/>
          <w:color w:val="auto"/>
          <w:highlight w:val="none"/>
        </w:rPr>
        <w:t>2035</w:t>
      </w:r>
      <w:r>
        <w:rPr>
          <w:rFonts w:hint="eastAsia" w:ascii="BIZ UDPゴシック" w:hAnsi="BIZ UDPゴシック" w:eastAsia="BIZ UDPゴシック"/>
          <w:color w:val="auto"/>
          <w:highlight w:val="none"/>
        </w:rPr>
        <w:t>）年頃までは</w:t>
      </w:r>
      <w:r>
        <w:rPr>
          <w:rFonts w:hint="eastAsia" w:ascii="BIZ UDPゴシック" w:hAnsi="BIZ UDPゴシック" w:eastAsia="BIZ UDPゴシック"/>
          <w:color w:val="auto"/>
          <w:highlight w:val="none"/>
        </w:rPr>
        <w:t>170</w:t>
      </w:r>
      <w:r>
        <w:rPr>
          <w:rFonts w:hint="eastAsia" w:ascii="BIZ UDPゴシック" w:hAnsi="BIZ UDPゴシック" w:eastAsia="BIZ UDPゴシック"/>
          <w:color w:val="auto"/>
          <w:highlight w:val="none"/>
        </w:rPr>
        <w:t>人程度で推移すると見込まれます。</w:t>
      </w:r>
    </w:p>
    <w:p>
      <w:pPr>
        <w:pStyle w:val="34"/>
        <w:numPr>
          <w:ilvl w:val="0"/>
          <w:numId w:val="2"/>
        </w:numPr>
        <w:ind w:left="650" w:leftChars="0" w:hanging="44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要支援・要介護認定者数は令和</w:t>
      </w:r>
      <w:r>
        <w:rPr>
          <w:rFonts w:hint="eastAsia" w:ascii="BIZ UDPゴシック" w:hAnsi="BIZ UDPゴシック" w:eastAsia="BIZ UDPゴシック"/>
          <w:color w:val="auto"/>
          <w:highlight w:val="none"/>
        </w:rPr>
        <w:t>7</w:t>
      </w:r>
      <w:r>
        <w:rPr>
          <w:rFonts w:hint="eastAsia" w:ascii="BIZ UDPゴシック" w:hAnsi="BIZ UDPゴシック" w:eastAsia="BIZ UDPゴシック"/>
          <w:color w:val="auto"/>
          <w:highlight w:val="none"/>
        </w:rPr>
        <w:t>（</w:t>
      </w:r>
      <w:r>
        <w:rPr>
          <w:rFonts w:hint="eastAsia" w:ascii="BIZ UDPゴシック" w:hAnsi="BIZ UDPゴシック" w:eastAsia="BIZ UDPゴシック"/>
          <w:color w:val="auto"/>
          <w:highlight w:val="none"/>
        </w:rPr>
        <w:t>2025</w:t>
      </w:r>
      <w:r>
        <w:rPr>
          <w:rFonts w:hint="eastAsia" w:ascii="BIZ UDPゴシック" w:hAnsi="BIZ UDPゴシック" w:eastAsia="BIZ UDPゴシック"/>
          <w:color w:val="auto"/>
          <w:highlight w:val="none"/>
        </w:rPr>
        <w:t>）年まで増加し、令和</w:t>
      </w:r>
      <w:r>
        <w:rPr>
          <w:rFonts w:hint="eastAsia" w:ascii="BIZ UDPゴシック" w:hAnsi="BIZ UDPゴシック" w:eastAsia="BIZ UDPゴシック"/>
          <w:color w:val="auto"/>
          <w:highlight w:val="none"/>
        </w:rPr>
        <w:t>22</w:t>
      </w:r>
      <w:r>
        <w:rPr>
          <w:rFonts w:hint="eastAsia" w:ascii="BIZ UDPゴシック" w:hAnsi="BIZ UDPゴシック" w:eastAsia="BIZ UDPゴシック"/>
          <w:color w:val="auto"/>
          <w:highlight w:val="none"/>
        </w:rPr>
        <w:t>（</w:t>
      </w:r>
      <w:r>
        <w:rPr>
          <w:rFonts w:hint="eastAsia" w:ascii="BIZ UDPゴシック" w:hAnsi="BIZ UDPゴシック" w:eastAsia="BIZ UDPゴシック"/>
          <w:color w:val="auto"/>
          <w:highlight w:val="none"/>
        </w:rPr>
        <w:t>2040</w:t>
      </w:r>
      <w:r>
        <w:rPr>
          <w:rFonts w:hint="eastAsia" w:ascii="BIZ UDPゴシック" w:hAnsi="BIZ UDPゴシック" w:eastAsia="BIZ UDPゴシック"/>
          <w:color w:val="auto"/>
          <w:highlight w:val="none"/>
        </w:rPr>
        <w:t>）年には減少しますが、認定率は上昇する見込みです。</w:t>
      </w:r>
    </w:p>
    <w:p>
      <w:pPr>
        <w:pStyle w:val="34"/>
        <w:numPr>
          <w:ilvl w:val="0"/>
          <w:numId w:val="2"/>
        </w:numPr>
        <w:ind w:left="650" w:leftChars="0" w:hanging="440"/>
        <w:rPr>
          <w:rFonts w:hint="default"/>
          <w:color w:val="auto"/>
          <w:highlight w:val="none"/>
        </w:rPr>
      </w:pPr>
      <w:r>
        <w:rPr>
          <w:rFonts w:hint="eastAsia" w:ascii="BIZ UDPゴシック" w:hAnsi="BIZ UDPゴシック" w:eastAsia="BIZ UDPゴシック"/>
          <w:color w:val="auto"/>
          <w:highlight w:val="none"/>
        </w:rPr>
        <w:t>島しょ部に位置しており、介護保険サービス提供事業者や地域資源は少ないです。</w:t>
      </w:r>
    </w:p>
    <w:p>
      <w:pPr>
        <w:pStyle w:val="34"/>
        <w:widowControl w:val="1"/>
        <w:numPr>
          <w:ilvl w:val="0"/>
          <w:numId w:val="2"/>
        </w:numPr>
        <w:spacing w:line="380" w:lineRule="exact"/>
        <w:ind w:left="652" w:leftChars="0" w:hanging="442"/>
        <w:rPr>
          <w:rFonts w:hint="default"/>
          <w:color w:val="auto"/>
          <w:highlight w:val="none"/>
        </w:rPr>
      </w:pPr>
      <w:r>
        <w:rPr>
          <w:rFonts w:hint="eastAsia" w:ascii="BIZ UDPゴシック" w:hAnsi="BIZ UDPゴシック" w:eastAsia="BIZ UDPゴシック"/>
          <w:color w:val="auto"/>
          <w:highlight w:val="none"/>
        </w:rPr>
        <w:t>ニーズ調査の結果では、「ひとり暮らし」、「公営賃貸住宅に住んでいる」、「閉じこもりの傾向がある」、「徒歩・電車で移動する」、「収入のある仕事をしている」、「収入のある仕事をしたい・続けたい」、「週に１回以上友人・知人と会う」、「地域における支え合いについて『自分ができることがあれば支え合いの活動をしたい』と回答した人」の割合が高くなっています。</w:t>
      </w:r>
      <w:r>
        <w:rPr>
          <w:rFonts w:hint="default"/>
          <w:color w:val="auto"/>
          <w:highlight w:val="none"/>
        </w:rPr>
        <w:br w:type="page"/>
      </w:r>
    </w:p>
    <w:p>
      <w:pPr>
        <w:pStyle w:val="0"/>
        <w:keepNext w:val="1"/>
        <w:spacing w:after="74" w:afterLines="20" w:afterAutospacing="0" w:line="600" w:lineRule="exact"/>
        <w:outlineLvl w:val="0"/>
        <w:rPr>
          <w:rFonts w:hint="default" w:ascii="BIZ UDPゴシック" w:hAnsi="BIZ UDPゴシック" w:eastAsia="BIZ UDPゴシック"/>
          <w:b w:val="1"/>
          <w:color w:val="auto"/>
          <w:sz w:val="32"/>
          <w:highlight w:val="none"/>
        </w:rPr>
      </w:pPr>
      <w:bookmarkStart w:id="43" w:name="_Toc152160626"/>
      <w:r>
        <w:rPr>
          <w:rFonts w:hint="eastAsia" w:ascii="BIZ UDPゴシック" w:hAnsi="BIZ UDPゴシック" w:eastAsia="BIZ UDPゴシック"/>
          <w:b w:val="1"/>
          <w:color w:val="auto"/>
          <w:sz w:val="32"/>
          <w:highlight w:val="none"/>
        </w:rPr>
        <w:t>８　アンケート調査結果概要</w:t>
      </w:r>
      <w:bookmarkEnd w:id="43"/>
    </w:p>
    <w:p>
      <w:pPr>
        <w:pStyle w:val="26"/>
        <w:spacing w:after="76" w:afterLines="0" w:afterAutospacing="0"/>
        <w:rPr>
          <w:rFonts w:hint="default"/>
          <w:color w:val="auto"/>
          <w:highlight w:val="none"/>
        </w:rPr>
      </w:pPr>
      <w:bookmarkStart w:id="44" w:name="_Toc152160627"/>
      <w:r>
        <w:rPr>
          <w:rFonts w:hint="eastAsia"/>
          <w:color w:val="auto"/>
          <w:highlight w:val="none"/>
        </w:rPr>
        <w:t>（１）高齢者の保健福祉に関するアンケート調査</w:t>
      </w:r>
      <w:r>
        <w:rPr>
          <w:rFonts w:hint="eastAsia"/>
          <w:color w:val="auto"/>
          <w:sz w:val="24"/>
          <w:highlight w:val="none"/>
        </w:rPr>
        <w:t>（対象：</w:t>
      </w:r>
      <w:r>
        <w:rPr>
          <w:rFonts w:hint="eastAsia"/>
          <w:color w:val="auto"/>
          <w:sz w:val="24"/>
          <w:highlight w:val="none"/>
        </w:rPr>
        <w:t>65</w:t>
      </w:r>
      <w:r>
        <w:rPr>
          <w:rFonts w:hint="eastAsia"/>
          <w:color w:val="auto"/>
          <w:sz w:val="24"/>
          <w:highlight w:val="none"/>
        </w:rPr>
        <w:t>歳以上高齢者）</w:t>
      </w:r>
      <w:bookmarkEnd w:id="44"/>
    </w:p>
    <w:p>
      <w:pPr>
        <w:pStyle w:val="30"/>
        <w:spacing w:after="76" w:afterLines="0" w:afterAutospacing="0"/>
        <w:rPr>
          <w:rFonts w:hint="default"/>
          <w:color w:val="auto"/>
          <w:highlight w:val="none"/>
        </w:rPr>
      </w:pPr>
      <w:r>
        <w:rPr>
          <w:rFonts w:hint="eastAsia"/>
          <w:color w:val="auto"/>
          <w:highlight w:val="none"/>
        </w:rPr>
        <w:t>ア　介護予防・健康</w:t>
      </w:r>
    </w:p>
    <w:p>
      <w:pPr>
        <w:pStyle w:val="0"/>
        <w:numPr>
          <w:ilvl w:val="3"/>
          <w:numId w:val="1"/>
        </w:numPr>
        <w:autoSpaceDE w:val="0"/>
        <w:autoSpaceDN w:val="0"/>
        <w:spacing w:line="380" w:lineRule="exact"/>
        <w:ind w:left="1102" w:leftChars="300" w:hanging="442"/>
        <w:rPr>
          <w:rFonts w:hint="default"/>
          <w:color w:val="auto"/>
          <w:highlight w:val="none"/>
        </w:rPr>
      </w:pPr>
      <w:r>
        <w:rPr>
          <w:rFonts w:hint="eastAsia"/>
          <w:color w:val="auto"/>
          <w:highlight w:val="none"/>
        </w:rPr>
        <w:t>介護・介助が必要になった要因について、「高齢による衰弱」を除くと、男性では「骨折・転倒」、「脳卒中（脳出血・脳梗塞等）」、「糖尿病」、女性では「骨折・転倒」、「関節の病気（リウマチ等）」が上位となっています。</w:t>
      </w:r>
    </w:p>
    <w:p>
      <w:pPr>
        <w:pStyle w:val="0"/>
        <w:autoSpaceDE w:val="0"/>
        <w:autoSpaceDN w:val="0"/>
        <w:spacing w:before="185" w:beforeLines="50" w:beforeAutospacing="0" w:line="380" w:lineRule="exact"/>
        <w:ind w:left="425" w:leftChars="193"/>
        <w:jc w:val="center"/>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図表　</w:t>
      </w:r>
      <w:r>
        <w:rPr>
          <w:rFonts w:hint="default" w:ascii="BIZ UDPゴシック" w:hAnsi="BIZ UDPゴシック" w:eastAsia="BIZ UDPゴシック"/>
          <w:color w:val="auto"/>
          <w:sz w:val="21"/>
          <w:highlight w:val="none"/>
        </w:rPr>
        <w:drawing>
          <wp:anchor distT="0" distB="0" distL="114300" distR="114300" simplePos="0" relativeHeight="14" behindDoc="0" locked="0" layoutInCell="1" hidden="0" allowOverlap="1">
            <wp:simplePos x="0" y="0"/>
            <wp:positionH relativeFrom="column">
              <wp:posOffset>4445</wp:posOffset>
            </wp:positionH>
            <wp:positionV relativeFrom="paragraph">
              <wp:posOffset>331470</wp:posOffset>
            </wp:positionV>
            <wp:extent cx="5759450" cy="3922395"/>
            <wp:effectExtent l="0" t="0" r="0" b="0"/>
            <wp:wrapNone/>
            <wp:docPr id="1102" name="Picture 1"/>
            <a:graphic xmlns:a="http://schemas.openxmlformats.org/drawingml/2006/main">
              <a:graphicData uri="http://schemas.openxmlformats.org/drawingml/2006/picture">
                <pic:pic xmlns:pic="http://schemas.openxmlformats.org/drawingml/2006/picture">
                  <pic:nvPicPr>
                    <pic:cNvPr id="1102" name="Picture 1"/>
                    <pic:cNvPicPr>
                      <a:picLocks noChangeAspect="1" noChangeArrowheads="1"/>
                    </pic:cNvPicPr>
                  </pic:nvPicPr>
                  <pic:blipFill>
                    <a:blip r:embed="rId46"/>
                    <a:stretch>
                      <a:fillRect/>
                    </a:stretch>
                  </pic:blipFill>
                  <pic:spPr>
                    <a:xfrm>
                      <a:off x="0" y="0"/>
                      <a:ext cx="5759450" cy="3922395"/>
                    </a:xfrm>
                    <a:prstGeom prst="rect">
                      <a:avLst/>
                    </a:prstGeom>
                    <a:noFill/>
                    <a:ln>
                      <a:noFill/>
                    </a:ln>
                  </pic:spPr>
                </pic:pic>
              </a:graphicData>
            </a:graphic>
          </wp:anchor>
        </w:drawing>
      </w:r>
      <w:r>
        <w:rPr>
          <w:rFonts w:hint="eastAsia" w:ascii="BIZ UDPゴシック" w:hAnsi="BIZ UDPゴシック" w:eastAsia="BIZ UDPゴシック"/>
          <w:color w:val="auto"/>
          <w:sz w:val="21"/>
          <w:highlight w:val="none"/>
        </w:rPr>
        <w:t>介護・介助が必要になった要因（男女別）</w:t>
      </w:r>
      <w:r>
        <w:rPr>
          <w:rFonts w:hint="eastAsia" w:ascii="BIZ UDPゴシック" w:hAnsi="BIZ UDPゴシック" w:eastAsia="BIZ UDPゴシック"/>
          <w:color w:val="auto"/>
          <w:sz w:val="21"/>
          <w:highlight w:val="none"/>
        </w:rPr>
        <w:t>/</w:t>
      </w:r>
      <w:r>
        <w:rPr>
          <w:rFonts w:hint="eastAsia" w:ascii="BIZ UDPゴシック" w:hAnsi="BIZ UDPゴシック" w:eastAsia="BIZ UDPゴシック"/>
          <w:color w:val="auto"/>
          <w:sz w:val="21"/>
          <w:highlight w:val="none"/>
        </w:rPr>
        <w:t>上位</w:t>
      </w:r>
      <w:r>
        <w:rPr>
          <w:rFonts w:hint="eastAsia" w:ascii="BIZ UDPゴシック" w:hAnsi="BIZ UDPゴシック" w:eastAsia="BIZ UDPゴシック"/>
          <w:color w:val="auto"/>
          <w:sz w:val="21"/>
          <w:highlight w:val="none"/>
        </w:rPr>
        <w:t>11</w:t>
      </w:r>
      <w:r>
        <w:rPr>
          <w:rFonts w:hint="eastAsia" w:ascii="BIZ UDPゴシック" w:hAnsi="BIZ UDPゴシック" w:eastAsia="BIZ UDPゴシック"/>
          <w:color w:val="auto"/>
          <w:sz w:val="21"/>
          <w:highlight w:val="none"/>
        </w:rPr>
        <w:t>項目</w:t>
      </w:r>
    </w:p>
    <w:p>
      <w:pPr>
        <w:pStyle w:val="0"/>
        <w:rPr>
          <w:rFonts w:hint="default" w:asciiTheme="minorEastAsia" w:hAnsiTheme="minorEastAsia"/>
          <w:color w:val="auto"/>
          <w:highlight w:val="none"/>
        </w:rPr>
      </w:pPr>
    </w:p>
    <w:p>
      <w:pPr>
        <w:pStyle w:val="0"/>
        <w:rPr>
          <w:rFonts w:hint="default" w:asciiTheme="minorEastAsia" w:hAnsiTheme="minorEastAsia"/>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numPr>
          <w:ilvl w:val="3"/>
          <w:numId w:val="1"/>
        </w:numPr>
        <w:autoSpaceDE w:val="0"/>
        <w:autoSpaceDN w:val="0"/>
        <w:spacing w:line="380" w:lineRule="exact"/>
        <w:ind w:left="1102" w:leftChars="300" w:hanging="442"/>
        <w:rPr>
          <w:rFonts w:hint="default"/>
          <w:color w:val="auto"/>
          <w:highlight w:val="none"/>
        </w:rPr>
      </w:pPr>
      <w:r>
        <w:rPr>
          <w:rFonts w:hint="default"/>
          <w:color w:val="auto"/>
          <w:highlight w:val="none"/>
        </w:rPr>
        <w:t>現在治療中・後遺症のある病気について、「高血圧」と回答した割合が最も高く、</w:t>
      </w:r>
      <w:r>
        <w:rPr>
          <w:rFonts w:hint="eastAsia"/>
          <w:color w:val="auto"/>
          <w:highlight w:val="none"/>
        </w:rPr>
        <w:t>40.6</w:t>
      </w:r>
      <w:r>
        <w:rPr>
          <w:rFonts w:hint="default"/>
          <w:color w:val="auto"/>
          <w:highlight w:val="none"/>
        </w:rPr>
        <w:t>％となっています。</w:t>
      </w:r>
    </w:p>
    <w:p>
      <w:pPr>
        <w:pStyle w:val="0"/>
        <w:autoSpaceDE w:val="0"/>
        <w:autoSpaceDN w:val="0"/>
        <w:spacing w:before="185" w:beforeLines="50" w:beforeAutospacing="0" w:line="380" w:lineRule="exact"/>
        <w:ind w:left="425" w:leftChars="193"/>
        <w:jc w:val="center"/>
        <w:rPr>
          <w:rFonts w:hint="default" w:ascii="BIZ UDPゴシック" w:hAnsi="BIZ UDPゴシック" w:eastAsia="BIZ UDPゴシック"/>
          <w:color w:val="auto"/>
          <w:sz w:val="21"/>
          <w:highlight w:val="none"/>
        </w:rPr>
      </w:pPr>
      <w:r>
        <w:rPr>
          <w:rFonts w:hint="default"/>
          <w:color w:val="auto"/>
          <w:highlight w:val="none"/>
        </w:rPr>
        <w:drawing>
          <wp:anchor distT="0" distB="0" distL="114300" distR="114300" simplePos="0" relativeHeight="7" behindDoc="0" locked="0" layoutInCell="1" hidden="0" allowOverlap="1">
            <wp:simplePos x="0" y="0"/>
            <wp:positionH relativeFrom="column">
              <wp:posOffset>-281940</wp:posOffset>
            </wp:positionH>
            <wp:positionV relativeFrom="paragraph">
              <wp:posOffset>421005</wp:posOffset>
            </wp:positionV>
            <wp:extent cx="6127115" cy="2317115"/>
            <wp:effectExtent l="0" t="0" r="0" b="0"/>
            <wp:wrapNone/>
            <wp:docPr id="1103" name="Picture 4"/>
            <a:graphic xmlns:a="http://schemas.openxmlformats.org/drawingml/2006/main">
              <a:graphicData uri="http://schemas.openxmlformats.org/drawingml/2006/picture">
                <pic:pic xmlns:pic="http://schemas.openxmlformats.org/drawingml/2006/picture">
                  <pic:nvPicPr>
                    <pic:cNvPr id="1103" name="Picture 4"/>
                    <pic:cNvPicPr>
                      <a:picLocks noChangeAspect="1" noChangeArrowheads="1"/>
                    </pic:cNvPicPr>
                  </pic:nvPicPr>
                  <pic:blipFill>
                    <a:blip r:embed="rId47"/>
                    <a:stretch>
                      <a:fillRect/>
                    </a:stretch>
                  </pic:blipFill>
                  <pic:spPr>
                    <a:xfrm>
                      <a:off x="0" y="0"/>
                      <a:ext cx="6127115" cy="2317115"/>
                    </a:xfrm>
                    <a:prstGeom prst="rect">
                      <a:avLst/>
                    </a:prstGeom>
                    <a:noFill/>
                    <a:ln>
                      <a:noFill/>
                    </a:ln>
                  </pic:spPr>
                </pic:pic>
              </a:graphicData>
            </a:graphic>
          </wp:anchor>
        </w:drawing>
      </w:r>
      <w:r>
        <w:rPr>
          <w:rFonts w:hint="default" w:ascii="BIZ UDPゴシック" w:hAnsi="BIZ UDPゴシック" w:eastAsia="BIZ UDPゴシック"/>
          <w:color w:val="auto"/>
          <w:sz w:val="21"/>
          <w:highlight w:val="none"/>
        </w:rPr>
        <w:t>図表</w:t>
      </w:r>
      <w:r>
        <w:rPr>
          <w:rFonts w:hint="eastAsia" w:ascii="BIZ UDPゴシック" w:hAnsi="BIZ UDPゴシック" w:eastAsia="BIZ UDPゴシック"/>
          <w:color w:val="auto"/>
          <w:sz w:val="21"/>
          <w:highlight w:val="none"/>
        </w:rPr>
        <w:t>　</w:t>
      </w:r>
      <w:r>
        <w:rPr>
          <w:rFonts w:hint="default" w:ascii="BIZ UDPゴシック" w:hAnsi="BIZ UDPゴシック" w:eastAsia="BIZ UDPゴシック"/>
          <w:color w:val="auto"/>
          <w:sz w:val="21"/>
          <w:highlight w:val="none"/>
        </w:rPr>
        <w:t>現在治療中・後遺症のある病気</w:t>
      </w:r>
      <w:r>
        <w:rPr>
          <w:rFonts w:hint="default" w:ascii="BIZ UDPゴシック" w:hAnsi="BIZ UDPゴシック" w:eastAsia="BIZ UDPゴシック"/>
          <w:color w:val="auto"/>
          <w:sz w:val="21"/>
          <w:highlight w:val="none"/>
        </w:rPr>
        <w:t>/</w:t>
      </w:r>
      <w:r>
        <w:rPr>
          <w:rFonts w:hint="default" w:ascii="BIZ UDPゴシック" w:hAnsi="BIZ UDPゴシック" w:eastAsia="BIZ UDPゴシック"/>
          <w:color w:val="auto"/>
          <w:sz w:val="21"/>
          <w:highlight w:val="none"/>
        </w:rPr>
        <w:t>上位</w:t>
      </w:r>
      <w:r>
        <w:rPr>
          <w:rFonts w:hint="default" w:ascii="BIZ UDPゴシック" w:hAnsi="BIZ UDPゴシック" w:eastAsia="BIZ UDPゴシック"/>
          <w:color w:val="auto"/>
          <w:sz w:val="21"/>
          <w:highlight w:val="none"/>
        </w:rPr>
        <w:t>7</w:t>
      </w:r>
      <w:r>
        <w:rPr>
          <w:rFonts w:hint="default" w:ascii="BIZ UDPゴシック" w:hAnsi="BIZ UDPゴシック" w:eastAsia="BIZ UDPゴシック"/>
          <w:color w:val="auto"/>
          <w:sz w:val="21"/>
          <w:highlight w:val="none"/>
        </w:rPr>
        <w:t>項目</w:t>
      </w: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eastAsia"/>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numPr>
          <w:ilvl w:val="3"/>
          <w:numId w:val="1"/>
        </w:numPr>
        <w:autoSpaceDE w:val="0"/>
        <w:autoSpaceDN w:val="0"/>
        <w:spacing w:line="380" w:lineRule="exact"/>
        <w:ind w:left="1102" w:leftChars="300" w:hanging="442"/>
        <w:rPr>
          <w:rFonts w:hint="default"/>
          <w:color w:val="auto"/>
          <w:highlight w:val="none"/>
        </w:rPr>
      </w:pPr>
      <w:r>
        <w:rPr>
          <w:rFonts w:hint="default"/>
          <w:color w:val="auto"/>
          <w:highlight w:val="none"/>
        </w:rPr>
        <w:t>健康状態が</w:t>
      </w:r>
      <w:r>
        <w:rPr>
          <w:rFonts w:hint="eastAsia"/>
          <w:color w:val="auto"/>
          <w:highlight w:val="none"/>
        </w:rPr>
        <w:t>「よい」（「とてもよい」＋「まあよい」）と回答した人の割合が</w:t>
      </w:r>
      <w:r>
        <w:rPr>
          <w:rFonts w:hint="default"/>
          <w:color w:val="auto"/>
          <w:highlight w:val="none"/>
        </w:rPr>
        <w:t>77.0</w:t>
      </w:r>
      <w:r>
        <w:rPr>
          <w:rFonts w:hint="default"/>
          <w:color w:val="auto"/>
          <w:highlight w:val="none"/>
        </w:rPr>
        <w:t>％</w:t>
      </w:r>
      <w:r>
        <w:rPr>
          <w:rFonts w:hint="eastAsia"/>
          <w:color w:val="auto"/>
          <w:highlight w:val="none"/>
        </w:rPr>
        <w:t>となっています。</w:t>
      </w:r>
    </w:p>
    <w:p>
      <w:pPr>
        <w:pStyle w:val="0"/>
        <w:autoSpaceDE w:val="0"/>
        <w:autoSpaceDN w:val="0"/>
        <w:spacing w:before="185" w:beforeLines="50" w:beforeAutospacing="0" w:line="380" w:lineRule="exact"/>
        <w:ind w:left="425" w:leftChars="193"/>
        <w:jc w:val="center"/>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図表</w:t>
      </w:r>
      <w:r>
        <w:rPr>
          <w:rFonts w:hint="eastAsia" w:ascii="BIZ UDPゴシック" w:hAnsi="BIZ UDPゴシック" w:eastAsia="BIZ UDPゴシック"/>
          <w:color w:val="auto"/>
          <w:sz w:val="21"/>
          <w:highlight w:val="none"/>
        </w:rPr>
        <w:t>　主観的健康感</w:t>
      </w:r>
    </w:p>
    <w:p>
      <w:pPr>
        <w:pStyle w:val="0"/>
        <w:rPr>
          <w:rFonts w:hint="default" w:ascii="ＭＳ 明朝" w:hAnsi="ＭＳ 明朝" w:eastAsia="ＭＳ 明朝"/>
          <w:color w:val="auto"/>
          <w:highlight w:val="none"/>
        </w:rPr>
      </w:pPr>
      <w:r>
        <w:rPr>
          <w:rFonts w:hint="default"/>
          <w:color w:val="auto"/>
          <w:highlight w:val="none"/>
        </w:rPr>
        <w:drawing>
          <wp:anchor distT="0" distB="0" distL="114300" distR="114300" simplePos="0" relativeHeight="92" behindDoc="0" locked="0" layoutInCell="1" hidden="0" allowOverlap="1">
            <wp:simplePos x="0" y="0"/>
            <wp:positionH relativeFrom="column">
              <wp:posOffset>313055</wp:posOffset>
            </wp:positionH>
            <wp:positionV relativeFrom="paragraph">
              <wp:posOffset>123825</wp:posOffset>
            </wp:positionV>
            <wp:extent cx="5571490" cy="904875"/>
            <wp:effectExtent l="0" t="0" r="0" b="0"/>
            <wp:wrapNone/>
            <wp:docPr id="1104" name="Picture 1"/>
            <a:graphic xmlns:a="http://schemas.openxmlformats.org/drawingml/2006/main">
              <a:graphicData uri="http://schemas.openxmlformats.org/drawingml/2006/picture">
                <pic:pic xmlns:pic="http://schemas.openxmlformats.org/drawingml/2006/picture">
                  <pic:nvPicPr>
                    <pic:cNvPr id="1104" name="Picture 1"/>
                    <pic:cNvPicPr>
                      <a:picLocks noChangeAspect="1" noChangeArrowheads="1"/>
                    </pic:cNvPicPr>
                  </pic:nvPicPr>
                  <pic:blipFill>
                    <a:blip r:embed="rId48"/>
                    <a:stretch>
                      <a:fillRect/>
                    </a:stretch>
                  </pic:blipFill>
                  <pic:spPr>
                    <a:xfrm>
                      <a:off x="0" y="0"/>
                      <a:ext cx="5571490" cy="904875"/>
                    </a:xfrm>
                    <a:prstGeom prst="rect">
                      <a:avLst/>
                    </a:prstGeom>
                    <a:noFill/>
                    <a:ln>
                      <a:noFill/>
                    </a:ln>
                  </pic:spPr>
                </pic:pic>
              </a:graphicData>
            </a:graphic>
          </wp:anchor>
        </w:drawing>
      </w: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numPr>
          <w:ilvl w:val="3"/>
          <w:numId w:val="1"/>
        </w:numPr>
        <w:autoSpaceDE w:val="0"/>
        <w:autoSpaceDN w:val="0"/>
        <w:spacing w:line="380" w:lineRule="exact"/>
        <w:ind w:left="1102" w:leftChars="300" w:hanging="442"/>
        <w:rPr>
          <w:rFonts w:hint="default"/>
          <w:color w:val="auto"/>
          <w:highlight w:val="none"/>
        </w:rPr>
      </w:pPr>
      <w:r>
        <w:rPr>
          <w:rFonts w:hint="eastAsia"/>
          <w:color w:val="auto"/>
          <w:highlight w:val="none"/>
        </w:rPr>
        <w:t>リスク判定の該当状況について、運動器機能が低下している人の割合が</w:t>
      </w:r>
      <w:r>
        <w:rPr>
          <w:rFonts w:hint="eastAsia"/>
          <w:color w:val="auto"/>
          <w:highlight w:val="none"/>
        </w:rPr>
        <w:t>14.4</w:t>
      </w:r>
      <w:r>
        <w:rPr>
          <w:rFonts w:hint="eastAsia"/>
          <w:color w:val="auto"/>
          <w:highlight w:val="none"/>
        </w:rPr>
        <w:t>％、転倒リスクが高い人の割合が</w:t>
      </w:r>
      <w:r>
        <w:rPr>
          <w:rFonts w:hint="eastAsia"/>
          <w:color w:val="auto"/>
          <w:highlight w:val="none"/>
        </w:rPr>
        <w:t>32.7</w:t>
      </w:r>
      <w:r>
        <w:rPr>
          <w:rFonts w:hint="eastAsia"/>
          <w:color w:val="auto"/>
          <w:highlight w:val="none"/>
        </w:rPr>
        <w:t>％、閉じこもりの傾向がある人の割合が</w:t>
      </w:r>
      <w:r>
        <w:rPr>
          <w:rFonts w:hint="eastAsia"/>
          <w:color w:val="auto"/>
          <w:highlight w:val="none"/>
        </w:rPr>
        <w:t>20.1</w:t>
      </w:r>
      <w:r>
        <w:rPr>
          <w:rFonts w:hint="eastAsia"/>
          <w:color w:val="auto"/>
          <w:highlight w:val="none"/>
        </w:rPr>
        <w:t>％、低栄養が疑われる人の割合が</w:t>
      </w:r>
      <w:r>
        <w:rPr>
          <w:rFonts w:hint="eastAsia"/>
          <w:color w:val="auto"/>
          <w:highlight w:val="none"/>
        </w:rPr>
        <w:t>1.5</w:t>
      </w:r>
      <w:r>
        <w:rPr>
          <w:rFonts w:hint="eastAsia"/>
          <w:color w:val="auto"/>
          <w:highlight w:val="none"/>
        </w:rPr>
        <w:t>％、口腔機能が低下している人の割合が</w:t>
      </w:r>
      <w:r>
        <w:rPr>
          <w:rFonts w:hint="eastAsia"/>
          <w:color w:val="auto"/>
          <w:highlight w:val="none"/>
        </w:rPr>
        <w:t>24.3</w:t>
      </w:r>
      <w:r>
        <w:rPr>
          <w:rFonts w:hint="eastAsia"/>
          <w:color w:val="auto"/>
          <w:highlight w:val="none"/>
        </w:rPr>
        <w:t>％、認知機能が低下している人の割合が</w:t>
      </w:r>
      <w:r>
        <w:rPr>
          <w:rFonts w:hint="eastAsia"/>
          <w:color w:val="auto"/>
          <w:highlight w:val="none"/>
        </w:rPr>
        <w:t>44.2</w:t>
      </w:r>
      <w:r>
        <w:rPr>
          <w:rFonts w:hint="eastAsia"/>
          <w:color w:val="auto"/>
          <w:highlight w:val="none"/>
        </w:rPr>
        <w:t>％となっています</w:t>
      </w:r>
      <w:r>
        <w:rPr>
          <w:rFonts w:hint="default"/>
          <w:color w:val="auto"/>
          <w:highlight w:val="none"/>
        </w:rPr>
        <w:t>。</w:t>
      </w:r>
    </w:p>
    <w:p>
      <w:pPr>
        <w:pStyle w:val="0"/>
        <w:autoSpaceDE w:val="0"/>
        <w:autoSpaceDN w:val="0"/>
        <w:spacing w:before="185" w:beforeLines="50" w:beforeAutospacing="0" w:line="380" w:lineRule="exact"/>
        <w:ind w:left="425" w:leftChars="193"/>
        <w:jc w:val="center"/>
        <w:rPr>
          <w:rFonts w:hint="default" w:ascii="BIZ UDPゴシック" w:hAnsi="BIZ UDPゴシック" w:eastAsia="BIZ UDPゴシック"/>
          <w:color w:val="auto"/>
          <w:sz w:val="21"/>
          <w:highlight w:val="none"/>
        </w:rPr>
      </w:pPr>
      <w:r>
        <w:rPr>
          <w:rFonts w:hint="default"/>
          <w:color w:val="auto"/>
          <w:sz w:val="21"/>
          <w:highlight w:val="none"/>
        </w:rPr>
        <w:drawing>
          <wp:anchor distT="0" distB="0" distL="114300" distR="114300" simplePos="0" relativeHeight="63" behindDoc="0" locked="0" layoutInCell="1" hidden="0" allowOverlap="1">
            <wp:simplePos x="0" y="0"/>
            <wp:positionH relativeFrom="column">
              <wp:posOffset>-271780</wp:posOffset>
            </wp:positionH>
            <wp:positionV relativeFrom="paragraph">
              <wp:posOffset>410845</wp:posOffset>
            </wp:positionV>
            <wp:extent cx="6127115" cy="1959610"/>
            <wp:effectExtent l="0" t="0" r="0" b="0"/>
            <wp:wrapNone/>
            <wp:docPr id="1105" name="Picture 21"/>
            <a:graphic xmlns:a="http://schemas.openxmlformats.org/drawingml/2006/main">
              <a:graphicData uri="http://schemas.openxmlformats.org/drawingml/2006/picture">
                <pic:pic xmlns:pic="http://schemas.openxmlformats.org/drawingml/2006/picture">
                  <pic:nvPicPr>
                    <pic:cNvPr id="1105" name="Picture 21"/>
                    <pic:cNvPicPr>
                      <a:picLocks noChangeAspect="1" noChangeArrowheads="1"/>
                    </pic:cNvPicPr>
                  </pic:nvPicPr>
                  <pic:blipFill>
                    <a:blip r:embed="rId49"/>
                    <a:stretch>
                      <a:fillRect/>
                    </a:stretch>
                  </pic:blipFill>
                  <pic:spPr>
                    <a:xfrm>
                      <a:off x="0" y="0"/>
                      <a:ext cx="6127115" cy="1959610"/>
                    </a:xfrm>
                    <a:prstGeom prst="rect">
                      <a:avLst/>
                    </a:prstGeom>
                    <a:noFill/>
                    <a:ln>
                      <a:noFill/>
                    </a:ln>
                  </pic:spPr>
                </pic:pic>
              </a:graphicData>
            </a:graphic>
          </wp:anchor>
        </w:drawing>
      </w:r>
      <w:r>
        <w:rPr>
          <w:rFonts w:hint="default" w:ascii="BIZ UDPゴシック" w:hAnsi="BIZ UDPゴシック" w:eastAsia="BIZ UDPゴシック"/>
          <w:color w:val="auto"/>
          <w:sz w:val="21"/>
          <w:highlight w:val="none"/>
        </w:rPr>
        <w:t>図表</w:t>
      </w:r>
      <w:r>
        <w:rPr>
          <w:rFonts w:hint="eastAsia" w:ascii="BIZ UDPゴシック" w:hAnsi="BIZ UDPゴシック" w:eastAsia="BIZ UDPゴシック"/>
          <w:color w:val="auto"/>
          <w:sz w:val="21"/>
          <w:highlight w:val="none"/>
        </w:rPr>
        <w:t>　リスク判定の該当状況</w:t>
      </w: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numPr>
          <w:ilvl w:val="3"/>
          <w:numId w:val="1"/>
        </w:numPr>
        <w:autoSpaceDE w:val="0"/>
        <w:autoSpaceDN w:val="0"/>
        <w:spacing w:line="380" w:lineRule="exact"/>
        <w:ind w:left="1102" w:leftChars="300" w:hanging="442"/>
        <w:rPr>
          <w:rFonts w:hint="default"/>
          <w:color w:val="auto"/>
          <w:highlight w:val="none"/>
        </w:rPr>
      </w:pPr>
      <w:r>
        <w:rPr>
          <w:rFonts w:hint="default"/>
          <w:color w:val="auto"/>
          <w:highlight w:val="none"/>
        </w:rPr>
        <w:t>健康状態がよいと回答した人の割合</w:t>
      </w:r>
      <w:r>
        <w:rPr>
          <w:rFonts w:hint="eastAsia"/>
          <w:color w:val="auto"/>
          <w:highlight w:val="none"/>
        </w:rPr>
        <w:t>は</w:t>
      </w:r>
      <w:r>
        <w:rPr>
          <w:rFonts w:hint="default"/>
          <w:color w:val="auto"/>
          <w:highlight w:val="none"/>
        </w:rPr>
        <w:t>、運動器機能が低下している人、低栄養に該当する人で</w:t>
      </w:r>
      <w:r>
        <w:rPr>
          <w:rFonts w:hint="eastAsia"/>
          <w:color w:val="auto"/>
          <w:highlight w:val="none"/>
        </w:rPr>
        <w:t>4</w:t>
      </w:r>
      <w:r>
        <w:rPr>
          <w:rFonts w:hint="default"/>
          <w:color w:val="auto"/>
          <w:highlight w:val="none"/>
        </w:rPr>
        <w:t>0</w:t>
      </w:r>
      <w:r>
        <w:rPr>
          <w:rFonts w:hint="default"/>
          <w:color w:val="auto"/>
          <w:highlight w:val="none"/>
        </w:rPr>
        <w:t>％台と低くなっています。</w:t>
      </w:r>
    </w:p>
    <w:p>
      <w:pPr>
        <w:pStyle w:val="0"/>
        <w:autoSpaceDE w:val="0"/>
        <w:autoSpaceDN w:val="0"/>
        <w:spacing w:before="185" w:beforeLines="50" w:beforeAutospacing="0" w:line="380" w:lineRule="exact"/>
        <w:ind w:left="425" w:leftChars="193"/>
        <w:jc w:val="center"/>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図表</w:t>
      </w:r>
      <w:r>
        <w:rPr>
          <w:rFonts w:hint="eastAsia" w:ascii="BIZ UDPゴシック" w:hAnsi="BIZ UDPゴシック" w:eastAsia="BIZ UDPゴシック"/>
          <w:color w:val="auto"/>
          <w:sz w:val="21"/>
          <w:highlight w:val="none"/>
        </w:rPr>
        <w:t>　</w:t>
      </w:r>
      <w:r>
        <w:rPr>
          <w:rFonts w:hint="default" w:ascii="BIZ UDPゴシック" w:hAnsi="BIZ UDPゴシック" w:eastAsia="BIZ UDPゴシック"/>
          <w:color w:val="auto"/>
          <w:sz w:val="21"/>
          <w:highlight w:val="none"/>
        </w:rPr>
        <w:t>現在の健康状態（リスク別）</w:t>
      </w:r>
    </w:p>
    <w:p>
      <w:pPr>
        <w:pStyle w:val="0"/>
        <w:spacing w:line="380" w:lineRule="exact"/>
        <w:rPr>
          <w:rFonts w:hint="default"/>
          <w:color w:val="auto"/>
          <w:highlight w:val="none"/>
        </w:rPr>
      </w:pPr>
      <w:r>
        <w:rPr>
          <w:rFonts w:hint="default"/>
          <w:color w:val="auto"/>
          <w:highlight w:val="none"/>
        </w:rPr>
        <w:drawing>
          <wp:anchor distT="0" distB="0" distL="114300" distR="114300" simplePos="0" relativeHeight="8" behindDoc="0" locked="0" layoutInCell="1" hidden="0" allowOverlap="1">
            <wp:simplePos x="0" y="0"/>
            <wp:positionH relativeFrom="column">
              <wp:posOffset>-346075</wp:posOffset>
            </wp:positionH>
            <wp:positionV relativeFrom="paragraph">
              <wp:posOffset>119380</wp:posOffset>
            </wp:positionV>
            <wp:extent cx="5817235" cy="2621280"/>
            <wp:effectExtent l="0" t="0" r="0" b="0"/>
            <wp:wrapNone/>
            <wp:docPr id="1106" name="Picture 6"/>
            <a:graphic xmlns:a="http://schemas.openxmlformats.org/drawingml/2006/main">
              <a:graphicData uri="http://schemas.openxmlformats.org/drawingml/2006/picture">
                <pic:pic xmlns:pic="http://schemas.openxmlformats.org/drawingml/2006/picture">
                  <pic:nvPicPr>
                    <pic:cNvPr id="1106" name="Picture 6"/>
                    <pic:cNvPicPr>
                      <a:picLocks noChangeAspect="1" noChangeArrowheads="1"/>
                    </pic:cNvPicPr>
                  </pic:nvPicPr>
                  <pic:blipFill>
                    <a:blip r:embed="rId50"/>
                    <a:stretch>
                      <a:fillRect/>
                    </a:stretch>
                  </pic:blipFill>
                  <pic:spPr>
                    <a:xfrm>
                      <a:off x="0" y="0"/>
                      <a:ext cx="5817235" cy="2621280"/>
                    </a:xfrm>
                    <a:prstGeom prst="rect">
                      <a:avLst/>
                    </a:prstGeom>
                    <a:noFill/>
                    <a:ln>
                      <a:noFill/>
                    </a:ln>
                  </pic:spPr>
                </pic:pic>
              </a:graphicData>
            </a:graphic>
          </wp:anchor>
        </w:drawing>
      </w: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numPr>
          <w:ilvl w:val="3"/>
          <w:numId w:val="1"/>
        </w:numPr>
        <w:autoSpaceDE w:val="0"/>
        <w:autoSpaceDN w:val="0"/>
        <w:spacing w:line="380" w:lineRule="exact"/>
        <w:ind w:left="1102" w:leftChars="300" w:hanging="442"/>
        <w:rPr>
          <w:rFonts w:hint="default"/>
          <w:color w:val="auto"/>
          <w:highlight w:val="none"/>
        </w:rPr>
      </w:pPr>
      <w:r>
        <w:rPr>
          <w:rFonts w:hint="eastAsia"/>
          <w:color w:val="auto"/>
          <w:highlight w:val="none"/>
        </w:rPr>
        <w:t>新型コロナウイルス感染症の影響による変化について、「人との交流が減少した」、「あまり外出しなくなった」と回答した人の割合が、３割台後半から４割台となっています。</w:t>
      </w:r>
    </w:p>
    <w:p>
      <w:pPr>
        <w:pStyle w:val="0"/>
        <w:numPr>
          <w:ilvl w:val="3"/>
          <w:numId w:val="1"/>
        </w:numPr>
        <w:autoSpaceDE w:val="0"/>
        <w:autoSpaceDN w:val="0"/>
        <w:spacing w:line="380" w:lineRule="exact"/>
        <w:ind w:left="1102" w:leftChars="300" w:hanging="442"/>
        <w:rPr>
          <w:rFonts w:hint="default"/>
          <w:color w:val="auto"/>
          <w:highlight w:val="none"/>
        </w:rPr>
      </w:pPr>
      <w:r>
        <w:rPr>
          <w:rFonts w:hint="eastAsia"/>
          <w:color w:val="auto"/>
          <w:highlight w:val="none"/>
        </w:rPr>
        <w:t>「体力が低下した」と回答した人の割合は、事業対象者で</w:t>
      </w:r>
      <w:r>
        <w:rPr>
          <w:rFonts w:hint="eastAsia"/>
          <w:color w:val="auto"/>
          <w:highlight w:val="none"/>
        </w:rPr>
        <w:t>32.2</w:t>
      </w:r>
      <w:r>
        <w:rPr>
          <w:rFonts w:hint="eastAsia"/>
          <w:color w:val="auto"/>
          <w:highlight w:val="none"/>
        </w:rPr>
        <w:t>％、要支援１・２高齢者で</w:t>
      </w:r>
      <w:r>
        <w:rPr>
          <w:rFonts w:hint="eastAsia"/>
          <w:color w:val="auto"/>
          <w:highlight w:val="none"/>
        </w:rPr>
        <w:t>35.3</w:t>
      </w:r>
      <w:r>
        <w:rPr>
          <w:rFonts w:hint="eastAsia"/>
          <w:color w:val="auto"/>
          <w:highlight w:val="none"/>
        </w:rPr>
        <w:t>％となっています。</w:t>
      </w:r>
    </w:p>
    <w:p>
      <w:pPr>
        <w:pStyle w:val="0"/>
        <w:autoSpaceDE w:val="0"/>
        <w:autoSpaceDN w:val="0"/>
        <w:spacing w:before="185" w:beforeLines="50" w:beforeAutospacing="0" w:line="380" w:lineRule="exact"/>
        <w:ind w:left="425" w:leftChars="193"/>
        <w:jc w:val="center"/>
        <w:rPr>
          <w:rFonts w:hint="default" w:ascii="BIZ UDPゴシック" w:hAnsi="BIZ UDPゴシック" w:eastAsia="BIZ UDPゴシック"/>
          <w:color w:val="auto"/>
          <w:sz w:val="21"/>
          <w:highlight w:val="none"/>
        </w:rPr>
      </w:pPr>
      <w:r>
        <w:rPr>
          <w:rFonts w:hint="default"/>
          <w:color w:val="auto"/>
          <w:sz w:val="21"/>
          <w:highlight w:val="none"/>
        </w:rPr>
        <w:drawing>
          <wp:anchor distT="0" distB="0" distL="114300" distR="114300" simplePos="0" relativeHeight="15" behindDoc="0" locked="0" layoutInCell="1" hidden="0" allowOverlap="1">
            <wp:simplePos x="0" y="0"/>
            <wp:positionH relativeFrom="column">
              <wp:posOffset>2540</wp:posOffset>
            </wp:positionH>
            <wp:positionV relativeFrom="paragraph">
              <wp:posOffset>361950</wp:posOffset>
            </wp:positionV>
            <wp:extent cx="5759450" cy="3842385"/>
            <wp:effectExtent l="0" t="0" r="0" b="0"/>
            <wp:wrapNone/>
            <wp:docPr id="1107" name="Picture 7"/>
            <a:graphic xmlns:a="http://schemas.openxmlformats.org/drawingml/2006/main">
              <a:graphicData uri="http://schemas.openxmlformats.org/drawingml/2006/picture">
                <pic:pic xmlns:pic="http://schemas.openxmlformats.org/drawingml/2006/picture">
                  <pic:nvPicPr>
                    <pic:cNvPr id="1107" name="Picture 7"/>
                    <pic:cNvPicPr>
                      <a:picLocks noChangeAspect="1" noChangeArrowheads="1"/>
                    </pic:cNvPicPr>
                  </pic:nvPicPr>
                  <pic:blipFill>
                    <a:blip r:embed="rId51"/>
                    <a:stretch>
                      <a:fillRect/>
                    </a:stretch>
                  </pic:blipFill>
                  <pic:spPr>
                    <a:xfrm>
                      <a:off x="0" y="0"/>
                      <a:ext cx="5759450" cy="3842385"/>
                    </a:xfrm>
                    <a:prstGeom prst="rect">
                      <a:avLst/>
                    </a:prstGeom>
                    <a:noFill/>
                    <a:ln>
                      <a:noFill/>
                    </a:ln>
                  </pic:spPr>
                </pic:pic>
              </a:graphicData>
            </a:graphic>
          </wp:anchor>
        </w:drawing>
      </w:r>
      <w:r>
        <w:rPr>
          <w:rFonts w:hint="eastAsia" w:ascii="BIZ UDPゴシック" w:hAnsi="BIZ UDPゴシック" w:eastAsia="BIZ UDPゴシック"/>
          <w:color w:val="auto"/>
          <w:sz w:val="21"/>
          <w:highlight w:val="none"/>
        </w:rPr>
        <w:t>図表　新型コロナウイルス感染症の影響による変化（対象者区分別）</w:t>
      </w:r>
    </w:p>
    <w:p>
      <w:pPr>
        <w:pStyle w:val="0"/>
        <w:rPr>
          <w:rFonts w:hint="default" w:ascii="ＭＳ 明朝" w:hAnsi="ＭＳ 明朝"/>
          <w:color w:val="auto"/>
          <w:highlight w:val="none"/>
        </w:rPr>
      </w:pPr>
    </w:p>
    <w:p>
      <w:pPr>
        <w:pStyle w:val="0"/>
        <w:rPr>
          <w:rFonts w:hint="default" w:ascii="ＭＳ 明朝" w:hAnsi="ＭＳ 明朝"/>
          <w:color w:val="auto"/>
          <w:highlight w:val="none"/>
        </w:rPr>
      </w:pPr>
    </w:p>
    <w:p>
      <w:pPr>
        <w:pStyle w:val="0"/>
        <w:rPr>
          <w:rFonts w:hint="default" w:ascii="ＭＳ 明朝" w:hAnsi="ＭＳ 明朝"/>
          <w:color w:val="auto"/>
          <w:highlight w:val="none"/>
        </w:rPr>
      </w:pPr>
    </w:p>
    <w:p>
      <w:pPr>
        <w:pStyle w:val="0"/>
        <w:rPr>
          <w:rFonts w:hint="default" w:ascii="ＭＳ 明朝" w:hAnsi="ＭＳ 明朝"/>
          <w:color w:val="auto"/>
          <w:highlight w:val="none"/>
        </w:rPr>
      </w:pPr>
    </w:p>
    <w:p>
      <w:pPr>
        <w:pStyle w:val="0"/>
        <w:rPr>
          <w:rFonts w:hint="default" w:ascii="ＭＳ 明朝" w:hAnsi="ＭＳ 明朝"/>
          <w:color w:val="auto"/>
          <w:highlight w:val="none"/>
        </w:rPr>
      </w:pPr>
    </w:p>
    <w:p>
      <w:pPr>
        <w:pStyle w:val="0"/>
        <w:rPr>
          <w:rFonts w:hint="default" w:ascii="ＭＳ 明朝" w:hAnsi="ＭＳ 明朝"/>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r>
        <w:rPr>
          <w:rFonts w:hint="default"/>
          <w:color w:val="auto"/>
          <w:highlight w:val="none"/>
        </w:rPr>
        <w:br w:type="page"/>
      </w:r>
    </w:p>
    <w:p>
      <w:pPr>
        <w:pStyle w:val="30"/>
        <w:spacing w:after="76" w:afterLines="0" w:afterAutospacing="0"/>
        <w:rPr>
          <w:rFonts w:hint="default"/>
          <w:color w:val="auto"/>
          <w:highlight w:val="none"/>
        </w:rPr>
      </w:pPr>
      <w:r>
        <w:rPr>
          <w:rFonts w:hint="eastAsia"/>
          <w:color w:val="auto"/>
          <w:highlight w:val="none"/>
        </w:rPr>
        <w:t>イ　</w:t>
      </w:r>
      <w:r>
        <w:rPr>
          <w:rFonts w:hint="default"/>
          <w:color w:val="auto"/>
          <w:highlight w:val="none"/>
        </w:rPr>
        <w:t>地域活動への参加</w:t>
      </w:r>
    </w:p>
    <w:p>
      <w:pPr>
        <w:pStyle w:val="0"/>
        <w:numPr>
          <w:ilvl w:val="3"/>
          <w:numId w:val="1"/>
        </w:numPr>
        <w:autoSpaceDE w:val="0"/>
        <w:autoSpaceDN w:val="0"/>
        <w:spacing w:line="380" w:lineRule="exact"/>
        <w:ind w:left="1102" w:leftChars="300" w:hanging="442"/>
        <w:rPr>
          <w:rFonts w:hint="default"/>
          <w:color w:val="auto"/>
          <w:highlight w:val="none"/>
        </w:rPr>
      </w:pPr>
      <w:r>
        <w:rPr>
          <w:rFonts w:hint="eastAsia"/>
          <w:color w:val="auto"/>
          <w:highlight w:val="none"/>
        </w:rPr>
        <w:t>仕事も含めて何らかの地域での活動に年に数回以上参加している人の割合は男性で</w:t>
      </w:r>
      <w:r>
        <w:rPr>
          <w:rFonts w:hint="eastAsia"/>
          <w:color w:val="auto"/>
          <w:highlight w:val="none"/>
        </w:rPr>
        <w:t>68.8</w:t>
      </w:r>
      <w:r>
        <w:rPr>
          <w:rFonts w:hint="eastAsia"/>
          <w:color w:val="auto"/>
          <w:highlight w:val="none"/>
        </w:rPr>
        <w:t>％、女性で</w:t>
      </w:r>
      <w:r>
        <w:rPr>
          <w:rFonts w:hint="eastAsia"/>
          <w:color w:val="auto"/>
          <w:highlight w:val="none"/>
        </w:rPr>
        <w:t>63.5</w:t>
      </w:r>
      <w:r>
        <w:rPr>
          <w:rFonts w:hint="eastAsia"/>
          <w:color w:val="auto"/>
          <w:highlight w:val="none"/>
        </w:rPr>
        <w:t>％となっています。</w:t>
      </w:r>
    </w:p>
    <w:p>
      <w:pPr>
        <w:pStyle w:val="0"/>
        <w:numPr>
          <w:ilvl w:val="3"/>
          <w:numId w:val="1"/>
        </w:numPr>
        <w:autoSpaceDE w:val="0"/>
        <w:autoSpaceDN w:val="0"/>
        <w:spacing w:line="380" w:lineRule="exact"/>
        <w:ind w:left="1102" w:leftChars="300" w:hanging="442"/>
        <w:rPr>
          <w:rFonts w:hint="default"/>
          <w:color w:val="auto"/>
          <w:highlight w:val="none"/>
        </w:rPr>
      </w:pPr>
      <w:r>
        <w:rPr>
          <w:rFonts w:hint="eastAsia"/>
          <w:color w:val="auto"/>
          <w:highlight w:val="none"/>
        </w:rPr>
        <w:t>年に数回以上の参加の割合が最も高い活動は、男性では「町内会・自治会の活動」、女性では「趣味関係のグループ」となっています。</w:t>
      </w:r>
    </w:p>
    <w:p>
      <w:pPr>
        <w:pStyle w:val="0"/>
        <w:numPr>
          <w:ilvl w:val="3"/>
          <w:numId w:val="1"/>
        </w:numPr>
        <w:autoSpaceDE w:val="0"/>
        <w:autoSpaceDN w:val="0"/>
        <w:spacing w:line="380" w:lineRule="exact"/>
        <w:ind w:left="1102" w:leftChars="300" w:hanging="442"/>
        <w:rPr>
          <w:rFonts w:hint="default"/>
          <w:color w:val="auto"/>
          <w:highlight w:val="none"/>
        </w:rPr>
      </w:pPr>
      <w:r>
        <w:rPr>
          <w:rFonts w:hint="eastAsia"/>
          <w:color w:val="auto"/>
          <w:highlight w:val="none"/>
        </w:rPr>
        <w:t>週１回以上の参加の割合が高い活動は、男女ともに「収入のある仕事」、「スポーツ関係のグループやクラブ」となっています。</w:t>
      </w:r>
    </w:p>
    <w:p>
      <w:pPr>
        <w:pStyle w:val="0"/>
        <w:autoSpaceDE w:val="0"/>
        <w:autoSpaceDN w:val="0"/>
        <w:spacing w:before="185" w:beforeLines="50" w:beforeAutospacing="0" w:line="380" w:lineRule="exact"/>
        <w:ind w:left="425" w:leftChars="193"/>
        <w:jc w:val="center"/>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図表</w:t>
      </w:r>
      <w:r>
        <w:rPr>
          <w:rFonts w:hint="eastAsia" w:ascii="BIZ UDPゴシック" w:hAnsi="BIZ UDPゴシック" w:eastAsia="BIZ UDPゴシック"/>
          <w:color w:val="auto"/>
          <w:sz w:val="21"/>
          <w:highlight w:val="none"/>
        </w:rPr>
        <w:t>　</w:t>
      </w:r>
      <w:r>
        <w:rPr>
          <w:rFonts w:hint="default" w:ascii="BIZ UDPゴシック" w:hAnsi="BIZ UDPゴシック" w:eastAsia="BIZ UDPゴシック"/>
          <w:color w:val="auto"/>
          <w:sz w:val="21"/>
          <w:highlight w:val="none"/>
        </w:rPr>
        <w:t>地域での活動への参加状況（性別）</w:t>
      </w:r>
    </w:p>
    <w:p>
      <w:pPr>
        <w:pStyle w:val="0"/>
        <w:spacing w:line="380" w:lineRule="exact"/>
        <w:rPr>
          <w:rFonts w:hint="default"/>
          <w:color w:val="auto"/>
          <w:highlight w:val="none"/>
        </w:rPr>
      </w:pPr>
      <w:r>
        <w:rPr>
          <w:rFonts w:hint="eastAsia"/>
          <w:color w:val="auto"/>
          <w:highlight w:val="none"/>
        </w:rPr>
        <w:drawing>
          <wp:anchor distT="0" distB="0" distL="114300" distR="114300" simplePos="0" relativeHeight="9" behindDoc="1" locked="0" layoutInCell="1" hidden="0" allowOverlap="1">
            <wp:simplePos x="0" y="0"/>
            <wp:positionH relativeFrom="column">
              <wp:posOffset>1617980</wp:posOffset>
            </wp:positionH>
            <wp:positionV relativeFrom="paragraph">
              <wp:posOffset>368300</wp:posOffset>
            </wp:positionV>
            <wp:extent cx="4933315" cy="4869815"/>
            <wp:effectExtent l="0" t="0" r="0" b="0"/>
            <wp:wrapNone/>
            <wp:docPr id="1108" name="Picture 18"/>
            <a:graphic xmlns:a="http://schemas.openxmlformats.org/drawingml/2006/main">
              <a:graphicData uri="http://schemas.openxmlformats.org/drawingml/2006/picture">
                <pic:pic xmlns:pic="http://schemas.openxmlformats.org/drawingml/2006/picture">
                  <pic:nvPicPr>
                    <pic:cNvPr id="1108" name="Picture 18"/>
                    <pic:cNvPicPr>
                      <a:picLocks noChangeAspect="1" noChangeArrowheads="1"/>
                    </pic:cNvPicPr>
                  </pic:nvPicPr>
                  <pic:blipFill>
                    <a:blip r:embed="rId52"/>
                    <a:stretch>
                      <a:fillRect/>
                    </a:stretch>
                  </pic:blipFill>
                  <pic:spPr>
                    <a:xfrm>
                      <a:off x="0" y="0"/>
                      <a:ext cx="4933315" cy="4869815"/>
                    </a:xfrm>
                    <a:prstGeom prst="rect">
                      <a:avLst/>
                    </a:prstGeom>
                    <a:noFill/>
                    <a:ln>
                      <a:noFill/>
                    </a:ln>
                  </pic:spPr>
                </pic:pic>
              </a:graphicData>
            </a:graphic>
          </wp:anchor>
        </w:drawing>
      </w:r>
    </w:p>
    <w:tbl>
      <w:tblPr>
        <w:tblStyle w:val="81"/>
        <w:tblW w:w="3823" w:type="dxa"/>
        <w:tblInd w:w="0" w:type="dxa"/>
        <w:tblLayout w:type="fixed"/>
        <w:tblLook w:firstRow="1" w:lastRow="0" w:firstColumn="1" w:lastColumn="0" w:noHBand="0" w:noVBand="1" w:val="04A0"/>
      </w:tblPr>
      <w:tblGrid>
        <w:gridCol w:w="1838"/>
        <w:gridCol w:w="567"/>
        <w:gridCol w:w="709"/>
        <w:gridCol w:w="709"/>
      </w:tblGrid>
      <w:tr>
        <w:trPr/>
        <w:tc>
          <w:tcPr>
            <w:tcW w:w="2405" w:type="dxa"/>
            <w:gridSpan w:val="2"/>
            <w:vAlign w:val="center"/>
          </w:tcPr>
          <w:p>
            <w:pPr>
              <w:pStyle w:val="0"/>
              <w:spacing w:line="240" w:lineRule="exact"/>
              <w:rPr>
                <w:rFonts w:hint="default" w:ascii="ＭＳ Ｐゴシック" w:hAnsi="ＭＳ Ｐゴシック" w:eastAsia="ＭＳ Ｐゴシック"/>
                <w:color w:val="auto"/>
                <w:sz w:val="18"/>
                <w:highlight w:val="none"/>
              </w:rPr>
            </w:pPr>
          </w:p>
        </w:tc>
        <w:tc>
          <w:tcPr>
            <w:tcW w:w="70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80" w:lineRule="exact"/>
              <w:ind w:left="-110" w:leftChars="-50" w:right="-110" w:rightChars="-50"/>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週</w:t>
            </w:r>
            <w:r>
              <w:rPr>
                <w:rFonts w:hint="eastAsia" w:ascii="ＭＳ Ｐゴシック" w:hAnsi="ＭＳ Ｐゴシック" w:eastAsia="ＭＳ Ｐゴシック"/>
                <w:color w:val="auto"/>
                <w:sz w:val="18"/>
                <w:highlight w:val="none"/>
              </w:rPr>
              <w:t>1</w:t>
            </w:r>
            <w:r>
              <w:rPr>
                <w:rFonts w:hint="eastAsia" w:ascii="ＭＳ Ｐゴシック" w:hAnsi="ＭＳ Ｐゴシック" w:eastAsia="ＭＳ Ｐゴシック"/>
                <w:color w:val="auto"/>
                <w:sz w:val="18"/>
                <w:highlight w:val="none"/>
              </w:rPr>
              <w:t>回</w:t>
            </w:r>
          </w:p>
          <w:p>
            <w:pPr>
              <w:pStyle w:val="0"/>
              <w:spacing w:line="280" w:lineRule="exact"/>
              <w:ind w:left="-110" w:leftChars="-50" w:right="-110" w:rightChars="-50"/>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以上</w:t>
            </w:r>
          </w:p>
        </w:tc>
        <w:tc>
          <w:tcPr>
            <w:tcW w:w="70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80" w:lineRule="exact"/>
              <w:ind w:left="-110" w:leftChars="-50" w:right="-110" w:rightChars="-50"/>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月</w:t>
            </w:r>
            <w:r>
              <w:rPr>
                <w:rFonts w:hint="eastAsia" w:ascii="ＭＳ Ｐゴシック" w:hAnsi="ＭＳ Ｐゴシック" w:eastAsia="ＭＳ Ｐゴシック"/>
                <w:color w:val="auto"/>
                <w:sz w:val="18"/>
                <w:highlight w:val="none"/>
              </w:rPr>
              <w:t>1</w:t>
            </w:r>
            <w:r>
              <w:rPr>
                <w:rFonts w:hint="eastAsia" w:ascii="ＭＳ Ｐゴシック" w:hAnsi="ＭＳ Ｐゴシック" w:eastAsia="ＭＳ Ｐゴシック"/>
                <w:color w:val="auto"/>
                <w:sz w:val="18"/>
                <w:highlight w:val="none"/>
              </w:rPr>
              <w:t>回</w:t>
            </w:r>
          </w:p>
          <w:p>
            <w:pPr>
              <w:pStyle w:val="0"/>
              <w:spacing w:line="280" w:lineRule="exact"/>
              <w:ind w:left="-110" w:leftChars="-50" w:right="-110" w:rightChars="-50"/>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以上</w:t>
            </w:r>
          </w:p>
        </w:tc>
      </w:tr>
      <w:tr>
        <w:trPr>
          <w:trHeight w:val="414" w:hRule="atLeast"/>
        </w:trPr>
        <w:tc>
          <w:tcPr>
            <w:tcW w:w="1838" w:type="dxa"/>
            <w:vMerge w:val="restart"/>
            <w:vAlign w:val="center"/>
          </w:tcPr>
          <w:p>
            <w:pPr>
              <w:pStyle w:val="0"/>
              <w:spacing w:line="280" w:lineRule="exact"/>
              <w:ind w:right="-110" w:rightChars="-50"/>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ボランティアの</w:t>
            </w:r>
          </w:p>
          <w:p>
            <w:pPr>
              <w:pStyle w:val="0"/>
              <w:spacing w:line="280" w:lineRule="exact"/>
              <w:ind w:right="-110" w:rightChars="-50"/>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グループ</w:t>
            </w:r>
          </w:p>
        </w:tc>
        <w:tc>
          <w:tcPr>
            <w:tcW w:w="567" w:type="dxa"/>
            <w:vAlign w:val="center"/>
          </w:tcPr>
          <w:p>
            <w:pPr>
              <w:pStyle w:val="0"/>
              <w:spacing w:line="280" w:lineRule="exact"/>
              <w:ind w:right="-110" w:rightChars="-50"/>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男性</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80" w:lineRule="exact"/>
              <w:ind w:left="-110" w:leftChars="-5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3.9% </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80" w:lineRule="exact"/>
              <w:ind w:left="-110" w:leftChars="-5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8.1% </w:t>
            </w:r>
          </w:p>
        </w:tc>
      </w:tr>
      <w:tr>
        <w:trPr>
          <w:trHeight w:val="414" w:hRule="atLeast"/>
        </w:trPr>
        <w:tc>
          <w:tcPr>
            <w:tcW w:w="1838" w:type="dxa"/>
            <w:vMerge w:val="continue"/>
            <w:vAlign w:val="center"/>
          </w:tcPr>
          <w:p>
            <w:pPr>
              <w:pStyle w:val="0"/>
              <w:spacing w:line="280" w:lineRule="exact"/>
              <w:ind w:right="-110" w:rightChars="-50"/>
              <w:rPr>
                <w:rFonts w:hint="default" w:ascii="ＭＳ Ｐゴシック" w:hAnsi="ＭＳ Ｐゴシック" w:eastAsia="ＭＳ Ｐゴシック"/>
                <w:color w:val="000000" w:themeColor="text1"/>
                <w:sz w:val="18"/>
              </w:rPr>
            </w:pPr>
          </w:p>
        </w:tc>
        <w:tc>
          <w:tcPr>
            <w:tcW w:w="567" w:type="dxa"/>
            <w:vAlign w:val="center"/>
          </w:tcPr>
          <w:p>
            <w:pPr>
              <w:pStyle w:val="0"/>
              <w:spacing w:line="280" w:lineRule="exact"/>
              <w:ind w:right="-110" w:rightChars="-50"/>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女性</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80" w:lineRule="exact"/>
              <w:ind w:left="-110" w:leftChars="-5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4.4% </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80" w:lineRule="exact"/>
              <w:ind w:left="-110" w:leftChars="-5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8.1% </w:t>
            </w:r>
          </w:p>
        </w:tc>
      </w:tr>
      <w:tr>
        <w:trPr>
          <w:trHeight w:val="414" w:hRule="atLeast"/>
        </w:trPr>
        <w:tc>
          <w:tcPr>
            <w:tcW w:w="1838" w:type="dxa"/>
            <w:vMerge w:val="restart"/>
            <w:vAlign w:val="center"/>
          </w:tcPr>
          <w:p>
            <w:pPr>
              <w:pStyle w:val="0"/>
              <w:spacing w:line="280" w:lineRule="exact"/>
              <w:ind w:right="-110" w:rightChars="-50"/>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スポーツ関係の</w:t>
            </w:r>
          </w:p>
          <w:p>
            <w:pPr>
              <w:pStyle w:val="0"/>
              <w:spacing w:line="280" w:lineRule="exact"/>
              <w:ind w:right="-110" w:rightChars="-50"/>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グループやクラブ</w:t>
            </w:r>
          </w:p>
        </w:tc>
        <w:tc>
          <w:tcPr>
            <w:tcW w:w="567" w:type="dxa"/>
            <w:vAlign w:val="center"/>
          </w:tcPr>
          <w:p>
            <w:pPr>
              <w:pStyle w:val="0"/>
              <w:spacing w:line="280" w:lineRule="exact"/>
              <w:ind w:right="-110" w:rightChars="-50"/>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男性</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80" w:lineRule="exact"/>
              <w:ind w:left="-110" w:leftChars="-5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11.2% </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80" w:lineRule="exact"/>
              <w:ind w:left="-110" w:leftChars="-5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17.5% </w:t>
            </w:r>
          </w:p>
        </w:tc>
      </w:tr>
      <w:tr>
        <w:trPr>
          <w:trHeight w:val="414" w:hRule="atLeast"/>
        </w:trPr>
        <w:tc>
          <w:tcPr>
            <w:tcW w:w="1838" w:type="dxa"/>
            <w:vMerge w:val="continue"/>
            <w:vAlign w:val="center"/>
          </w:tcPr>
          <w:p>
            <w:pPr>
              <w:pStyle w:val="0"/>
              <w:spacing w:line="280" w:lineRule="exact"/>
              <w:ind w:right="-110" w:rightChars="-50"/>
              <w:rPr>
                <w:rFonts w:hint="default" w:ascii="ＭＳ Ｐゴシック" w:hAnsi="ＭＳ Ｐゴシック" w:eastAsia="ＭＳ Ｐゴシック"/>
                <w:color w:val="000000" w:themeColor="text1"/>
                <w:sz w:val="18"/>
              </w:rPr>
            </w:pPr>
          </w:p>
        </w:tc>
        <w:tc>
          <w:tcPr>
            <w:tcW w:w="567" w:type="dxa"/>
            <w:vAlign w:val="center"/>
          </w:tcPr>
          <w:p>
            <w:pPr>
              <w:pStyle w:val="0"/>
              <w:spacing w:line="280" w:lineRule="exact"/>
              <w:ind w:right="-110" w:rightChars="-50"/>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女性</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80" w:lineRule="exact"/>
              <w:ind w:left="-110" w:leftChars="-5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14.3% </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80" w:lineRule="exact"/>
              <w:ind w:left="-110" w:leftChars="-5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18.0% </w:t>
            </w:r>
          </w:p>
        </w:tc>
      </w:tr>
      <w:tr>
        <w:trPr>
          <w:trHeight w:val="414" w:hRule="atLeast"/>
        </w:trPr>
        <w:tc>
          <w:tcPr>
            <w:tcW w:w="1838" w:type="dxa"/>
            <w:vMerge w:val="restart"/>
            <w:vAlign w:val="center"/>
          </w:tcPr>
          <w:p>
            <w:pPr>
              <w:pStyle w:val="0"/>
              <w:spacing w:line="280" w:lineRule="exact"/>
              <w:ind w:right="-110" w:rightChars="-50"/>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趣味関係の</w:t>
            </w:r>
          </w:p>
          <w:p>
            <w:pPr>
              <w:pStyle w:val="0"/>
              <w:spacing w:line="280" w:lineRule="exact"/>
              <w:ind w:right="-110" w:rightChars="-50"/>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グループ</w:t>
            </w:r>
          </w:p>
        </w:tc>
        <w:tc>
          <w:tcPr>
            <w:tcW w:w="567" w:type="dxa"/>
            <w:vAlign w:val="center"/>
          </w:tcPr>
          <w:p>
            <w:pPr>
              <w:pStyle w:val="0"/>
              <w:spacing w:line="280" w:lineRule="exact"/>
              <w:ind w:right="-110" w:rightChars="-50"/>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男性</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80" w:lineRule="exact"/>
              <w:ind w:left="-110" w:leftChars="-5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7.1% </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80" w:lineRule="exact"/>
              <w:ind w:left="-110" w:leftChars="-5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14.9% </w:t>
            </w:r>
          </w:p>
        </w:tc>
      </w:tr>
      <w:tr>
        <w:trPr>
          <w:trHeight w:val="414" w:hRule="atLeast"/>
        </w:trPr>
        <w:tc>
          <w:tcPr>
            <w:tcW w:w="1838" w:type="dxa"/>
            <w:vMerge w:val="continue"/>
            <w:vAlign w:val="center"/>
          </w:tcPr>
          <w:p>
            <w:pPr>
              <w:pStyle w:val="0"/>
              <w:spacing w:line="280" w:lineRule="exact"/>
              <w:ind w:right="-110" w:rightChars="-50"/>
              <w:rPr>
                <w:rFonts w:hint="default" w:ascii="ＭＳ Ｐゴシック" w:hAnsi="ＭＳ Ｐゴシック" w:eastAsia="ＭＳ Ｐゴシック"/>
                <w:color w:val="000000" w:themeColor="text1"/>
                <w:sz w:val="18"/>
              </w:rPr>
            </w:pPr>
          </w:p>
        </w:tc>
        <w:tc>
          <w:tcPr>
            <w:tcW w:w="567" w:type="dxa"/>
            <w:vAlign w:val="center"/>
          </w:tcPr>
          <w:p>
            <w:pPr>
              <w:pStyle w:val="0"/>
              <w:spacing w:line="280" w:lineRule="exact"/>
              <w:ind w:right="-110" w:rightChars="-50"/>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女性</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80" w:lineRule="exact"/>
              <w:ind w:left="-110" w:leftChars="-5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10.3% </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80" w:lineRule="exact"/>
              <w:ind w:left="-110" w:leftChars="-5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21.1% </w:t>
            </w:r>
          </w:p>
        </w:tc>
      </w:tr>
      <w:tr>
        <w:trPr>
          <w:trHeight w:val="414" w:hRule="atLeast"/>
        </w:trPr>
        <w:tc>
          <w:tcPr>
            <w:tcW w:w="1838" w:type="dxa"/>
            <w:vMerge w:val="restart"/>
            <w:vAlign w:val="center"/>
          </w:tcPr>
          <w:p>
            <w:pPr>
              <w:pStyle w:val="0"/>
              <w:spacing w:line="280" w:lineRule="exact"/>
              <w:ind w:right="-110" w:rightChars="-50"/>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学習・教養サークル</w:t>
            </w:r>
          </w:p>
        </w:tc>
        <w:tc>
          <w:tcPr>
            <w:tcW w:w="567" w:type="dxa"/>
            <w:vAlign w:val="center"/>
          </w:tcPr>
          <w:p>
            <w:pPr>
              <w:pStyle w:val="0"/>
              <w:spacing w:line="280" w:lineRule="exact"/>
              <w:ind w:right="-110" w:rightChars="-50"/>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男性</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80" w:lineRule="exact"/>
              <w:ind w:left="-110" w:leftChars="-5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1.2% </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80" w:lineRule="exact"/>
              <w:ind w:left="-110" w:leftChars="-5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3.5% </w:t>
            </w:r>
          </w:p>
        </w:tc>
      </w:tr>
      <w:tr>
        <w:trPr>
          <w:trHeight w:val="414" w:hRule="atLeast"/>
        </w:trPr>
        <w:tc>
          <w:tcPr>
            <w:tcW w:w="1838" w:type="dxa"/>
            <w:vMerge w:val="continue"/>
            <w:vAlign w:val="center"/>
          </w:tcPr>
          <w:p>
            <w:pPr>
              <w:pStyle w:val="0"/>
              <w:spacing w:line="280" w:lineRule="exact"/>
              <w:ind w:right="-110" w:rightChars="-50"/>
              <w:rPr>
                <w:rFonts w:hint="default" w:ascii="ＭＳ Ｐゴシック" w:hAnsi="ＭＳ Ｐゴシック" w:eastAsia="ＭＳ Ｐゴシック"/>
                <w:color w:val="000000" w:themeColor="text1"/>
                <w:sz w:val="18"/>
              </w:rPr>
            </w:pPr>
          </w:p>
        </w:tc>
        <w:tc>
          <w:tcPr>
            <w:tcW w:w="567" w:type="dxa"/>
            <w:vAlign w:val="center"/>
          </w:tcPr>
          <w:p>
            <w:pPr>
              <w:pStyle w:val="0"/>
              <w:spacing w:line="280" w:lineRule="exact"/>
              <w:ind w:right="-110" w:rightChars="-50"/>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女性</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80" w:lineRule="exact"/>
              <w:ind w:left="-110" w:leftChars="-5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2.6% </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80" w:lineRule="exact"/>
              <w:ind w:left="-110" w:leftChars="-5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6.8% </w:t>
            </w:r>
          </w:p>
        </w:tc>
      </w:tr>
      <w:tr>
        <w:trPr>
          <w:trHeight w:val="414" w:hRule="atLeast"/>
        </w:trPr>
        <w:tc>
          <w:tcPr>
            <w:tcW w:w="1838" w:type="dxa"/>
            <w:vMerge w:val="restart"/>
            <w:vAlign w:val="center"/>
          </w:tcPr>
          <w:p>
            <w:pPr>
              <w:pStyle w:val="0"/>
              <w:spacing w:line="280" w:lineRule="exact"/>
              <w:ind w:right="-110" w:rightChars="-50"/>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介護予防のための</w:t>
            </w:r>
          </w:p>
          <w:p>
            <w:pPr>
              <w:pStyle w:val="0"/>
              <w:spacing w:line="280" w:lineRule="exact"/>
              <w:ind w:right="-110" w:rightChars="-50"/>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通いの場</w:t>
            </w:r>
          </w:p>
        </w:tc>
        <w:tc>
          <w:tcPr>
            <w:tcW w:w="567" w:type="dxa"/>
            <w:vAlign w:val="center"/>
          </w:tcPr>
          <w:p>
            <w:pPr>
              <w:pStyle w:val="0"/>
              <w:spacing w:line="280" w:lineRule="exact"/>
              <w:ind w:right="-110" w:rightChars="-50"/>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男性</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80" w:lineRule="exact"/>
              <w:ind w:left="-110" w:leftChars="-5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2.5% </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80" w:lineRule="exact"/>
              <w:ind w:left="-110" w:leftChars="-5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3.9% </w:t>
            </w:r>
          </w:p>
        </w:tc>
      </w:tr>
      <w:tr>
        <w:trPr>
          <w:trHeight w:val="414" w:hRule="atLeast"/>
        </w:trPr>
        <w:tc>
          <w:tcPr>
            <w:tcW w:w="1838" w:type="dxa"/>
            <w:vMerge w:val="continue"/>
            <w:vAlign w:val="center"/>
          </w:tcPr>
          <w:p>
            <w:pPr>
              <w:pStyle w:val="0"/>
              <w:spacing w:line="280" w:lineRule="exact"/>
              <w:ind w:right="-110" w:rightChars="-50"/>
              <w:rPr>
                <w:rFonts w:hint="default" w:ascii="ＭＳ Ｐゴシック" w:hAnsi="ＭＳ Ｐゴシック" w:eastAsia="ＭＳ Ｐゴシック"/>
                <w:color w:val="000000" w:themeColor="text1"/>
                <w:sz w:val="18"/>
              </w:rPr>
            </w:pPr>
          </w:p>
        </w:tc>
        <w:tc>
          <w:tcPr>
            <w:tcW w:w="567" w:type="dxa"/>
            <w:vAlign w:val="center"/>
          </w:tcPr>
          <w:p>
            <w:pPr>
              <w:pStyle w:val="0"/>
              <w:spacing w:line="280" w:lineRule="exact"/>
              <w:ind w:right="-110" w:rightChars="-50"/>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女性</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80" w:lineRule="exact"/>
              <w:ind w:left="-110" w:leftChars="-5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9.3% </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80" w:lineRule="exact"/>
              <w:ind w:left="-110" w:leftChars="-5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13.5% </w:t>
            </w:r>
          </w:p>
        </w:tc>
      </w:tr>
      <w:tr>
        <w:trPr>
          <w:trHeight w:val="414" w:hRule="atLeast"/>
        </w:trPr>
        <w:tc>
          <w:tcPr>
            <w:tcW w:w="1838" w:type="dxa"/>
            <w:vMerge w:val="restart"/>
            <w:vAlign w:val="center"/>
          </w:tcPr>
          <w:p>
            <w:pPr>
              <w:pStyle w:val="0"/>
              <w:spacing w:line="280" w:lineRule="exact"/>
              <w:ind w:right="-110" w:rightChars="-50"/>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老人クラブ</w:t>
            </w:r>
          </w:p>
        </w:tc>
        <w:tc>
          <w:tcPr>
            <w:tcW w:w="567" w:type="dxa"/>
            <w:vAlign w:val="center"/>
          </w:tcPr>
          <w:p>
            <w:pPr>
              <w:pStyle w:val="0"/>
              <w:spacing w:line="280" w:lineRule="exact"/>
              <w:ind w:right="-110" w:rightChars="-50"/>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男性</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80" w:lineRule="exact"/>
              <w:ind w:left="-110" w:leftChars="-5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1.0%</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80" w:lineRule="exact"/>
              <w:ind w:left="-110" w:leftChars="-5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2.8% </w:t>
            </w:r>
          </w:p>
        </w:tc>
      </w:tr>
      <w:tr>
        <w:trPr>
          <w:trHeight w:val="414" w:hRule="atLeast"/>
        </w:trPr>
        <w:tc>
          <w:tcPr>
            <w:tcW w:w="1838" w:type="dxa"/>
            <w:vMerge w:val="continue"/>
            <w:vAlign w:val="center"/>
          </w:tcPr>
          <w:p>
            <w:pPr>
              <w:pStyle w:val="0"/>
              <w:spacing w:line="280" w:lineRule="exact"/>
              <w:ind w:right="-110" w:rightChars="-50"/>
              <w:rPr>
                <w:rFonts w:hint="default" w:ascii="ＭＳ Ｐゴシック" w:hAnsi="ＭＳ Ｐゴシック" w:eastAsia="ＭＳ Ｐゴシック"/>
                <w:color w:val="000000" w:themeColor="text1"/>
                <w:sz w:val="18"/>
              </w:rPr>
            </w:pPr>
          </w:p>
        </w:tc>
        <w:tc>
          <w:tcPr>
            <w:tcW w:w="567" w:type="dxa"/>
            <w:vAlign w:val="center"/>
          </w:tcPr>
          <w:p>
            <w:pPr>
              <w:pStyle w:val="0"/>
              <w:spacing w:line="280" w:lineRule="exact"/>
              <w:ind w:right="-110" w:rightChars="-50"/>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女性</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80" w:lineRule="exact"/>
              <w:ind w:left="-110" w:leftChars="-5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1.5%</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80" w:lineRule="exact"/>
              <w:ind w:left="-110" w:leftChars="-5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3.0% </w:t>
            </w:r>
          </w:p>
        </w:tc>
      </w:tr>
      <w:tr>
        <w:trPr>
          <w:trHeight w:val="414" w:hRule="atLeast"/>
        </w:trPr>
        <w:tc>
          <w:tcPr>
            <w:tcW w:w="1838" w:type="dxa"/>
            <w:vMerge w:val="restart"/>
            <w:vAlign w:val="center"/>
          </w:tcPr>
          <w:p>
            <w:pPr>
              <w:pStyle w:val="0"/>
              <w:spacing w:line="280" w:lineRule="exact"/>
              <w:ind w:right="-110" w:rightChars="-50"/>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町内会・自治会</w:t>
            </w:r>
          </w:p>
        </w:tc>
        <w:tc>
          <w:tcPr>
            <w:tcW w:w="567" w:type="dxa"/>
            <w:vAlign w:val="center"/>
          </w:tcPr>
          <w:p>
            <w:pPr>
              <w:pStyle w:val="0"/>
              <w:spacing w:line="280" w:lineRule="exact"/>
              <w:ind w:right="-110" w:rightChars="-50"/>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男性</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80" w:lineRule="exact"/>
              <w:ind w:left="-110" w:leftChars="-5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1.7%</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80" w:lineRule="exact"/>
              <w:ind w:left="-110" w:leftChars="-5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6.2% </w:t>
            </w:r>
          </w:p>
        </w:tc>
      </w:tr>
      <w:tr>
        <w:trPr>
          <w:trHeight w:val="414" w:hRule="atLeast"/>
        </w:trPr>
        <w:tc>
          <w:tcPr>
            <w:tcW w:w="1838" w:type="dxa"/>
            <w:vMerge w:val="continue"/>
            <w:vAlign w:val="center"/>
          </w:tcPr>
          <w:p>
            <w:pPr>
              <w:pStyle w:val="0"/>
              <w:spacing w:line="280" w:lineRule="exact"/>
              <w:ind w:right="-110" w:rightChars="-50"/>
              <w:rPr>
                <w:rFonts w:hint="default" w:ascii="ＭＳ Ｐゴシック" w:hAnsi="ＭＳ Ｐゴシック" w:eastAsia="ＭＳ Ｐゴシック"/>
                <w:color w:val="000000" w:themeColor="text1"/>
                <w:sz w:val="18"/>
              </w:rPr>
            </w:pPr>
          </w:p>
        </w:tc>
        <w:tc>
          <w:tcPr>
            <w:tcW w:w="567" w:type="dxa"/>
            <w:vAlign w:val="center"/>
          </w:tcPr>
          <w:p>
            <w:pPr>
              <w:pStyle w:val="0"/>
              <w:spacing w:line="280" w:lineRule="exact"/>
              <w:ind w:right="-110" w:rightChars="-50"/>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女性</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80" w:lineRule="exact"/>
              <w:ind w:left="-110" w:leftChars="-5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0.8%</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80" w:lineRule="exact"/>
              <w:ind w:left="-110" w:leftChars="-5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2.8% </w:t>
            </w:r>
          </w:p>
        </w:tc>
      </w:tr>
      <w:tr>
        <w:trPr>
          <w:trHeight w:val="414" w:hRule="atLeast"/>
        </w:trPr>
        <w:tc>
          <w:tcPr>
            <w:tcW w:w="1838" w:type="dxa"/>
            <w:vMerge w:val="restart"/>
            <w:vAlign w:val="center"/>
          </w:tcPr>
          <w:p>
            <w:pPr>
              <w:pStyle w:val="0"/>
              <w:spacing w:line="280" w:lineRule="exact"/>
              <w:ind w:right="-110" w:rightChars="-50"/>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収入のある仕事</w:t>
            </w:r>
          </w:p>
        </w:tc>
        <w:tc>
          <w:tcPr>
            <w:tcW w:w="567" w:type="dxa"/>
            <w:vAlign w:val="center"/>
          </w:tcPr>
          <w:p>
            <w:pPr>
              <w:pStyle w:val="0"/>
              <w:spacing w:line="280" w:lineRule="exact"/>
              <w:ind w:right="-110" w:rightChars="-50"/>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男性</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80" w:lineRule="exact"/>
              <w:ind w:left="-110" w:leftChars="-5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26.1%</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80" w:lineRule="exact"/>
              <w:ind w:left="-110" w:leftChars="-5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29.3% </w:t>
            </w:r>
          </w:p>
        </w:tc>
      </w:tr>
      <w:tr>
        <w:trPr>
          <w:trHeight w:val="414" w:hRule="atLeast"/>
        </w:trPr>
        <w:tc>
          <w:tcPr>
            <w:tcW w:w="1838" w:type="dxa"/>
            <w:vMerge w:val="continue"/>
            <w:vAlign w:val="center"/>
          </w:tcPr>
          <w:p>
            <w:pPr>
              <w:pStyle w:val="0"/>
              <w:spacing w:line="280" w:lineRule="exact"/>
              <w:ind w:right="-110" w:rightChars="-50"/>
              <w:rPr>
                <w:rFonts w:hint="default" w:ascii="ＭＳ Ｐゴシック" w:hAnsi="ＭＳ Ｐゴシック" w:eastAsia="ＭＳ Ｐゴシック"/>
                <w:color w:val="000000" w:themeColor="text1"/>
                <w:sz w:val="18"/>
              </w:rPr>
            </w:pPr>
          </w:p>
        </w:tc>
        <w:tc>
          <w:tcPr>
            <w:tcW w:w="567" w:type="dxa"/>
            <w:vAlign w:val="center"/>
          </w:tcPr>
          <w:p>
            <w:pPr>
              <w:pStyle w:val="0"/>
              <w:spacing w:line="280" w:lineRule="exact"/>
              <w:ind w:right="-110" w:rightChars="-50"/>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女性</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80" w:lineRule="exact"/>
              <w:ind w:left="-110" w:leftChars="-5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17.1%</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80" w:lineRule="exact"/>
              <w:ind w:left="-110" w:leftChars="-5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18.6% </w:t>
            </w:r>
          </w:p>
        </w:tc>
      </w:tr>
    </w:tbl>
    <w:p>
      <w:pPr>
        <w:pStyle w:val="0"/>
        <w:spacing w:before="111" w:beforeLines="30" w:beforeAutospacing="0" w:line="240" w:lineRule="exact"/>
        <w:rPr>
          <w:rFonts w:hint="default"/>
          <w:color w:val="auto"/>
          <w:highlight w:val="none"/>
        </w:rPr>
      </w:pPr>
      <w:r>
        <w:rPr>
          <w:rFonts w:hint="eastAsia" w:ascii="ＭＳ Ｐゴシック" w:hAnsi="ＭＳ Ｐゴシック" w:eastAsia="ＭＳ Ｐゴシック"/>
          <w:color w:val="auto"/>
          <w:sz w:val="18"/>
          <w:highlight w:val="none"/>
        </w:rPr>
        <w:t>男性　ｎ</w:t>
      </w:r>
      <w:r>
        <w:rPr>
          <w:rFonts w:hint="eastAsia" w:ascii="ＭＳ Ｐゴシック" w:hAnsi="ＭＳ Ｐゴシック" w:eastAsia="ＭＳ Ｐゴシック"/>
          <w:color w:val="auto"/>
          <w:sz w:val="18"/>
          <w:highlight w:val="none"/>
        </w:rPr>
        <w:t>=2,629</w:t>
      </w:r>
      <w:r>
        <w:rPr>
          <w:rFonts w:hint="default" w:ascii="ＭＳ Ｐゴシック" w:hAnsi="ＭＳ Ｐゴシック" w:eastAsia="ＭＳ Ｐゴシック"/>
          <w:color w:val="auto"/>
          <w:sz w:val="18"/>
          <w:highlight w:val="none"/>
        </w:rPr>
        <w:t xml:space="preserve"> </w:t>
      </w:r>
      <w:r>
        <w:rPr>
          <w:rFonts w:hint="eastAsia" w:ascii="ＭＳ Ｐゴシック" w:hAnsi="ＭＳ Ｐゴシック" w:eastAsia="ＭＳ Ｐゴシック"/>
          <w:color w:val="auto"/>
          <w:sz w:val="18"/>
          <w:highlight w:val="none"/>
        </w:rPr>
        <w:t>女性　ｎ</w:t>
      </w:r>
      <w:r>
        <w:rPr>
          <w:rFonts w:hint="eastAsia" w:ascii="ＭＳ Ｐゴシック" w:hAnsi="ＭＳ Ｐゴシック" w:eastAsia="ＭＳ Ｐゴシック"/>
          <w:color w:val="auto"/>
          <w:sz w:val="18"/>
          <w:highlight w:val="none"/>
        </w:rPr>
        <w:t>=3,131</w:t>
      </w:r>
    </w:p>
    <w:p>
      <w:pPr>
        <w:pStyle w:val="0"/>
        <w:spacing w:line="380" w:lineRule="exact"/>
        <w:rPr>
          <w:rFonts w:hint="default"/>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r>
        <w:rPr>
          <w:rFonts w:hint="default" w:ascii="BIZ UDPゴシック" w:hAnsi="BIZ UDPゴシック" w:eastAsia="BIZ UDPゴシック"/>
          <w:color w:val="auto"/>
          <w:highlight w:val="none"/>
        </w:rPr>
        <w:br w:type="page"/>
      </w:r>
    </w:p>
    <w:p>
      <w:pPr>
        <w:pStyle w:val="0"/>
        <w:numPr>
          <w:ilvl w:val="3"/>
          <w:numId w:val="1"/>
        </w:numPr>
        <w:autoSpaceDE w:val="0"/>
        <w:autoSpaceDN w:val="0"/>
        <w:spacing w:line="380" w:lineRule="exact"/>
        <w:ind w:left="1102" w:leftChars="300" w:hanging="442"/>
        <w:rPr>
          <w:rFonts w:hint="default"/>
          <w:color w:val="auto"/>
          <w:highlight w:val="none"/>
        </w:rPr>
      </w:pPr>
      <w:r>
        <w:rPr>
          <w:rFonts w:hint="eastAsia"/>
          <w:color w:val="auto"/>
          <w:highlight w:val="none"/>
        </w:rPr>
        <w:t>月１回以上地域活動へ参加している人では、健康状態がよいと回答した割合が</w:t>
      </w:r>
      <w:r>
        <w:rPr>
          <w:rFonts w:hint="eastAsia"/>
          <w:color w:val="auto"/>
          <w:highlight w:val="none"/>
        </w:rPr>
        <w:t>8</w:t>
      </w:r>
      <w:r>
        <w:rPr>
          <w:rFonts w:hint="default"/>
          <w:color w:val="auto"/>
          <w:highlight w:val="none"/>
        </w:rPr>
        <w:t>3.8</w:t>
      </w:r>
      <w:r>
        <w:rPr>
          <w:rFonts w:hint="eastAsia"/>
          <w:color w:val="auto"/>
          <w:highlight w:val="none"/>
        </w:rPr>
        <w:t>％と高くなっています。</w:t>
      </w:r>
    </w:p>
    <w:p>
      <w:pPr>
        <w:pStyle w:val="0"/>
        <w:autoSpaceDE w:val="0"/>
        <w:autoSpaceDN w:val="0"/>
        <w:spacing w:before="185" w:beforeLines="50" w:beforeAutospacing="0" w:line="380" w:lineRule="exact"/>
        <w:ind w:left="425" w:leftChars="193"/>
        <w:jc w:val="center"/>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図表</w:t>
      </w:r>
      <w:r>
        <w:rPr>
          <w:rFonts w:hint="eastAsia" w:ascii="BIZ UDPゴシック" w:hAnsi="BIZ UDPゴシック" w:eastAsia="BIZ UDPゴシック"/>
          <w:color w:val="auto"/>
          <w:sz w:val="21"/>
          <w:highlight w:val="none"/>
        </w:rPr>
        <w:t>　現在の健康状態（地域活動への参加状況別）</w:t>
      </w:r>
    </w:p>
    <w:p>
      <w:pPr>
        <w:pStyle w:val="0"/>
        <w:rPr>
          <w:rFonts w:hint="default" w:asciiTheme="minorEastAsia" w:hAnsiTheme="minorEastAsia"/>
          <w:color w:val="auto"/>
          <w:highlight w:val="none"/>
        </w:rPr>
      </w:pPr>
      <w:r>
        <w:rPr>
          <w:rFonts w:hint="default"/>
          <w:color w:val="auto"/>
          <w:highlight w:val="none"/>
        </w:rPr>
        <w:drawing>
          <wp:anchor distT="0" distB="0" distL="114300" distR="114300" simplePos="0" relativeHeight="11" behindDoc="1" locked="0" layoutInCell="1" hidden="0" allowOverlap="1">
            <wp:simplePos x="0" y="0"/>
            <wp:positionH relativeFrom="column">
              <wp:posOffset>-66040</wp:posOffset>
            </wp:positionH>
            <wp:positionV relativeFrom="paragraph">
              <wp:posOffset>49530</wp:posOffset>
            </wp:positionV>
            <wp:extent cx="5560695" cy="1254760"/>
            <wp:effectExtent l="0" t="0" r="0" b="0"/>
            <wp:wrapNone/>
            <wp:docPr id="1109" name="Picture 11"/>
            <a:graphic xmlns:a="http://schemas.openxmlformats.org/drawingml/2006/main">
              <a:graphicData uri="http://schemas.openxmlformats.org/drawingml/2006/picture">
                <pic:pic xmlns:pic="http://schemas.openxmlformats.org/drawingml/2006/picture">
                  <pic:nvPicPr>
                    <pic:cNvPr id="1109" name="Picture 11"/>
                    <pic:cNvPicPr>
                      <a:picLocks noChangeAspect="1" noChangeArrowheads="1"/>
                    </pic:cNvPicPr>
                  </pic:nvPicPr>
                  <pic:blipFill>
                    <a:blip r:embed="rId53"/>
                    <a:stretch>
                      <a:fillRect/>
                    </a:stretch>
                  </pic:blipFill>
                  <pic:spPr>
                    <a:xfrm>
                      <a:off x="0" y="0"/>
                      <a:ext cx="5560695" cy="1254760"/>
                    </a:xfrm>
                    <a:prstGeom prst="rect">
                      <a:avLst/>
                    </a:prstGeom>
                    <a:noFill/>
                    <a:ln>
                      <a:noFill/>
                    </a:ln>
                  </pic:spPr>
                </pic:pic>
              </a:graphicData>
            </a:graphic>
          </wp:anchor>
        </w:drawing>
      </w:r>
    </w:p>
    <w:p>
      <w:pPr>
        <w:pStyle w:val="0"/>
        <w:rPr>
          <w:rFonts w:hint="default" w:asciiTheme="minorEastAsia" w:hAnsiTheme="minorEastAsia"/>
          <w:color w:val="auto"/>
          <w:highlight w:val="none"/>
        </w:rPr>
      </w:pPr>
    </w:p>
    <w:p>
      <w:pPr>
        <w:pStyle w:val="0"/>
        <w:rPr>
          <w:rFonts w:hint="default" w:asciiTheme="minorEastAsia" w:hAnsiTheme="minorEastAsia"/>
          <w:color w:val="auto"/>
          <w:highlight w:val="none"/>
        </w:rPr>
      </w:pPr>
    </w:p>
    <w:p>
      <w:pPr>
        <w:pStyle w:val="0"/>
        <w:rPr>
          <w:rFonts w:hint="default" w:asciiTheme="minorEastAsia" w:hAnsiTheme="minorEastAsia"/>
          <w:color w:val="auto"/>
          <w:highlight w:val="none"/>
        </w:rPr>
      </w:pPr>
    </w:p>
    <w:p>
      <w:pPr>
        <w:pStyle w:val="0"/>
        <w:rPr>
          <w:rFonts w:hint="default" w:asciiTheme="minorEastAsia" w:hAnsiTheme="minorEastAsia"/>
          <w:color w:val="auto"/>
          <w:highlight w:val="none"/>
        </w:rPr>
      </w:pPr>
    </w:p>
    <w:p>
      <w:pPr>
        <w:pStyle w:val="0"/>
        <w:widowControl w:val="1"/>
        <w:jc w:val="left"/>
        <w:rPr>
          <w:rFonts w:hint="default" w:ascii="ＭＳ ゴシック" w:hAnsi="ＭＳ ゴシック" w:eastAsia="ＭＳ ゴシック"/>
          <w:color w:val="auto"/>
          <w:sz w:val="20"/>
          <w:highlight w:val="none"/>
        </w:rPr>
      </w:pPr>
    </w:p>
    <w:p>
      <w:pPr>
        <w:pStyle w:val="0"/>
        <w:numPr>
          <w:ilvl w:val="3"/>
          <w:numId w:val="1"/>
        </w:numPr>
        <w:autoSpaceDE w:val="0"/>
        <w:autoSpaceDN w:val="0"/>
        <w:spacing w:line="380" w:lineRule="exact"/>
        <w:ind w:left="1102" w:leftChars="300" w:hanging="442"/>
        <w:rPr>
          <w:rFonts w:hint="default"/>
          <w:color w:val="auto"/>
          <w:highlight w:val="none"/>
        </w:rPr>
      </w:pPr>
      <w:r>
        <w:rPr>
          <w:rFonts w:hint="eastAsia"/>
          <w:color w:val="auto"/>
          <w:highlight w:val="none"/>
        </w:rPr>
        <w:t>生きがいを思いつかない人では、健康状態がよいと回答した人が</w:t>
      </w:r>
      <w:r>
        <w:rPr>
          <w:rFonts w:hint="eastAsia"/>
          <w:color w:val="auto"/>
          <w:highlight w:val="none"/>
        </w:rPr>
        <w:t>59.9</w:t>
      </w:r>
      <w:r>
        <w:rPr>
          <w:rFonts w:hint="eastAsia"/>
          <w:color w:val="auto"/>
          <w:highlight w:val="none"/>
        </w:rPr>
        <w:t>％と低くなっています。</w:t>
      </w:r>
    </w:p>
    <w:p>
      <w:pPr>
        <w:pStyle w:val="0"/>
        <w:autoSpaceDE w:val="0"/>
        <w:autoSpaceDN w:val="0"/>
        <w:spacing w:before="185" w:beforeLines="50" w:beforeAutospacing="0" w:line="380" w:lineRule="exact"/>
        <w:ind w:left="425" w:leftChars="193"/>
        <w:jc w:val="center"/>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図表</w:t>
      </w:r>
      <w:r>
        <w:rPr>
          <w:rFonts w:hint="eastAsia" w:ascii="BIZ UDPゴシック" w:hAnsi="BIZ UDPゴシック" w:eastAsia="BIZ UDPゴシック"/>
          <w:color w:val="auto"/>
          <w:sz w:val="21"/>
          <w:highlight w:val="none"/>
        </w:rPr>
        <w:t>　現在の健康状態（生きがいの有無別）</w:t>
      </w:r>
    </w:p>
    <w:p>
      <w:pPr>
        <w:pStyle w:val="0"/>
        <w:spacing w:line="380" w:lineRule="exact"/>
        <w:rPr>
          <w:rFonts w:hint="default" w:asciiTheme="minorEastAsia" w:hAnsiTheme="minorEastAsia"/>
          <w:color w:val="auto"/>
          <w:highlight w:val="none"/>
        </w:rPr>
      </w:pPr>
      <w:r>
        <w:rPr>
          <w:rFonts w:hint="default"/>
          <w:color w:val="auto"/>
          <w:highlight w:val="none"/>
        </w:rPr>
        <w:drawing>
          <wp:anchor distT="0" distB="0" distL="114300" distR="114300" simplePos="0" relativeHeight="10" behindDoc="1" locked="0" layoutInCell="1" hidden="0" allowOverlap="1">
            <wp:simplePos x="0" y="0"/>
            <wp:positionH relativeFrom="column">
              <wp:posOffset>-67945</wp:posOffset>
            </wp:positionH>
            <wp:positionV relativeFrom="paragraph">
              <wp:posOffset>56515</wp:posOffset>
            </wp:positionV>
            <wp:extent cx="5562600" cy="1250950"/>
            <wp:effectExtent l="0" t="0" r="0" b="0"/>
            <wp:wrapNone/>
            <wp:docPr id="1110" name="Picture 5"/>
            <a:graphic xmlns:a="http://schemas.openxmlformats.org/drawingml/2006/main">
              <a:graphicData uri="http://schemas.openxmlformats.org/drawingml/2006/picture">
                <pic:pic xmlns:pic="http://schemas.openxmlformats.org/drawingml/2006/picture">
                  <pic:nvPicPr>
                    <pic:cNvPr id="1110" name="Picture 5"/>
                    <pic:cNvPicPr>
                      <a:picLocks noChangeAspect="1" noChangeArrowheads="1"/>
                    </pic:cNvPicPr>
                  </pic:nvPicPr>
                  <pic:blipFill>
                    <a:blip r:embed="rId54"/>
                    <a:stretch>
                      <a:fillRect/>
                    </a:stretch>
                  </pic:blipFill>
                  <pic:spPr>
                    <a:xfrm>
                      <a:off x="0" y="0"/>
                      <a:ext cx="5562600" cy="1250950"/>
                    </a:xfrm>
                    <a:prstGeom prst="rect">
                      <a:avLst/>
                    </a:prstGeom>
                    <a:noFill/>
                    <a:ln>
                      <a:noFill/>
                    </a:ln>
                  </pic:spPr>
                </pic:pic>
              </a:graphicData>
            </a:graphic>
          </wp:anchor>
        </w:drawing>
      </w:r>
    </w:p>
    <w:p>
      <w:pPr>
        <w:pStyle w:val="0"/>
        <w:spacing w:line="380" w:lineRule="exact"/>
        <w:rPr>
          <w:rFonts w:hint="default" w:asciiTheme="minorEastAsia" w:hAnsiTheme="minorEastAsia"/>
          <w:color w:val="auto"/>
          <w:highlight w:val="none"/>
        </w:rPr>
      </w:pPr>
    </w:p>
    <w:p>
      <w:pPr>
        <w:pStyle w:val="0"/>
        <w:widowControl w:val="1"/>
        <w:jc w:val="left"/>
        <w:rPr>
          <w:rFonts w:hint="default" w:asciiTheme="minorEastAsia" w:hAnsiTheme="minorEastAsia"/>
          <w:color w:val="auto"/>
          <w:highlight w:val="none"/>
        </w:rPr>
      </w:pPr>
    </w:p>
    <w:p>
      <w:pPr>
        <w:pStyle w:val="0"/>
        <w:widowControl w:val="1"/>
        <w:jc w:val="left"/>
        <w:rPr>
          <w:rFonts w:hint="default" w:asciiTheme="minorEastAsia" w:hAnsiTheme="minorEastAsia"/>
          <w:color w:val="auto"/>
          <w:highlight w:val="none"/>
        </w:rPr>
      </w:pPr>
    </w:p>
    <w:p>
      <w:pPr>
        <w:pStyle w:val="0"/>
        <w:widowControl w:val="1"/>
        <w:jc w:val="left"/>
        <w:rPr>
          <w:rFonts w:hint="default" w:asciiTheme="minorEastAsia" w:hAnsiTheme="minorEastAsia"/>
          <w:color w:val="auto"/>
          <w:highlight w:val="none"/>
        </w:rPr>
      </w:pPr>
    </w:p>
    <w:p>
      <w:pPr>
        <w:pStyle w:val="0"/>
        <w:widowControl w:val="1"/>
        <w:jc w:val="left"/>
        <w:rPr>
          <w:rFonts w:hint="default" w:asciiTheme="minorEastAsia" w:hAnsiTheme="minorEastAsia"/>
          <w:color w:val="auto"/>
          <w:highlight w:val="none"/>
        </w:rPr>
      </w:pPr>
    </w:p>
    <w:p>
      <w:pPr>
        <w:pStyle w:val="30"/>
        <w:spacing w:after="76" w:afterLines="0" w:afterAutospacing="0"/>
        <w:rPr>
          <w:rFonts w:hint="default"/>
          <w:color w:val="auto"/>
          <w:highlight w:val="none"/>
        </w:rPr>
      </w:pPr>
      <w:r>
        <w:rPr>
          <w:rFonts w:hint="eastAsia"/>
          <w:color w:val="auto"/>
          <w:highlight w:val="none"/>
        </w:rPr>
        <w:t>ウ　相談</w:t>
      </w:r>
    </w:p>
    <w:p>
      <w:pPr>
        <w:pStyle w:val="0"/>
        <w:numPr>
          <w:ilvl w:val="3"/>
          <w:numId w:val="1"/>
        </w:numPr>
        <w:autoSpaceDE w:val="0"/>
        <w:autoSpaceDN w:val="0"/>
        <w:spacing w:line="380" w:lineRule="exact"/>
        <w:ind w:left="1102" w:leftChars="300" w:hanging="442"/>
        <w:rPr>
          <w:rFonts w:hint="default"/>
          <w:color w:val="auto"/>
          <w:highlight w:val="none"/>
        </w:rPr>
      </w:pPr>
      <w:r>
        <w:rPr>
          <w:rFonts w:hint="eastAsia"/>
          <w:color w:val="auto"/>
          <w:highlight w:val="none"/>
        </w:rPr>
        <w:t>回答者の心配事や愚痴を聞いてくれる人として、多くの人が家族・親戚や友人等の身近な人を挙げていますが、「聞いてくれる人がいない」人が</w:t>
      </w:r>
      <w:r>
        <w:rPr>
          <w:rFonts w:hint="eastAsia"/>
          <w:color w:val="auto"/>
          <w:highlight w:val="none"/>
        </w:rPr>
        <w:t>4.6</w:t>
      </w:r>
      <w:r>
        <w:rPr>
          <w:rFonts w:hint="eastAsia"/>
          <w:color w:val="auto"/>
          <w:highlight w:val="none"/>
        </w:rPr>
        <w:t>％となっており、男性１人暮らしでは</w:t>
      </w:r>
      <w:r>
        <w:rPr>
          <w:rFonts w:hint="eastAsia"/>
          <w:color w:val="auto"/>
          <w:highlight w:val="none"/>
        </w:rPr>
        <w:t>25.4</w:t>
      </w:r>
      <w:r>
        <w:rPr>
          <w:rFonts w:hint="eastAsia"/>
          <w:color w:val="auto"/>
          <w:highlight w:val="none"/>
        </w:rPr>
        <w:t>％と高くなっています。</w:t>
      </w:r>
    </w:p>
    <w:p>
      <w:pPr>
        <w:pStyle w:val="0"/>
        <w:autoSpaceDE w:val="0"/>
        <w:autoSpaceDN w:val="0"/>
        <w:spacing w:before="185" w:beforeLines="50" w:beforeAutospacing="0" w:line="380" w:lineRule="exact"/>
        <w:ind w:left="425" w:leftChars="193"/>
        <w:jc w:val="center"/>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図表　心配事や愚痴を聞いてくれる人（性・家族構成別）</w:t>
      </w:r>
    </w:p>
    <w:p>
      <w:pPr>
        <w:pStyle w:val="0"/>
        <w:spacing w:line="380" w:lineRule="exact"/>
        <w:rPr>
          <w:rFonts w:hint="default" w:asciiTheme="minorEastAsia" w:hAnsiTheme="minorEastAsia"/>
          <w:color w:val="auto"/>
          <w:highlight w:val="none"/>
        </w:rPr>
      </w:pPr>
      <w:r>
        <w:rPr>
          <w:rFonts w:hint="default"/>
          <w:color w:val="auto"/>
          <w:highlight w:val="none"/>
        </w:rPr>
        <w:drawing>
          <wp:anchor distT="0" distB="0" distL="114300" distR="114300" simplePos="0" relativeHeight="16" behindDoc="1" locked="0" layoutInCell="1" hidden="0" allowOverlap="1">
            <wp:simplePos x="0" y="0"/>
            <wp:positionH relativeFrom="column">
              <wp:posOffset>-231140</wp:posOffset>
            </wp:positionH>
            <wp:positionV relativeFrom="paragraph">
              <wp:posOffset>110490</wp:posOffset>
            </wp:positionV>
            <wp:extent cx="6244590" cy="1461770"/>
            <wp:effectExtent l="0" t="0" r="0" b="0"/>
            <wp:wrapNone/>
            <wp:docPr id="1111" name="Picture 170"/>
            <a:graphic xmlns:a="http://schemas.openxmlformats.org/drawingml/2006/main">
              <a:graphicData uri="http://schemas.openxmlformats.org/drawingml/2006/picture">
                <pic:pic xmlns:pic="http://schemas.openxmlformats.org/drawingml/2006/picture">
                  <pic:nvPicPr>
                    <pic:cNvPr id="1111" name="Picture 170"/>
                    <pic:cNvPicPr>
                      <a:picLocks noChangeAspect="1" noChangeArrowheads="1"/>
                    </pic:cNvPicPr>
                  </pic:nvPicPr>
                  <pic:blipFill>
                    <a:blip r:embed="rId55"/>
                    <a:stretch>
                      <a:fillRect/>
                    </a:stretch>
                  </pic:blipFill>
                  <pic:spPr>
                    <a:xfrm>
                      <a:off x="0" y="0"/>
                      <a:ext cx="6244590" cy="1461770"/>
                    </a:xfrm>
                    <a:prstGeom prst="rect">
                      <a:avLst/>
                    </a:prstGeom>
                    <a:noFill/>
                    <a:ln>
                      <a:noFill/>
                    </a:ln>
                  </pic:spPr>
                </pic:pic>
              </a:graphicData>
            </a:graphic>
          </wp:anchor>
        </w:drawing>
      </w:r>
    </w:p>
    <w:p>
      <w:pPr>
        <w:pStyle w:val="0"/>
        <w:spacing w:line="380" w:lineRule="exact"/>
        <w:rPr>
          <w:rFonts w:hint="default" w:asciiTheme="minorEastAsia" w:hAnsiTheme="minorEastAsia"/>
          <w:color w:val="auto"/>
          <w:highlight w:val="none"/>
        </w:rPr>
      </w:pPr>
    </w:p>
    <w:p>
      <w:pPr>
        <w:pStyle w:val="0"/>
        <w:spacing w:line="380" w:lineRule="exact"/>
        <w:rPr>
          <w:rFonts w:hint="default" w:asciiTheme="minorEastAsia" w:hAnsiTheme="minorEastAsia"/>
          <w:color w:val="auto"/>
          <w:highlight w:val="none"/>
        </w:rPr>
      </w:pPr>
    </w:p>
    <w:p>
      <w:pPr>
        <w:pStyle w:val="0"/>
        <w:spacing w:line="380" w:lineRule="exact"/>
        <w:rPr>
          <w:rFonts w:hint="default" w:asciiTheme="minorEastAsia" w:hAnsiTheme="minorEastAsia"/>
          <w:color w:val="auto"/>
          <w:highlight w:val="none"/>
        </w:rPr>
      </w:pPr>
    </w:p>
    <w:p>
      <w:pPr>
        <w:pStyle w:val="0"/>
        <w:spacing w:line="380" w:lineRule="exact"/>
        <w:rPr>
          <w:rFonts w:hint="default" w:asciiTheme="minorEastAsia" w:hAnsiTheme="minorEastAsia"/>
          <w:color w:val="auto"/>
          <w:highlight w:val="none"/>
        </w:rPr>
      </w:pPr>
    </w:p>
    <w:p>
      <w:pPr>
        <w:pStyle w:val="0"/>
        <w:spacing w:line="380" w:lineRule="exact"/>
        <w:rPr>
          <w:rFonts w:hint="default" w:asciiTheme="minorEastAsia" w:hAnsiTheme="minorEastAsia"/>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r>
        <w:rPr>
          <w:rFonts w:hint="default" w:ascii="BIZ UDPゴシック" w:hAnsi="BIZ UDPゴシック" w:eastAsia="BIZ UDPゴシック"/>
          <w:color w:val="auto"/>
          <w:highlight w:val="none"/>
        </w:rPr>
        <w:br w:type="page"/>
      </w:r>
    </w:p>
    <w:p>
      <w:pPr>
        <w:pStyle w:val="30"/>
        <w:spacing w:after="76" w:afterLines="0" w:afterAutospacing="0"/>
        <w:rPr>
          <w:rFonts w:hint="default"/>
          <w:color w:val="auto"/>
          <w:highlight w:val="none"/>
        </w:rPr>
      </w:pPr>
      <w:r>
        <w:rPr>
          <w:rFonts w:hint="eastAsia"/>
          <w:color w:val="auto"/>
          <w:highlight w:val="none"/>
        </w:rPr>
        <w:t>エ　認知症</w:t>
      </w:r>
    </w:p>
    <w:p>
      <w:pPr>
        <w:pStyle w:val="0"/>
        <w:numPr>
          <w:ilvl w:val="3"/>
          <w:numId w:val="1"/>
        </w:numPr>
        <w:autoSpaceDE w:val="0"/>
        <w:autoSpaceDN w:val="0"/>
        <w:spacing w:line="380" w:lineRule="exact"/>
        <w:ind w:left="1102" w:leftChars="300" w:hanging="442"/>
        <w:rPr>
          <w:rFonts w:hint="default"/>
          <w:color w:val="auto"/>
          <w:highlight w:val="none"/>
        </w:rPr>
      </w:pPr>
      <w:r>
        <w:rPr>
          <w:rFonts w:hint="eastAsia"/>
          <w:color w:val="auto"/>
          <w:highlight w:val="none"/>
        </w:rPr>
        <w:t>認知症に関する相談窓口を知っている人の割合は</w:t>
      </w:r>
      <w:r>
        <w:rPr>
          <w:rFonts w:hint="eastAsia"/>
          <w:color w:val="auto"/>
          <w:highlight w:val="none"/>
        </w:rPr>
        <w:t>28.9</w:t>
      </w:r>
      <w:r>
        <w:rPr>
          <w:rFonts w:hint="eastAsia"/>
          <w:color w:val="auto"/>
          <w:highlight w:val="none"/>
        </w:rPr>
        <w:t>％と低くなっており、本人または家族に認知症の症状がある人においても４割を超える人が「知らない」と回答しています。</w:t>
      </w:r>
    </w:p>
    <w:p>
      <w:pPr>
        <w:pStyle w:val="0"/>
        <w:autoSpaceDE w:val="0"/>
        <w:autoSpaceDN w:val="0"/>
        <w:spacing w:before="185" w:beforeLines="50" w:beforeAutospacing="0" w:line="380" w:lineRule="exact"/>
        <w:jc w:val="center"/>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図表</w:t>
      </w:r>
      <w:r>
        <w:rPr>
          <w:rFonts w:hint="eastAsia" w:ascii="BIZ UDPゴシック" w:hAnsi="BIZ UDPゴシック" w:eastAsia="BIZ UDPゴシック"/>
          <w:color w:val="auto"/>
          <w:sz w:val="21"/>
          <w:highlight w:val="none"/>
        </w:rPr>
        <w:t>　認知症に関する相談窓口の認知度（本人または家族に認知症の症状がある人の有無別）</w:t>
      </w:r>
    </w:p>
    <w:p>
      <w:pPr>
        <w:pStyle w:val="0"/>
        <w:spacing w:line="380" w:lineRule="exact"/>
        <w:rPr>
          <w:rFonts w:hint="default"/>
          <w:color w:val="auto"/>
          <w:highlight w:val="none"/>
        </w:rPr>
      </w:pPr>
      <w:r>
        <w:rPr>
          <w:rFonts w:hint="default"/>
          <w:color w:val="auto"/>
          <w:highlight w:val="none"/>
        </w:rPr>
        <w:drawing>
          <wp:anchor distT="0" distB="0" distL="114300" distR="114300" simplePos="0" relativeHeight="12" behindDoc="1" locked="0" layoutInCell="1" hidden="0" allowOverlap="1">
            <wp:simplePos x="0" y="0"/>
            <wp:positionH relativeFrom="column">
              <wp:posOffset>-96520</wp:posOffset>
            </wp:positionH>
            <wp:positionV relativeFrom="paragraph">
              <wp:posOffset>78105</wp:posOffset>
            </wp:positionV>
            <wp:extent cx="5560695" cy="1254760"/>
            <wp:effectExtent l="0" t="0" r="0" b="0"/>
            <wp:wrapNone/>
            <wp:docPr id="1112" name="Picture 17"/>
            <a:graphic xmlns:a="http://schemas.openxmlformats.org/drawingml/2006/main">
              <a:graphicData uri="http://schemas.openxmlformats.org/drawingml/2006/picture">
                <pic:pic xmlns:pic="http://schemas.openxmlformats.org/drawingml/2006/picture">
                  <pic:nvPicPr>
                    <pic:cNvPr id="1112" name="Picture 17"/>
                    <pic:cNvPicPr>
                      <a:picLocks noChangeAspect="1" noChangeArrowheads="1"/>
                    </pic:cNvPicPr>
                  </pic:nvPicPr>
                  <pic:blipFill>
                    <a:blip r:embed="rId56"/>
                    <a:stretch>
                      <a:fillRect/>
                    </a:stretch>
                  </pic:blipFill>
                  <pic:spPr>
                    <a:xfrm>
                      <a:off x="0" y="0"/>
                      <a:ext cx="5560695" cy="1254760"/>
                    </a:xfrm>
                    <a:prstGeom prst="rect">
                      <a:avLst/>
                    </a:prstGeom>
                    <a:noFill/>
                    <a:ln>
                      <a:noFill/>
                    </a:ln>
                  </pic:spPr>
                </pic:pic>
              </a:graphicData>
            </a:graphic>
          </wp:anchor>
        </w:drawing>
      </w: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numPr>
          <w:ilvl w:val="3"/>
          <w:numId w:val="1"/>
        </w:numPr>
        <w:autoSpaceDE w:val="0"/>
        <w:autoSpaceDN w:val="0"/>
        <w:spacing w:line="380" w:lineRule="exact"/>
        <w:ind w:left="1102" w:leftChars="300" w:hanging="442"/>
        <w:rPr>
          <w:rFonts w:hint="default"/>
          <w:color w:val="auto"/>
          <w:highlight w:val="none"/>
        </w:rPr>
      </w:pPr>
      <w:r>
        <w:rPr>
          <w:rFonts w:hint="eastAsia"/>
          <w:color w:val="auto"/>
          <w:highlight w:val="none"/>
        </w:rPr>
        <w:t>認知症対策として重要だと思うこととして、「早期発見・早期診療の仕組みづくり」と回答した人の割合が最も高くなっています。</w:t>
      </w:r>
    </w:p>
    <w:p>
      <w:pPr>
        <w:pStyle w:val="0"/>
        <w:autoSpaceDE w:val="0"/>
        <w:autoSpaceDN w:val="0"/>
        <w:spacing w:before="185" w:beforeLines="50" w:beforeAutospacing="0" w:line="380" w:lineRule="exact"/>
        <w:ind w:left="425" w:leftChars="193"/>
        <w:jc w:val="center"/>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drawing>
          <wp:anchor distT="0" distB="0" distL="114300" distR="114300" simplePos="0" relativeHeight="17" behindDoc="0" locked="0" layoutInCell="1" hidden="0" allowOverlap="1">
            <wp:simplePos x="0" y="0"/>
            <wp:positionH relativeFrom="column">
              <wp:posOffset>-100330</wp:posOffset>
            </wp:positionH>
            <wp:positionV relativeFrom="paragraph">
              <wp:posOffset>302895</wp:posOffset>
            </wp:positionV>
            <wp:extent cx="5759450" cy="3589020"/>
            <wp:effectExtent l="0" t="0" r="0" b="0"/>
            <wp:wrapNone/>
            <wp:docPr id="1113" name="Picture 4"/>
            <a:graphic xmlns:a="http://schemas.openxmlformats.org/drawingml/2006/main">
              <a:graphicData uri="http://schemas.openxmlformats.org/drawingml/2006/picture">
                <pic:pic xmlns:pic="http://schemas.openxmlformats.org/drawingml/2006/picture">
                  <pic:nvPicPr>
                    <pic:cNvPr id="1113" name="Picture 4"/>
                    <pic:cNvPicPr>
                      <a:picLocks noChangeAspect="1" noChangeArrowheads="1"/>
                    </pic:cNvPicPr>
                  </pic:nvPicPr>
                  <pic:blipFill>
                    <a:blip r:embed="rId57"/>
                    <a:stretch>
                      <a:fillRect/>
                    </a:stretch>
                  </pic:blipFill>
                  <pic:spPr>
                    <a:xfrm>
                      <a:off x="0" y="0"/>
                      <a:ext cx="5759450" cy="3589020"/>
                    </a:xfrm>
                    <a:prstGeom prst="rect">
                      <a:avLst/>
                    </a:prstGeom>
                    <a:noFill/>
                    <a:ln>
                      <a:noFill/>
                    </a:ln>
                  </pic:spPr>
                </pic:pic>
              </a:graphicData>
            </a:graphic>
          </wp:anchor>
        </w:drawing>
      </w:r>
      <w:r>
        <w:rPr>
          <w:rFonts w:hint="eastAsia" w:ascii="BIZ UDPゴシック" w:hAnsi="BIZ UDPゴシック" w:eastAsia="BIZ UDPゴシック"/>
          <w:color w:val="auto"/>
          <w:sz w:val="21"/>
          <w:highlight w:val="none"/>
        </w:rPr>
        <w:t>図表　認知症対策として重要だと思うこと</w:t>
      </w: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ascii="BIZ UDPゴシック" w:hAnsi="BIZ UDPゴシック" w:eastAsia="BIZ UDPゴシック"/>
          <w:color w:val="auto"/>
          <w:highlight w:val="none"/>
        </w:rPr>
      </w:pPr>
      <w:r>
        <w:rPr>
          <w:rFonts w:hint="default" w:ascii="BIZ UDPゴシック" w:hAnsi="BIZ UDPゴシック" w:eastAsia="BIZ UDPゴシック"/>
          <w:color w:val="auto"/>
          <w:highlight w:val="none"/>
        </w:rPr>
        <w:br w:type="page"/>
      </w:r>
    </w:p>
    <w:p>
      <w:pPr>
        <w:pStyle w:val="30"/>
        <w:spacing w:after="76" w:afterLines="0" w:afterAutospacing="0"/>
        <w:rPr>
          <w:rFonts w:hint="default"/>
          <w:color w:val="auto"/>
          <w:highlight w:val="none"/>
        </w:rPr>
      </w:pPr>
      <w:r>
        <w:rPr>
          <w:rFonts w:hint="eastAsia"/>
          <w:color w:val="auto"/>
          <w:highlight w:val="none"/>
        </w:rPr>
        <w:t>オ　在宅生活の継続</w:t>
      </w:r>
    </w:p>
    <w:p>
      <w:pPr>
        <w:pStyle w:val="0"/>
        <w:numPr>
          <w:ilvl w:val="3"/>
          <w:numId w:val="1"/>
        </w:numPr>
        <w:autoSpaceDE w:val="0"/>
        <w:autoSpaceDN w:val="0"/>
        <w:spacing w:line="380" w:lineRule="exact"/>
        <w:ind w:left="1102" w:leftChars="300" w:hanging="442"/>
        <w:rPr>
          <w:rFonts w:hint="default"/>
          <w:color w:val="auto"/>
          <w:highlight w:val="none"/>
        </w:rPr>
      </w:pPr>
      <w:r>
        <w:rPr>
          <w:rFonts w:hint="eastAsia"/>
          <w:color w:val="auto"/>
          <w:highlight w:val="none"/>
        </w:rPr>
        <w:t>将来、介護が必要になった場合の希望として、「介護保険制度のサービスなどを使いながら、自宅で介護してほしい」と回答した人の割合が</w:t>
      </w:r>
      <w:r>
        <w:rPr>
          <w:rFonts w:hint="eastAsia"/>
          <w:color w:val="auto"/>
          <w:highlight w:val="none"/>
        </w:rPr>
        <w:t>42.6</w:t>
      </w:r>
      <w:r>
        <w:rPr>
          <w:rFonts w:hint="eastAsia"/>
          <w:color w:val="auto"/>
          <w:highlight w:val="none"/>
        </w:rPr>
        <w:t>％となっています。</w:t>
      </w:r>
    </w:p>
    <w:p>
      <w:pPr>
        <w:pStyle w:val="0"/>
        <w:autoSpaceDE w:val="0"/>
        <w:autoSpaceDN w:val="0"/>
        <w:spacing w:line="380" w:lineRule="exact"/>
        <w:ind w:left="425" w:leftChars="193"/>
        <w:jc w:val="center"/>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drawing>
          <wp:anchor distT="0" distB="0" distL="114300" distR="114300" simplePos="0" relativeHeight="13" behindDoc="1" locked="0" layoutInCell="1" hidden="0" allowOverlap="1">
            <wp:simplePos x="0" y="0"/>
            <wp:positionH relativeFrom="column">
              <wp:posOffset>-282575</wp:posOffset>
            </wp:positionH>
            <wp:positionV relativeFrom="paragraph">
              <wp:posOffset>269240</wp:posOffset>
            </wp:positionV>
            <wp:extent cx="6127115" cy="2593975"/>
            <wp:effectExtent l="0" t="0" r="0" b="0"/>
            <wp:wrapNone/>
            <wp:docPr id="1114" name="Picture 1"/>
            <a:graphic xmlns:a="http://schemas.openxmlformats.org/drawingml/2006/main">
              <a:graphicData uri="http://schemas.openxmlformats.org/drawingml/2006/picture">
                <pic:pic xmlns:pic="http://schemas.openxmlformats.org/drawingml/2006/picture">
                  <pic:nvPicPr>
                    <pic:cNvPr id="1114" name="Picture 1"/>
                    <pic:cNvPicPr>
                      <a:picLocks noChangeAspect="1" noChangeArrowheads="1"/>
                    </pic:cNvPicPr>
                  </pic:nvPicPr>
                  <pic:blipFill>
                    <a:blip r:embed="rId58"/>
                    <a:stretch>
                      <a:fillRect/>
                    </a:stretch>
                  </pic:blipFill>
                  <pic:spPr>
                    <a:xfrm>
                      <a:off x="0" y="0"/>
                      <a:ext cx="6127115" cy="2593975"/>
                    </a:xfrm>
                    <a:prstGeom prst="rect">
                      <a:avLst/>
                    </a:prstGeom>
                    <a:noFill/>
                    <a:ln>
                      <a:noFill/>
                    </a:ln>
                  </pic:spPr>
                </pic:pic>
              </a:graphicData>
            </a:graphic>
          </wp:anchor>
        </w:drawing>
      </w:r>
      <w:r>
        <w:rPr>
          <w:rFonts w:hint="eastAsia" w:ascii="BIZ UDPゴシック" w:hAnsi="BIZ UDPゴシック" w:eastAsia="BIZ UDPゴシック"/>
          <w:color w:val="auto"/>
          <w:sz w:val="21"/>
          <w:highlight w:val="none"/>
        </w:rPr>
        <w:t>図表　介護が必要になった場合の希望</w:t>
      </w:r>
    </w:p>
    <w:p>
      <w:pPr>
        <w:pStyle w:val="0"/>
        <w:jc w:val="left"/>
        <w:rPr>
          <w:rFonts w:hint="default" w:ascii="ＭＳ ゴシック" w:hAnsi="ＭＳ ゴシック" w:eastAsia="ＭＳ ゴシック"/>
          <w:color w:val="auto"/>
          <w:sz w:val="20"/>
          <w:highlight w:val="none"/>
        </w:rPr>
      </w:pPr>
    </w:p>
    <w:p>
      <w:pPr>
        <w:pStyle w:val="0"/>
        <w:jc w:val="left"/>
        <w:rPr>
          <w:rFonts w:hint="default" w:ascii="ＭＳ ゴシック" w:hAnsi="ＭＳ ゴシック" w:eastAsia="ＭＳ ゴシック"/>
          <w:color w:val="auto"/>
          <w:sz w:val="20"/>
          <w:highlight w:val="none"/>
        </w:rPr>
      </w:pPr>
    </w:p>
    <w:p>
      <w:pPr>
        <w:pStyle w:val="0"/>
        <w:jc w:val="left"/>
        <w:rPr>
          <w:rFonts w:hint="default" w:ascii="ＭＳ ゴシック" w:hAnsi="ＭＳ ゴシック" w:eastAsia="ＭＳ ゴシック"/>
          <w:color w:val="auto"/>
          <w:sz w:val="20"/>
          <w:highlight w:val="none"/>
        </w:rPr>
      </w:pPr>
    </w:p>
    <w:p>
      <w:pPr>
        <w:pStyle w:val="0"/>
        <w:jc w:val="left"/>
        <w:rPr>
          <w:rFonts w:hint="default" w:ascii="ＭＳ ゴシック" w:hAnsi="ＭＳ ゴシック" w:eastAsia="ＭＳ ゴシック"/>
          <w:color w:val="auto"/>
          <w:sz w:val="20"/>
          <w:highlight w:val="none"/>
        </w:rPr>
      </w:pPr>
    </w:p>
    <w:p>
      <w:pPr>
        <w:pStyle w:val="0"/>
        <w:jc w:val="left"/>
        <w:rPr>
          <w:rFonts w:hint="default" w:ascii="ＭＳ ゴシック" w:hAnsi="ＭＳ ゴシック" w:eastAsia="ＭＳ ゴシック"/>
          <w:color w:val="auto"/>
          <w:sz w:val="20"/>
          <w:highlight w:val="none"/>
        </w:rPr>
      </w:pPr>
    </w:p>
    <w:p>
      <w:pPr>
        <w:pStyle w:val="0"/>
        <w:jc w:val="left"/>
        <w:rPr>
          <w:rFonts w:hint="default" w:ascii="ＭＳ ゴシック" w:hAnsi="ＭＳ ゴシック" w:eastAsia="ＭＳ ゴシック"/>
          <w:color w:val="auto"/>
          <w:sz w:val="20"/>
          <w:highlight w:val="none"/>
        </w:rPr>
      </w:pPr>
    </w:p>
    <w:p>
      <w:pPr>
        <w:pStyle w:val="0"/>
        <w:jc w:val="left"/>
        <w:rPr>
          <w:rFonts w:hint="default" w:ascii="ＭＳ ゴシック" w:hAnsi="ＭＳ ゴシック" w:eastAsia="ＭＳ ゴシック"/>
          <w:color w:val="auto"/>
          <w:sz w:val="20"/>
          <w:highlight w:val="none"/>
        </w:rPr>
      </w:pPr>
    </w:p>
    <w:p>
      <w:pPr>
        <w:pStyle w:val="0"/>
        <w:jc w:val="left"/>
        <w:rPr>
          <w:rFonts w:hint="default" w:ascii="ＭＳ ゴシック" w:hAnsi="ＭＳ ゴシック" w:eastAsia="ＭＳ ゴシック"/>
          <w:color w:val="auto"/>
          <w:sz w:val="20"/>
          <w:highlight w:val="none"/>
        </w:rPr>
      </w:pPr>
    </w:p>
    <w:p>
      <w:pPr>
        <w:pStyle w:val="0"/>
        <w:jc w:val="left"/>
        <w:rPr>
          <w:rFonts w:hint="default" w:ascii="ＭＳ ゴシック" w:hAnsi="ＭＳ ゴシック" w:eastAsia="ＭＳ ゴシック"/>
          <w:color w:val="auto"/>
          <w:sz w:val="20"/>
          <w:highlight w:val="none"/>
        </w:rPr>
      </w:pPr>
    </w:p>
    <w:p>
      <w:pPr>
        <w:pStyle w:val="0"/>
        <w:jc w:val="left"/>
        <w:rPr>
          <w:rFonts w:hint="default" w:ascii="ＭＳ ゴシック" w:hAnsi="ＭＳ ゴシック" w:eastAsia="ＭＳ ゴシック"/>
          <w:color w:val="auto"/>
          <w:sz w:val="20"/>
          <w:highlight w:val="none"/>
        </w:rPr>
      </w:pPr>
    </w:p>
    <w:p>
      <w:pPr>
        <w:pStyle w:val="0"/>
        <w:jc w:val="left"/>
        <w:rPr>
          <w:rFonts w:hint="default" w:ascii="ＭＳ ゴシック" w:hAnsi="ＭＳ ゴシック" w:eastAsia="ＭＳ ゴシック"/>
          <w:color w:val="auto"/>
          <w:sz w:val="20"/>
          <w:highlight w:val="none"/>
        </w:rPr>
      </w:pPr>
    </w:p>
    <w:p>
      <w:pPr>
        <w:pStyle w:val="0"/>
        <w:numPr>
          <w:ilvl w:val="3"/>
          <w:numId w:val="1"/>
        </w:numPr>
        <w:autoSpaceDE w:val="0"/>
        <w:autoSpaceDN w:val="0"/>
        <w:spacing w:line="380" w:lineRule="exact"/>
        <w:ind w:left="1102" w:leftChars="300" w:hanging="442"/>
        <w:rPr>
          <w:rFonts w:hint="default"/>
          <w:color w:val="auto"/>
          <w:highlight w:val="none"/>
        </w:rPr>
      </w:pPr>
      <w:r>
        <w:rPr>
          <w:rFonts w:hint="eastAsia"/>
          <w:color w:val="auto"/>
          <w:highlight w:val="none"/>
        </w:rPr>
        <w:t>地域包括支援センターを知っている人の割合は</w:t>
      </w:r>
      <w:r>
        <w:rPr>
          <w:rFonts w:hint="default"/>
          <w:color w:val="auto"/>
          <w:highlight w:val="none"/>
        </w:rPr>
        <w:t>39.8</w:t>
      </w:r>
      <w:r>
        <w:rPr>
          <w:rFonts w:hint="eastAsia"/>
          <w:color w:val="auto"/>
          <w:highlight w:val="none"/>
        </w:rPr>
        <w:t>％であり、過去調査結果よりも上昇しています。</w:t>
      </w:r>
    </w:p>
    <w:p>
      <w:pPr>
        <w:pStyle w:val="0"/>
        <w:autoSpaceDE w:val="0"/>
        <w:autoSpaceDN w:val="0"/>
        <w:spacing w:before="185" w:beforeLines="50" w:beforeAutospacing="0" w:line="380" w:lineRule="exact"/>
        <w:ind w:left="425" w:leftChars="193"/>
        <w:jc w:val="center"/>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図表　地域包括支援センターの認知度（前回調査結果との比較）</w:t>
      </w:r>
    </w:p>
    <w:p>
      <w:pPr>
        <w:pStyle w:val="0"/>
        <w:rPr>
          <w:rFonts w:hint="default" w:ascii="ＭＳ 明朝" w:hAnsi="ＭＳ 明朝"/>
          <w:color w:val="auto"/>
          <w:highlight w:val="none"/>
        </w:rPr>
      </w:pPr>
      <w:r>
        <w:rPr>
          <w:rFonts w:hint="eastAsia"/>
          <w:color w:val="auto"/>
          <w:highlight w:val="none"/>
        </w:rPr>
        <w:drawing>
          <wp:anchor distT="0" distB="0" distL="114300" distR="114300" simplePos="0" relativeHeight="18" behindDoc="0" locked="0" layoutInCell="1" hidden="0" allowOverlap="1">
            <wp:simplePos x="0" y="0"/>
            <wp:positionH relativeFrom="column">
              <wp:posOffset>-100965</wp:posOffset>
            </wp:positionH>
            <wp:positionV relativeFrom="paragraph">
              <wp:posOffset>129540</wp:posOffset>
            </wp:positionV>
            <wp:extent cx="5562600" cy="1676400"/>
            <wp:effectExtent l="0" t="0" r="0" b="0"/>
            <wp:wrapNone/>
            <wp:docPr id="1115" name="Picture 17"/>
            <a:graphic xmlns:a="http://schemas.openxmlformats.org/drawingml/2006/main">
              <a:graphicData uri="http://schemas.openxmlformats.org/drawingml/2006/picture">
                <pic:pic xmlns:pic="http://schemas.openxmlformats.org/drawingml/2006/picture">
                  <pic:nvPicPr>
                    <pic:cNvPr id="1115" name="Picture 17"/>
                    <pic:cNvPicPr>
                      <a:picLocks noChangeAspect="1" noChangeArrowheads="1"/>
                    </pic:cNvPicPr>
                  </pic:nvPicPr>
                  <pic:blipFill>
                    <a:blip r:embed="rId59"/>
                    <a:stretch>
                      <a:fillRect/>
                    </a:stretch>
                  </pic:blipFill>
                  <pic:spPr>
                    <a:xfrm>
                      <a:off x="0" y="0"/>
                      <a:ext cx="5562600" cy="1676400"/>
                    </a:xfrm>
                    <a:prstGeom prst="rect">
                      <a:avLst/>
                    </a:prstGeom>
                    <a:noFill/>
                    <a:ln>
                      <a:noFill/>
                    </a:ln>
                  </pic:spPr>
                </pic:pic>
              </a:graphicData>
            </a:graphic>
          </wp:anchor>
        </w:drawing>
      </w:r>
    </w:p>
    <w:p>
      <w:pPr>
        <w:pStyle w:val="0"/>
        <w:rPr>
          <w:rFonts w:hint="default" w:ascii="ＭＳ 明朝" w:hAnsi="ＭＳ 明朝"/>
          <w:color w:val="auto"/>
          <w:highlight w:val="none"/>
        </w:rPr>
      </w:pPr>
    </w:p>
    <w:p>
      <w:pPr>
        <w:pStyle w:val="0"/>
        <w:rPr>
          <w:rFonts w:hint="default" w:ascii="ＭＳ 明朝" w:hAnsi="ＭＳ 明朝"/>
          <w:color w:val="auto"/>
          <w:highlight w:val="none"/>
        </w:rPr>
      </w:pPr>
    </w:p>
    <w:p>
      <w:pPr>
        <w:pStyle w:val="0"/>
        <w:rPr>
          <w:rFonts w:hint="default" w:ascii="ＭＳ 明朝" w:hAnsi="ＭＳ 明朝"/>
          <w:color w:val="auto"/>
          <w:highlight w:val="none"/>
        </w:rPr>
      </w:pPr>
    </w:p>
    <w:p>
      <w:pPr>
        <w:pStyle w:val="0"/>
        <w:rPr>
          <w:rFonts w:hint="default" w:ascii="ＭＳ 明朝" w:hAnsi="ＭＳ 明朝"/>
          <w:color w:val="auto"/>
          <w:highlight w:val="none"/>
        </w:rPr>
      </w:pPr>
    </w:p>
    <w:p>
      <w:pPr>
        <w:pStyle w:val="0"/>
        <w:rPr>
          <w:rFonts w:hint="default" w:ascii="ＭＳ 明朝" w:hAnsi="ＭＳ 明朝"/>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numPr>
          <w:ilvl w:val="3"/>
          <w:numId w:val="1"/>
        </w:numPr>
        <w:autoSpaceDE w:val="0"/>
        <w:autoSpaceDN w:val="0"/>
        <w:spacing w:line="380" w:lineRule="exact"/>
        <w:ind w:left="1102" w:leftChars="300" w:hanging="442"/>
        <w:rPr>
          <w:rFonts w:hint="default"/>
          <w:color w:val="auto"/>
          <w:highlight w:val="none"/>
        </w:rPr>
      </w:pPr>
      <w:r>
        <w:rPr>
          <w:rFonts w:hint="eastAsia"/>
          <w:color w:val="auto"/>
          <w:highlight w:val="none"/>
        </w:rPr>
        <w:t>高齢になっても安心して自宅での生活を継続できる地域だと『思う』と回答した人の割合は</w:t>
      </w:r>
      <w:r>
        <w:rPr>
          <w:rFonts w:hint="eastAsia"/>
          <w:color w:val="auto"/>
          <w:highlight w:val="none"/>
        </w:rPr>
        <w:t>62.0</w:t>
      </w:r>
      <w:r>
        <w:rPr>
          <w:rFonts w:hint="eastAsia"/>
          <w:color w:val="auto"/>
          <w:highlight w:val="none"/>
        </w:rPr>
        <w:t>％となっています。</w:t>
      </w:r>
    </w:p>
    <w:p>
      <w:pPr>
        <w:pStyle w:val="79"/>
        <w:spacing w:before="190" w:beforeLines="0" w:beforeAutospacing="0"/>
        <w:rPr>
          <w:rFonts w:hint="default"/>
          <w:color w:val="auto"/>
          <w:highlight w:val="none"/>
        </w:rPr>
      </w:pPr>
      <w:r>
        <w:rPr>
          <w:rFonts w:hint="eastAsia"/>
          <w:color w:val="auto"/>
          <w:highlight w:val="none"/>
        </w:rPr>
        <w:t>図表　高齢になっても安心して自宅生活を継続できる地域への評価</w:t>
      </w:r>
    </w:p>
    <w:p>
      <w:pPr>
        <w:pStyle w:val="0"/>
        <w:spacing w:line="380" w:lineRule="exact"/>
        <w:rPr>
          <w:rFonts w:hint="default" w:ascii="BIZ UDPゴシック" w:hAnsi="BIZ UDPゴシック" w:eastAsia="BIZ UDPゴシック"/>
          <w:color w:val="auto"/>
          <w:highlight w:val="none"/>
        </w:rPr>
      </w:pPr>
      <w:r>
        <w:rPr>
          <w:rFonts w:hint="eastAsia"/>
          <w:color w:val="auto"/>
          <w:highlight w:val="none"/>
        </w:rPr>
        <w:drawing>
          <wp:anchor distT="0" distB="0" distL="114300" distR="114300" simplePos="0" relativeHeight="19" behindDoc="0" locked="0" layoutInCell="1" hidden="0" allowOverlap="1">
            <wp:simplePos x="0" y="0"/>
            <wp:positionH relativeFrom="column">
              <wp:posOffset>91440</wp:posOffset>
            </wp:positionH>
            <wp:positionV relativeFrom="paragraph">
              <wp:posOffset>76200</wp:posOffset>
            </wp:positionV>
            <wp:extent cx="5577840" cy="1024255"/>
            <wp:effectExtent l="0" t="0" r="0" b="0"/>
            <wp:wrapNone/>
            <wp:docPr id="1116" name="Picture 8"/>
            <a:graphic xmlns:a="http://schemas.openxmlformats.org/drawingml/2006/main">
              <a:graphicData uri="http://schemas.openxmlformats.org/drawingml/2006/picture">
                <pic:pic xmlns:pic="http://schemas.openxmlformats.org/drawingml/2006/picture">
                  <pic:nvPicPr>
                    <pic:cNvPr id="1116" name="Picture 8"/>
                    <pic:cNvPicPr>
                      <a:picLocks noChangeAspect="1" noChangeArrowheads="1"/>
                    </pic:cNvPicPr>
                  </pic:nvPicPr>
                  <pic:blipFill>
                    <a:blip r:embed="rId60"/>
                    <a:stretch>
                      <a:fillRect/>
                    </a:stretch>
                  </pic:blipFill>
                  <pic:spPr>
                    <a:xfrm>
                      <a:off x="0" y="0"/>
                      <a:ext cx="5577840" cy="1024255"/>
                    </a:xfrm>
                    <a:prstGeom prst="rect">
                      <a:avLst/>
                    </a:prstGeom>
                    <a:noFill/>
                    <a:ln>
                      <a:noFill/>
                    </a:ln>
                  </pic:spPr>
                </pic:pic>
              </a:graphicData>
            </a:graphic>
          </wp:anchor>
        </w:drawing>
      </w: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r>
        <w:rPr>
          <w:rFonts w:hint="default" w:ascii="BIZ UDPゴシック" w:hAnsi="BIZ UDPゴシック" w:eastAsia="BIZ UDPゴシック"/>
          <w:color w:val="auto"/>
          <w:highlight w:val="none"/>
        </w:rPr>
        <w:br w:type="page"/>
      </w:r>
    </w:p>
    <w:p>
      <w:pPr>
        <w:pStyle w:val="26"/>
        <w:spacing w:after="76" w:afterLines="0" w:afterAutospacing="0"/>
        <w:rPr>
          <w:rFonts w:hint="default"/>
          <w:color w:val="auto"/>
          <w:highlight w:val="none"/>
        </w:rPr>
      </w:pPr>
      <w:bookmarkStart w:id="45" w:name="_Toc152160628"/>
      <w:r>
        <w:rPr>
          <w:rFonts w:hint="eastAsia"/>
          <w:color w:val="auto"/>
          <w:highlight w:val="none"/>
        </w:rPr>
        <w:t>（２）高齢者の保健福祉に関するアンケート調査（圏域別結果）</w:t>
      </w:r>
      <w:bookmarkEnd w:id="45"/>
    </w:p>
    <w:p>
      <w:pPr>
        <w:pStyle w:val="30"/>
        <w:spacing w:after="76" w:afterLines="0" w:afterAutospacing="0"/>
        <w:rPr>
          <w:rFonts w:hint="default"/>
          <w:color w:val="auto"/>
          <w:highlight w:val="none"/>
        </w:rPr>
      </w:pPr>
      <w:r>
        <w:rPr>
          <w:rFonts w:hint="eastAsia"/>
          <w:color w:val="auto"/>
          <w:highlight w:val="none"/>
        </w:rPr>
        <w:t>ア　属性</w:t>
      </w:r>
    </w:p>
    <w:p>
      <w:pPr>
        <w:pStyle w:val="44"/>
        <w:rPr>
          <w:rFonts w:hint="default"/>
          <w:color w:val="auto"/>
          <w:highlight w:val="none"/>
        </w:rPr>
      </w:pPr>
      <w:r>
        <w:rPr>
          <w:rFonts w:hint="eastAsia"/>
          <w:color w:val="auto"/>
          <w:highlight w:val="none"/>
        </w:rPr>
        <w:t>１人暮らしの人の割合は、廿日市東部、吉和、宮島で高くなっています。</w:t>
      </w:r>
    </w:p>
    <w:p>
      <w:pPr>
        <w:pStyle w:val="79"/>
        <w:spacing w:before="190" w:beforeLines="0" w:beforeAutospacing="0"/>
        <w:rPr>
          <w:rFonts w:hint="default"/>
          <w:color w:val="auto"/>
          <w:highlight w:val="none"/>
        </w:rPr>
      </w:pPr>
      <w:r>
        <w:rPr>
          <w:rFonts w:hint="eastAsia"/>
          <w:color w:val="auto"/>
          <w:highlight w:val="none"/>
        </w:rPr>
        <w:t>図表　家族構成（日常生活圏域別）</w:t>
      </w:r>
    </w:p>
    <w:p>
      <w:pPr>
        <w:pStyle w:val="0"/>
        <w:rPr>
          <w:rFonts w:hint="default"/>
          <w:color w:val="auto"/>
          <w:highlight w:val="none"/>
        </w:rPr>
      </w:pPr>
      <w:r>
        <w:rPr>
          <w:rFonts w:hint="eastAsia"/>
          <w:color w:val="auto"/>
          <w:highlight w:val="none"/>
        </w:rPr>
        <w:drawing>
          <wp:anchor distT="0" distB="0" distL="114300" distR="114300" simplePos="0" relativeHeight="83" behindDoc="0" locked="0" layoutInCell="1" hidden="0" allowOverlap="1">
            <wp:simplePos x="0" y="0"/>
            <wp:positionH relativeFrom="column">
              <wp:posOffset>-228600</wp:posOffset>
            </wp:positionH>
            <wp:positionV relativeFrom="paragraph">
              <wp:posOffset>64770</wp:posOffset>
            </wp:positionV>
            <wp:extent cx="5833745" cy="2551430"/>
            <wp:effectExtent l="0" t="0" r="0" b="0"/>
            <wp:wrapNone/>
            <wp:docPr id="1117" name="Picture 4"/>
            <a:graphic xmlns:a="http://schemas.openxmlformats.org/drawingml/2006/main">
              <a:graphicData uri="http://schemas.openxmlformats.org/drawingml/2006/picture">
                <pic:pic xmlns:pic="http://schemas.openxmlformats.org/drawingml/2006/picture">
                  <pic:nvPicPr>
                    <pic:cNvPr id="1117" name="Picture 4"/>
                    <pic:cNvPicPr>
                      <a:picLocks noChangeAspect="1" noChangeArrowheads="1"/>
                    </pic:cNvPicPr>
                  </pic:nvPicPr>
                  <pic:blipFill>
                    <a:blip r:embed="rId61"/>
                    <a:stretch>
                      <a:fillRect/>
                    </a:stretch>
                  </pic:blipFill>
                  <pic:spPr>
                    <a:xfrm>
                      <a:off x="0" y="0"/>
                      <a:ext cx="5833745" cy="2551430"/>
                    </a:xfrm>
                    <a:prstGeom prst="rect">
                      <a:avLst/>
                    </a:prstGeom>
                    <a:noFill/>
                    <a:ln>
                      <a:noFill/>
                    </a:ln>
                  </pic:spPr>
                </pic:pic>
              </a:graphicData>
            </a:graphic>
          </wp:anchor>
        </w:drawing>
      </w: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spacing w:after="185" w:afterLines="50" w:afterAutospacing="0"/>
        <w:rPr>
          <w:rFonts w:hint="default"/>
          <w:color w:val="auto"/>
          <w:highlight w:val="none"/>
        </w:rPr>
      </w:pPr>
    </w:p>
    <w:p>
      <w:pPr>
        <w:pStyle w:val="44"/>
        <w:rPr>
          <w:rFonts w:hint="default"/>
          <w:color w:val="auto"/>
          <w:highlight w:val="none"/>
        </w:rPr>
      </w:pPr>
      <w:r>
        <w:rPr>
          <w:rFonts w:hint="eastAsia"/>
          <w:color w:val="auto"/>
          <w:highlight w:val="none"/>
        </w:rPr>
        <w:t>民間賃貸住宅の割合は、廿日市東部、公営賃貸住宅の割合は廿日市西部、宮島で高くなっています。</w:t>
      </w:r>
    </w:p>
    <w:p>
      <w:pPr>
        <w:pStyle w:val="79"/>
        <w:spacing w:before="190" w:beforeLines="0" w:beforeAutospacing="0"/>
        <w:rPr>
          <w:rFonts w:hint="default"/>
          <w:color w:val="auto"/>
          <w:highlight w:val="none"/>
        </w:rPr>
      </w:pPr>
      <w:r>
        <w:rPr>
          <w:rFonts w:hint="eastAsia"/>
          <w:color w:val="auto"/>
          <w:highlight w:val="none"/>
        </w:rPr>
        <w:t>図表　住居形態（日常生活圏域別）</w:t>
      </w:r>
    </w:p>
    <w:p>
      <w:pPr>
        <w:pStyle w:val="0"/>
        <w:rPr>
          <w:rFonts w:hint="default"/>
          <w:color w:val="auto"/>
          <w:highlight w:val="none"/>
        </w:rPr>
      </w:pPr>
      <w:r>
        <w:rPr>
          <w:rFonts w:hint="eastAsia"/>
          <w:color w:val="auto"/>
          <w:highlight w:val="none"/>
        </w:rPr>
        <w:drawing>
          <wp:anchor distT="0" distB="0" distL="114300" distR="114300" simplePos="0" relativeHeight="84" behindDoc="0" locked="0" layoutInCell="1" hidden="0" allowOverlap="1">
            <wp:simplePos x="0" y="0"/>
            <wp:positionH relativeFrom="column">
              <wp:posOffset>633095</wp:posOffset>
            </wp:positionH>
            <wp:positionV relativeFrom="paragraph">
              <wp:posOffset>71755</wp:posOffset>
            </wp:positionV>
            <wp:extent cx="5067300" cy="1735455"/>
            <wp:effectExtent l="0" t="0" r="0" b="0"/>
            <wp:wrapNone/>
            <wp:docPr id="1118" name="Picture 5"/>
            <a:graphic xmlns:a="http://schemas.openxmlformats.org/drawingml/2006/main">
              <a:graphicData uri="http://schemas.openxmlformats.org/drawingml/2006/picture">
                <pic:pic xmlns:pic="http://schemas.openxmlformats.org/drawingml/2006/picture">
                  <pic:nvPicPr>
                    <pic:cNvPr id="1118" name="Picture 5"/>
                    <pic:cNvPicPr>
                      <a:picLocks noChangeAspect="1" noChangeArrowheads="1"/>
                    </pic:cNvPicPr>
                  </pic:nvPicPr>
                  <pic:blipFill>
                    <a:blip r:embed="rId62"/>
                    <a:stretch>
                      <a:fillRect/>
                    </a:stretch>
                  </pic:blipFill>
                  <pic:spPr>
                    <a:xfrm>
                      <a:off x="0" y="0"/>
                      <a:ext cx="5067300" cy="1735455"/>
                    </a:xfrm>
                    <a:prstGeom prst="rect">
                      <a:avLst/>
                    </a:prstGeom>
                    <a:noFill/>
                    <a:ln>
                      <a:noFill/>
                    </a:ln>
                  </pic:spPr>
                </pic:pic>
              </a:graphicData>
            </a:graphic>
          </wp:anchor>
        </w:drawing>
      </w: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41"/>
        <w:rPr>
          <w:rFonts w:hint="default"/>
          <w:color w:val="auto"/>
          <w:highlight w:val="none"/>
        </w:rPr>
      </w:pPr>
      <w:r>
        <w:rPr>
          <w:rFonts w:hint="default"/>
          <w:color w:val="auto"/>
          <w:highlight w:val="none"/>
        </w:rPr>
        <w:br w:type="page"/>
      </w:r>
    </w:p>
    <w:p>
      <w:pPr>
        <w:pStyle w:val="30"/>
        <w:spacing w:after="76" w:afterLines="0" w:afterAutospacing="0"/>
        <w:rPr>
          <w:rFonts w:hint="default"/>
          <w:color w:val="auto"/>
          <w:highlight w:val="none"/>
        </w:rPr>
      </w:pPr>
      <w:bookmarkStart w:id="46" w:name="_Toc146712915"/>
      <w:r>
        <w:rPr>
          <w:rFonts w:hint="eastAsia"/>
          <w:color w:val="auto"/>
          <w:highlight w:val="none"/>
        </w:rPr>
        <w:t>イ　閉じこもり・外出の状況</w:t>
      </w:r>
    </w:p>
    <w:p>
      <w:pPr>
        <w:pStyle w:val="44"/>
        <w:rPr>
          <w:rFonts w:hint="default"/>
          <w:color w:val="auto"/>
          <w:highlight w:val="none"/>
        </w:rPr>
      </w:pPr>
      <w:bookmarkEnd w:id="46"/>
      <w:r>
        <w:rPr>
          <w:rFonts w:hint="eastAsia"/>
          <w:color w:val="auto"/>
          <w:highlight w:val="none"/>
        </w:rPr>
        <w:t>閉じこもり傾向がある人の割合は、吉和で４割台となっています。</w:t>
      </w:r>
    </w:p>
    <w:p>
      <w:pPr>
        <w:pStyle w:val="79"/>
        <w:spacing w:before="190" w:beforeLines="0" w:beforeAutospacing="0"/>
        <w:rPr>
          <w:rFonts w:hint="default"/>
          <w:color w:val="auto"/>
          <w:highlight w:val="none"/>
        </w:rPr>
      </w:pPr>
      <w:r>
        <w:rPr>
          <w:rFonts w:hint="eastAsia"/>
          <w:color w:val="auto"/>
          <w:highlight w:val="none"/>
        </w:rPr>
        <w:t>図表　閉じこもり傾向（日常生活圏域別）</w:t>
      </w:r>
    </w:p>
    <w:p>
      <w:pPr>
        <w:pStyle w:val="0"/>
        <w:rPr>
          <w:rFonts w:hint="default" w:ascii="ＭＳ 明朝" w:hAnsi="ＭＳ 明朝" w:eastAsia="ＭＳ 明朝"/>
          <w:color w:val="auto"/>
          <w:highlight w:val="none"/>
        </w:rPr>
      </w:pPr>
      <w:r>
        <w:rPr>
          <w:rFonts w:hint="default"/>
          <w:color w:val="auto"/>
          <w:highlight w:val="none"/>
        </w:rPr>
        <w:drawing>
          <wp:anchor distT="0" distB="0" distL="114300" distR="114300" simplePos="0" relativeHeight="81" behindDoc="1" locked="0" layoutInCell="1" hidden="0" allowOverlap="1">
            <wp:simplePos x="0" y="0"/>
            <wp:positionH relativeFrom="column">
              <wp:posOffset>-129540</wp:posOffset>
            </wp:positionH>
            <wp:positionV relativeFrom="paragraph">
              <wp:posOffset>64770</wp:posOffset>
            </wp:positionV>
            <wp:extent cx="5829300" cy="2552700"/>
            <wp:effectExtent l="0" t="0" r="0" b="0"/>
            <wp:wrapNone/>
            <wp:docPr id="1119" name="Picture 8"/>
            <a:graphic xmlns:a="http://schemas.openxmlformats.org/drawingml/2006/main">
              <a:graphicData uri="http://schemas.openxmlformats.org/drawingml/2006/picture">
                <pic:pic xmlns:pic="http://schemas.openxmlformats.org/drawingml/2006/picture">
                  <pic:nvPicPr>
                    <pic:cNvPr id="1119" name="Picture 8"/>
                    <pic:cNvPicPr>
                      <a:picLocks noChangeAspect="1" noChangeArrowheads="1"/>
                    </pic:cNvPicPr>
                  </pic:nvPicPr>
                  <pic:blipFill>
                    <a:blip r:embed="rId63"/>
                    <a:stretch>
                      <a:fillRect/>
                    </a:stretch>
                  </pic:blipFill>
                  <pic:spPr>
                    <a:xfrm>
                      <a:off x="0" y="0"/>
                      <a:ext cx="5829300" cy="2552700"/>
                    </a:xfrm>
                    <a:prstGeom prst="rect">
                      <a:avLst/>
                    </a:prstGeom>
                    <a:noFill/>
                    <a:ln>
                      <a:noFill/>
                    </a:ln>
                  </pic:spPr>
                </pic:pic>
              </a:graphicData>
            </a:graphic>
          </wp:anchor>
        </w:drawing>
      </w: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30"/>
        <w:spacing w:after="76" w:afterLines="0" w:afterAutospacing="0"/>
        <w:rPr>
          <w:rFonts w:hint="default"/>
          <w:color w:val="auto"/>
          <w:highlight w:val="none"/>
        </w:rPr>
      </w:pPr>
      <w:r>
        <w:rPr>
          <w:rFonts w:hint="eastAsia"/>
          <w:color w:val="auto"/>
          <w:highlight w:val="none"/>
        </w:rPr>
        <w:t>ウ　地域活動の状況</w:t>
      </w:r>
    </w:p>
    <w:p>
      <w:pPr>
        <w:pStyle w:val="44"/>
        <w:rPr>
          <w:rFonts w:hint="default"/>
          <w:color w:val="auto"/>
          <w:highlight w:val="none"/>
        </w:rPr>
      </w:pPr>
      <w:r>
        <w:rPr>
          <w:rFonts w:hint="eastAsia"/>
          <w:color w:val="auto"/>
          <w:highlight w:val="none"/>
        </w:rPr>
        <w:t>スポーツ関係のグループやクラブへの参加状況について、『年に数回以上参加している』と回答した人の割合は、廿日市中部、廿日市西部、吉和、大野で２割台となっています。</w:t>
      </w:r>
    </w:p>
    <w:p>
      <w:pPr>
        <w:pStyle w:val="44"/>
        <w:rPr>
          <w:rFonts w:hint="default"/>
          <w:color w:val="auto"/>
          <w:highlight w:val="none"/>
        </w:rPr>
      </w:pPr>
      <w:r>
        <w:rPr>
          <w:rFonts w:hint="eastAsia"/>
          <w:color w:val="auto"/>
          <w:highlight w:val="none"/>
        </w:rPr>
        <w:t>『週１回以上参加している』と回答した人の割合は、廿日市中部、廿日市西部で</w:t>
      </w:r>
      <w:r>
        <w:rPr>
          <w:rFonts w:hint="default"/>
          <w:color w:val="auto"/>
          <w:highlight w:val="none"/>
        </w:rPr>
        <w:t>15</w:t>
      </w:r>
      <w:r>
        <w:rPr>
          <w:rFonts w:hint="default"/>
          <w:color w:val="auto"/>
          <w:highlight w:val="none"/>
        </w:rPr>
        <w:t>％台となってい</w:t>
      </w:r>
      <w:r>
        <w:rPr>
          <w:rFonts w:hint="eastAsia"/>
          <w:color w:val="auto"/>
          <w:highlight w:val="none"/>
        </w:rPr>
        <w:t>ます</w:t>
      </w:r>
      <w:r>
        <w:rPr>
          <w:rFonts w:hint="default"/>
          <w:color w:val="auto"/>
          <w:highlight w:val="none"/>
        </w:rPr>
        <w:t>。</w:t>
      </w:r>
    </w:p>
    <w:p>
      <w:pPr>
        <w:pStyle w:val="79"/>
        <w:spacing w:before="190" w:beforeLines="0" w:beforeAutospacing="0"/>
        <w:rPr>
          <w:rFonts w:hint="default"/>
          <w:color w:val="auto"/>
          <w:highlight w:val="none"/>
        </w:rPr>
      </w:pPr>
      <w:r>
        <w:rPr>
          <w:rFonts w:hint="eastAsia"/>
          <w:color w:val="auto"/>
          <w:highlight w:val="none"/>
        </w:rPr>
        <w:t>図表　スポーツ関係のグループやクラブへの参加状況（日常生活圏域別）</w:t>
      </w:r>
    </w:p>
    <w:p>
      <w:pPr>
        <w:pStyle w:val="0"/>
        <w:rPr>
          <w:rFonts w:hint="default" w:ascii="ＭＳ 明朝" w:hAnsi="ＭＳ 明朝" w:eastAsia="ＭＳ 明朝"/>
          <w:color w:val="auto"/>
          <w:highlight w:val="none"/>
        </w:rPr>
      </w:pPr>
      <w:r>
        <w:rPr>
          <w:rFonts w:hint="default"/>
          <w:color w:val="auto"/>
          <w:highlight w:val="none"/>
        </w:rPr>
        <w:drawing>
          <wp:anchor distT="0" distB="0" distL="114300" distR="114300" simplePos="0" relativeHeight="76" behindDoc="0" locked="0" layoutInCell="1" hidden="0" allowOverlap="1">
            <wp:simplePos x="0" y="0"/>
            <wp:positionH relativeFrom="column">
              <wp:posOffset>-116205</wp:posOffset>
            </wp:positionH>
            <wp:positionV relativeFrom="paragraph">
              <wp:posOffset>80010</wp:posOffset>
            </wp:positionV>
            <wp:extent cx="5830570" cy="2553335"/>
            <wp:effectExtent l="0" t="0" r="0" b="0"/>
            <wp:wrapNone/>
            <wp:docPr id="1120" name="Picture 133"/>
            <a:graphic xmlns:a="http://schemas.openxmlformats.org/drawingml/2006/main">
              <a:graphicData uri="http://schemas.openxmlformats.org/drawingml/2006/picture">
                <pic:pic xmlns:pic="http://schemas.openxmlformats.org/drawingml/2006/picture">
                  <pic:nvPicPr>
                    <pic:cNvPr id="1120" name="Picture 133"/>
                    <pic:cNvPicPr>
                      <a:picLocks noChangeAspect="1" noChangeArrowheads="1"/>
                    </pic:cNvPicPr>
                  </pic:nvPicPr>
                  <pic:blipFill>
                    <a:blip r:embed="rId64"/>
                    <a:stretch>
                      <a:fillRect/>
                    </a:stretch>
                  </pic:blipFill>
                  <pic:spPr>
                    <a:xfrm>
                      <a:off x="0" y="0"/>
                      <a:ext cx="5830570" cy="2553335"/>
                    </a:xfrm>
                    <a:prstGeom prst="rect">
                      <a:avLst/>
                    </a:prstGeom>
                    <a:noFill/>
                    <a:ln>
                      <a:noFill/>
                    </a:ln>
                  </pic:spPr>
                </pic:pic>
              </a:graphicData>
            </a:graphic>
          </wp:anchor>
        </w:drawing>
      </w: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widowControl w:val="1"/>
        <w:jc w:val="left"/>
        <w:rPr>
          <w:rFonts w:hint="default" w:ascii="ＭＳ 明朝" w:hAnsi="ＭＳ 明朝" w:eastAsia="ＭＳ 明朝"/>
          <w:color w:val="auto"/>
          <w:highlight w:val="none"/>
        </w:rPr>
      </w:pPr>
      <w:r>
        <w:rPr>
          <w:rFonts w:hint="default" w:ascii="ＭＳ 明朝" w:hAnsi="ＭＳ 明朝" w:eastAsia="ＭＳ 明朝"/>
          <w:color w:val="auto"/>
          <w:highlight w:val="none"/>
        </w:rPr>
        <w:br w:type="page"/>
      </w:r>
    </w:p>
    <w:p>
      <w:pPr>
        <w:pStyle w:val="44"/>
        <w:rPr>
          <w:rFonts w:hint="default"/>
          <w:color w:val="auto"/>
          <w:highlight w:val="none"/>
        </w:rPr>
      </w:pPr>
      <w:r>
        <w:rPr>
          <w:rFonts w:hint="eastAsia"/>
          <w:color w:val="auto"/>
          <w:highlight w:val="none"/>
        </w:rPr>
        <w:t>町内会・自治会への参加状況について、『年に数回以上参加している』と回答した人の割合は、宮島で４割台となっています。</w:t>
      </w:r>
    </w:p>
    <w:p>
      <w:pPr>
        <w:pStyle w:val="79"/>
        <w:spacing w:before="190" w:beforeLines="0" w:beforeAutospacing="0"/>
        <w:rPr>
          <w:rFonts w:hint="default"/>
          <w:color w:val="auto"/>
          <w:highlight w:val="none"/>
        </w:rPr>
      </w:pPr>
      <w:r>
        <w:rPr>
          <w:rFonts w:hint="eastAsia"/>
          <w:color w:val="auto"/>
          <w:highlight w:val="none"/>
        </w:rPr>
        <w:t>図表　町内会・自治会への参加状況（日常生活圏域別）</w:t>
      </w:r>
    </w:p>
    <w:p>
      <w:pPr>
        <w:pStyle w:val="0"/>
        <w:rPr>
          <w:rFonts w:hint="default" w:ascii="ＭＳ 明朝" w:hAnsi="ＭＳ 明朝" w:eastAsia="ＭＳ 明朝"/>
          <w:color w:val="auto"/>
          <w:highlight w:val="none"/>
        </w:rPr>
      </w:pPr>
      <w:r>
        <w:rPr>
          <w:rFonts w:hint="default"/>
          <w:color w:val="auto"/>
          <w:highlight w:val="none"/>
        </w:rPr>
        <w:drawing>
          <wp:anchor distT="0" distB="0" distL="114300" distR="114300" simplePos="0" relativeHeight="77" behindDoc="0" locked="0" layoutInCell="1" hidden="0" allowOverlap="1">
            <wp:simplePos x="0" y="0"/>
            <wp:positionH relativeFrom="column">
              <wp:posOffset>-123190</wp:posOffset>
            </wp:positionH>
            <wp:positionV relativeFrom="paragraph">
              <wp:posOffset>100330</wp:posOffset>
            </wp:positionV>
            <wp:extent cx="5830570" cy="2553335"/>
            <wp:effectExtent l="0" t="0" r="0" b="0"/>
            <wp:wrapNone/>
            <wp:docPr id="1121" name="Picture 148"/>
            <a:graphic xmlns:a="http://schemas.openxmlformats.org/drawingml/2006/main">
              <a:graphicData uri="http://schemas.openxmlformats.org/drawingml/2006/picture">
                <pic:pic xmlns:pic="http://schemas.openxmlformats.org/drawingml/2006/picture">
                  <pic:nvPicPr>
                    <pic:cNvPr id="1121" name="Picture 148"/>
                    <pic:cNvPicPr>
                      <a:picLocks noChangeAspect="1" noChangeArrowheads="1"/>
                    </pic:cNvPicPr>
                  </pic:nvPicPr>
                  <pic:blipFill>
                    <a:blip r:embed="rId65"/>
                    <a:stretch>
                      <a:fillRect/>
                    </a:stretch>
                  </pic:blipFill>
                  <pic:spPr>
                    <a:xfrm>
                      <a:off x="0" y="0"/>
                      <a:ext cx="5830570" cy="2553335"/>
                    </a:xfrm>
                    <a:prstGeom prst="rect">
                      <a:avLst/>
                    </a:prstGeom>
                    <a:noFill/>
                    <a:ln>
                      <a:noFill/>
                    </a:ln>
                  </pic:spPr>
                </pic:pic>
              </a:graphicData>
            </a:graphic>
          </wp:anchor>
        </w:drawing>
      </w: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44"/>
        <w:rPr>
          <w:rFonts w:hint="default"/>
          <w:color w:val="auto"/>
          <w:highlight w:val="none"/>
        </w:rPr>
      </w:pPr>
      <w:r>
        <w:rPr>
          <w:rFonts w:hint="eastAsia"/>
          <w:color w:val="auto"/>
          <w:highlight w:val="none"/>
        </w:rPr>
        <w:t>収入のある仕事の状況について、『年に数回以上参加している（仕事をしている）』と回答した人の割合は、吉和、宮島で３割台となっています。</w:t>
      </w:r>
    </w:p>
    <w:p>
      <w:pPr>
        <w:pStyle w:val="44"/>
        <w:rPr>
          <w:rFonts w:hint="default"/>
          <w:color w:val="auto"/>
          <w:highlight w:val="none"/>
        </w:rPr>
      </w:pPr>
      <w:r>
        <w:rPr>
          <w:rFonts w:hint="eastAsia"/>
          <w:color w:val="auto"/>
          <w:highlight w:val="none"/>
        </w:rPr>
        <w:t>『週に１回以上参加している（仕事をしている）』と回答した人の割合は、宮島で３割を超えています。</w:t>
      </w:r>
    </w:p>
    <w:p>
      <w:pPr>
        <w:pStyle w:val="79"/>
        <w:spacing w:before="190" w:beforeLines="0" w:beforeAutospacing="0"/>
        <w:rPr>
          <w:rFonts w:hint="default" w:ascii="ＭＳ 明朝" w:hAnsi="ＭＳ 明朝" w:eastAsia="ＭＳ 明朝"/>
          <w:color w:val="auto"/>
          <w:sz w:val="22"/>
          <w:highlight w:val="none"/>
        </w:rPr>
      </w:pPr>
      <w:r>
        <w:rPr>
          <w:rFonts w:hint="eastAsia"/>
          <w:color w:val="auto"/>
          <w:highlight w:val="none"/>
        </w:rPr>
        <w:t>【収入のある仕事の状況（日常生活圏域別）】</w:t>
      </w:r>
    </w:p>
    <w:p>
      <w:pPr>
        <w:pStyle w:val="0"/>
        <w:rPr>
          <w:rFonts w:hint="default" w:ascii="ＭＳ 明朝" w:hAnsi="ＭＳ 明朝" w:eastAsia="ＭＳ 明朝"/>
          <w:color w:val="auto"/>
          <w:highlight w:val="none"/>
        </w:rPr>
      </w:pPr>
      <w:r>
        <w:rPr>
          <w:rFonts w:hint="default"/>
          <w:color w:val="auto"/>
          <w:highlight w:val="none"/>
        </w:rPr>
        <w:drawing>
          <wp:anchor distT="0" distB="0" distL="114300" distR="114300" simplePos="0" relativeHeight="78" behindDoc="1" locked="0" layoutInCell="1" hidden="0" allowOverlap="1">
            <wp:simplePos x="0" y="0"/>
            <wp:positionH relativeFrom="margin">
              <wp:posOffset>-123825</wp:posOffset>
            </wp:positionH>
            <wp:positionV relativeFrom="paragraph">
              <wp:posOffset>114300</wp:posOffset>
            </wp:positionV>
            <wp:extent cx="5830570" cy="2553335"/>
            <wp:effectExtent l="0" t="0" r="0" b="0"/>
            <wp:wrapNone/>
            <wp:docPr id="1122" name="Picture 151"/>
            <a:graphic xmlns:a="http://schemas.openxmlformats.org/drawingml/2006/main">
              <a:graphicData uri="http://schemas.openxmlformats.org/drawingml/2006/picture">
                <pic:pic xmlns:pic="http://schemas.openxmlformats.org/drawingml/2006/picture">
                  <pic:nvPicPr>
                    <pic:cNvPr id="1122" name="Picture 151"/>
                    <pic:cNvPicPr>
                      <a:picLocks noChangeAspect="1" noChangeArrowheads="1"/>
                    </pic:cNvPicPr>
                  </pic:nvPicPr>
                  <pic:blipFill>
                    <a:blip r:embed="rId66"/>
                    <a:stretch>
                      <a:fillRect/>
                    </a:stretch>
                  </pic:blipFill>
                  <pic:spPr>
                    <a:xfrm>
                      <a:off x="0" y="0"/>
                      <a:ext cx="5830570" cy="2553335"/>
                    </a:xfrm>
                    <a:prstGeom prst="rect">
                      <a:avLst/>
                    </a:prstGeom>
                    <a:noFill/>
                    <a:ln>
                      <a:noFill/>
                    </a:ln>
                  </pic:spPr>
                </pic:pic>
              </a:graphicData>
            </a:graphic>
          </wp:anchor>
        </w:drawing>
      </w: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widowControl w:val="1"/>
        <w:jc w:val="left"/>
        <w:rPr>
          <w:rFonts w:hint="default" w:ascii="BIZ UDPゴシック" w:hAnsi="BIZ UDPゴシック" w:eastAsia="BIZ UDPゴシック"/>
          <w:color w:val="auto"/>
          <w:sz w:val="24"/>
          <w:highlight w:val="none"/>
        </w:rPr>
      </w:pPr>
      <w:bookmarkStart w:id="47" w:name="_Toc146712933"/>
      <w:r>
        <w:rPr>
          <w:rFonts w:hint="default" w:ascii="BIZ UDPゴシック" w:hAnsi="BIZ UDPゴシック" w:eastAsia="BIZ UDPゴシック"/>
          <w:color w:val="auto"/>
          <w:highlight w:val="none"/>
        </w:rPr>
        <w:br w:type="page"/>
      </w:r>
    </w:p>
    <w:p>
      <w:pPr>
        <w:pStyle w:val="30"/>
        <w:spacing w:after="76" w:afterLines="0" w:afterAutospacing="0"/>
        <w:rPr>
          <w:rFonts w:hint="default"/>
          <w:color w:val="auto"/>
          <w:highlight w:val="none"/>
        </w:rPr>
      </w:pPr>
      <w:r>
        <w:rPr>
          <w:rFonts w:hint="eastAsia"/>
          <w:color w:val="auto"/>
          <w:highlight w:val="none"/>
        </w:rPr>
        <w:t>エ　相談・たすけあいの状況</w:t>
      </w:r>
    </w:p>
    <w:p>
      <w:pPr>
        <w:pStyle w:val="44"/>
        <w:rPr>
          <w:rFonts w:hint="default"/>
          <w:color w:val="auto"/>
          <w:highlight w:val="none"/>
        </w:rPr>
      </w:pPr>
      <w:bookmarkEnd w:id="47"/>
      <w:r>
        <w:rPr>
          <w:rFonts w:hint="eastAsia"/>
          <w:color w:val="auto"/>
          <w:highlight w:val="none"/>
        </w:rPr>
        <w:t>家族や友人・知人以外の相談相手について、「医師・歯科医師・看護師」と回答した人の割合は、吉和、宮島で４割台、「地域包括支援センター・市役所」、「社会福祉協議会・民生委員」と回答した人の割合は、吉和で３割台となっています。</w:t>
      </w:r>
    </w:p>
    <w:p>
      <w:pPr>
        <w:pStyle w:val="79"/>
        <w:spacing w:before="190" w:beforeLines="0" w:beforeAutospacing="0"/>
        <w:rPr>
          <w:rFonts w:hint="default"/>
          <w:color w:val="auto"/>
          <w:highlight w:val="none"/>
        </w:rPr>
      </w:pPr>
      <w:r>
        <w:rPr>
          <w:rFonts w:hint="eastAsia"/>
          <w:color w:val="auto"/>
          <w:highlight w:val="none"/>
        </w:rPr>
        <w:t>図表　家族や友人・知人以外の相談相手（日常生活圏域別）</w:t>
      </w:r>
    </w:p>
    <w:p>
      <w:pPr>
        <w:pStyle w:val="0"/>
        <w:rPr>
          <w:rFonts w:hint="default" w:ascii="ＭＳ 明朝" w:hAnsi="ＭＳ 明朝" w:eastAsia="ＭＳ 明朝"/>
          <w:color w:val="auto"/>
          <w:highlight w:val="none"/>
        </w:rPr>
      </w:pPr>
      <w:r>
        <w:rPr>
          <w:rFonts w:hint="default"/>
          <w:color w:val="auto"/>
          <w:highlight w:val="none"/>
        </w:rPr>
        <w:drawing>
          <wp:anchor distT="0" distB="0" distL="114300" distR="114300" simplePos="0" relativeHeight="82" behindDoc="0" locked="0" layoutInCell="1" hidden="0" allowOverlap="1">
            <wp:simplePos x="0" y="0"/>
            <wp:positionH relativeFrom="column">
              <wp:posOffset>133350</wp:posOffset>
            </wp:positionH>
            <wp:positionV relativeFrom="paragraph">
              <wp:posOffset>114300</wp:posOffset>
            </wp:positionV>
            <wp:extent cx="5753100" cy="1781175"/>
            <wp:effectExtent l="0" t="0" r="0" b="0"/>
            <wp:wrapNone/>
            <wp:docPr id="1123" name="Picture 184"/>
            <a:graphic xmlns:a="http://schemas.openxmlformats.org/drawingml/2006/main">
              <a:graphicData uri="http://schemas.openxmlformats.org/drawingml/2006/picture">
                <pic:pic xmlns:pic="http://schemas.openxmlformats.org/drawingml/2006/picture">
                  <pic:nvPicPr>
                    <pic:cNvPr id="1123" name="Picture 184"/>
                    <pic:cNvPicPr>
                      <a:picLocks noChangeAspect="1" noChangeArrowheads="1"/>
                    </pic:cNvPicPr>
                  </pic:nvPicPr>
                  <pic:blipFill>
                    <a:blip r:embed="rId67"/>
                    <a:stretch>
                      <a:fillRect/>
                    </a:stretch>
                  </pic:blipFill>
                  <pic:spPr>
                    <a:xfrm>
                      <a:off x="0" y="0"/>
                      <a:ext cx="5753100" cy="1781175"/>
                    </a:xfrm>
                    <a:prstGeom prst="rect">
                      <a:avLst/>
                    </a:prstGeom>
                    <a:noFill/>
                    <a:ln>
                      <a:noFill/>
                    </a:ln>
                  </pic:spPr>
                </pic:pic>
              </a:graphicData>
            </a:graphic>
          </wp:anchor>
        </w:drawing>
      </w: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44"/>
        <w:rPr>
          <w:rFonts w:hint="default"/>
          <w:color w:val="auto"/>
          <w:highlight w:val="none"/>
        </w:rPr>
      </w:pPr>
      <w:r>
        <w:rPr>
          <w:rFonts w:hint="eastAsia"/>
          <w:color w:val="auto"/>
          <w:highlight w:val="none"/>
        </w:rPr>
        <w:t>友人・知人と会う頻度について、頻度が多い人の割合は、宮島で５割台となっています。</w:t>
      </w:r>
    </w:p>
    <w:p>
      <w:pPr>
        <w:pStyle w:val="79"/>
        <w:spacing w:before="190" w:beforeLines="0" w:beforeAutospacing="0"/>
        <w:rPr>
          <w:rFonts w:hint="default"/>
          <w:color w:val="auto"/>
          <w:highlight w:val="none"/>
        </w:rPr>
      </w:pPr>
      <w:r>
        <w:rPr>
          <w:rFonts w:hint="eastAsia"/>
          <w:color w:val="auto"/>
          <w:highlight w:val="none"/>
        </w:rPr>
        <w:t>図表　友人・知人と会う頻度（日常生活圏域別）</w:t>
      </w:r>
    </w:p>
    <w:p>
      <w:pPr>
        <w:pStyle w:val="0"/>
        <w:widowControl w:val="1"/>
        <w:jc w:val="left"/>
        <w:rPr>
          <w:rFonts w:hint="default" w:ascii="ＭＳ 明朝" w:hAnsi="ＭＳ 明朝" w:eastAsia="ＭＳ 明朝"/>
          <w:color w:val="auto"/>
          <w:spacing w:val="10"/>
          <w:highlight w:val="none"/>
        </w:rPr>
      </w:pPr>
      <w:r>
        <w:rPr>
          <w:rFonts w:hint="default"/>
          <w:color w:val="auto"/>
          <w:highlight w:val="none"/>
        </w:rPr>
        <w:drawing>
          <wp:anchor distT="0" distB="0" distL="114300" distR="114300" simplePos="0" relativeHeight="79" behindDoc="0" locked="0" layoutInCell="1" hidden="0" allowOverlap="1">
            <wp:simplePos x="0" y="0"/>
            <wp:positionH relativeFrom="margin">
              <wp:posOffset>-133350</wp:posOffset>
            </wp:positionH>
            <wp:positionV relativeFrom="paragraph">
              <wp:posOffset>127635</wp:posOffset>
            </wp:positionV>
            <wp:extent cx="5829300" cy="2552700"/>
            <wp:effectExtent l="0" t="0" r="0" b="0"/>
            <wp:wrapNone/>
            <wp:docPr id="1124" name="Picture 194"/>
            <a:graphic xmlns:a="http://schemas.openxmlformats.org/drawingml/2006/main">
              <a:graphicData uri="http://schemas.openxmlformats.org/drawingml/2006/picture">
                <pic:pic xmlns:pic="http://schemas.openxmlformats.org/drawingml/2006/picture">
                  <pic:nvPicPr>
                    <pic:cNvPr id="1124" name="Picture 194"/>
                    <pic:cNvPicPr>
                      <a:picLocks noChangeAspect="1" noChangeArrowheads="1"/>
                    </pic:cNvPicPr>
                  </pic:nvPicPr>
                  <pic:blipFill>
                    <a:blip r:embed="rId68"/>
                    <a:stretch>
                      <a:fillRect/>
                    </a:stretch>
                  </pic:blipFill>
                  <pic:spPr>
                    <a:xfrm>
                      <a:off x="0" y="0"/>
                      <a:ext cx="5829300" cy="2552700"/>
                    </a:xfrm>
                    <a:prstGeom prst="rect">
                      <a:avLst/>
                    </a:prstGeom>
                    <a:noFill/>
                    <a:ln>
                      <a:noFill/>
                    </a:ln>
                  </pic:spPr>
                </pic:pic>
              </a:graphicData>
            </a:graphic>
          </wp:anchor>
        </w:drawing>
      </w:r>
    </w:p>
    <w:p>
      <w:pPr>
        <w:pStyle w:val="0"/>
        <w:widowControl w:val="1"/>
        <w:jc w:val="left"/>
        <w:rPr>
          <w:rFonts w:hint="default" w:ascii="ＭＳ 明朝" w:hAnsi="ＭＳ 明朝" w:eastAsia="ＭＳ 明朝"/>
          <w:color w:val="auto"/>
          <w:spacing w:val="10"/>
          <w:highlight w:val="none"/>
        </w:rPr>
      </w:pPr>
    </w:p>
    <w:p>
      <w:pPr>
        <w:pStyle w:val="0"/>
        <w:widowControl w:val="1"/>
        <w:jc w:val="left"/>
        <w:rPr>
          <w:rFonts w:hint="default" w:ascii="ＭＳ 明朝" w:hAnsi="ＭＳ 明朝" w:eastAsia="ＭＳ 明朝"/>
          <w:color w:val="auto"/>
          <w:spacing w:val="10"/>
          <w:highlight w:val="none"/>
        </w:rPr>
      </w:pPr>
    </w:p>
    <w:p>
      <w:pPr>
        <w:pStyle w:val="0"/>
        <w:widowControl w:val="1"/>
        <w:jc w:val="left"/>
        <w:rPr>
          <w:rFonts w:hint="default" w:ascii="ＭＳ 明朝" w:hAnsi="ＭＳ 明朝" w:eastAsia="ＭＳ 明朝"/>
          <w:color w:val="auto"/>
          <w:spacing w:val="10"/>
          <w:highlight w:val="none"/>
        </w:rPr>
      </w:pPr>
    </w:p>
    <w:p>
      <w:pPr>
        <w:pStyle w:val="0"/>
        <w:widowControl w:val="1"/>
        <w:jc w:val="left"/>
        <w:rPr>
          <w:rFonts w:hint="default" w:ascii="ＭＳ 明朝" w:hAnsi="ＭＳ 明朝" w:eastAsia="ＭＳ 明朝"/>
          <w:color w:val="auto"/>
          <w:spacing w:val="10"/>
          <w:highlight w:val="none"/>
        </w:rPr>
      </w:pPr>
    </w:p>
    <w:p>
      <w:pPr>
        <w:pStyle w:val="0"/>
        <w:widowControl w:val="1"/>
        <w:jc w:val="left"/>
        <w:rPr>
          <w:rFonts w:hint="default" w:ascii="ＭＳ 明朝" w:hAnsi="ＭＳ 明朝" w:eastAsia="ＭＳ 明朝"/>
          <w:color w:val="auto"/>
          <w:spacing w:val="10"/>
          <w:highlight w:val="none"/>
        </w:rPr>
      </w:pPr>
    </w:p>
    <w:p>
      <w:pPr>
        <w:pStyle w:val="0"/>
        <w:widowControl w:val="1"/>
        <w:jc w:val="left"/>
        <w:rPr>
          <w:rFonts w:hint="default" w:ascii="ＭＳ 明朝" w:hAnsi="ＭＳ 明朝" w:eastAsia="ＭＳ 明朝"/>
          <w:color w:val="auto"/>
          <w:spacing w:val="10"/>
          <w:highlight w:val="none"/>
        </w:rPr>
      </w:pPr>
    </w:p>
    <w:p>
      <w:pPr>
        <w:pStyle w:val="0"/>
        <w:widowControl w:val="1"/>
        <w:jc w:val="left"/>
        <w:rPr>
          <w:rFonts w:hint="default" w:ascii="ＭＳ 明朝" w:hAnsi="ＭＳ 明朝" w:eastAsia="ＭＳ 明朝"/>
          <w:color w:val="auto"/>
          <w:spacing w:val="10"/>
          <w:highlight w:val="none"/>
        </w:rPr>
      </w:pPr>
    </w:p>
    <w:p>
      <w:pPr>
        <w:pStyle w:val="0"/>
        <w:widowControl w:val="1"/>
        <w:jc w:val="left"/>
        <w:rPr>
          <w:rFonts w:hint="default" w:ascii="ＭＳ 明朝" w:hAnsi="ＭＳ 明朝" w:eastAsia="ＭＳ 明朝"/>
          <w:color w:val="auto"/>
          <w:spacing w:val="10"/>
          <w:highlight w:val="none"/>
        </w:rPr>
      </w:pPr>
    </w:p>
    <w:p>
      <w:pPr>
        <w:pStyle w:val="41"/>
        <w:rPr>
          <w:rFonts w:hint="default"/>
          <w:color w:val="auto"/>
          <w:highlight w:val="none"/>
        </w:rPr>
      </w:pPr>
    </w:p>
    <w:p>
      <w:pPr>
        <w:pStyle w:val="0"/>
        <w:widowControl w:val="1"/>
        <w:jc w:val="left"/>
        <w:rPr>
          <w:rFonts w:hint="default" w:ascii="ＭＳ 明朝" w:hAnsi="ＭＳ 明朝" w:eastAsia="ＭＳ 明朝"/>
          <w:color w:val="auto"/>
          <w:spacing w:val="10"/>
          <w:highlight w:val="none"/>
        </w:rPr>
      </w:pPr>
      <w:r>
        <w:rPr>
          <w:rFonts w:hint="default" w:ascii="ＭＳ 明朝" w:hAnsi="ＭＳ 明朝" w:eastAsia="ＭＳ 明朝"/>
          <w:color w:val="auto"/>
          <w:spacing w:val="10"/>
          <w:highlight w:val="none"/>
        </w:rPr>
        <w:br w:type="page"/>
      </w:r>
    </w:p>
    <w:p>
      <w:pPr>
        <w:pStyle w:val="44"/>
        <w:rPr>
          <w:rFonts w:hint="default"/>
          <w:color w:val="auto"/>
          <w:highlight w:val="none"/>
        </w:rPr>
      </w:pPr>
      <w:r>
        <w:rPr>
          <w:rFonts w:hint="eastAsia"/>
          <w:color w:val="auto"/>
          <w:highlight w:val="none"/>
        </w:rPr>
        <w:t>「地域における支え合い」への希望する関わり方について、「自分ができることがあれば、支え合いの活動をしたい」と回答した人の割合は、吉和、宮島で５割台となっています。</w:t>
      </w:r>
    </w:p>
    <w:p>
      <w:pPr>
        <w:pStyle w:val="79"/>
        <w:spacing w:before="190" w:beforeLines="0" w:beforeAutospacing="0"/>
        <w:rPr>
          <w:rFonts w:hint="default"/>
          <w:color w:val="auto"/>
          <w:highlight w:val="none"/>
        </w:rPr>
      </w:pPr>
      <w:r>
        <w:rPr>
          <w:rFonts w:hint="eastAsia"/>
          <w:color w:val="auto"/>
          <w:highlight w:val="none"/>
        </w:rPr>
        <w:t>図表　「地域における支え合い」への希望する関わり方（日常生活圏域別）</w:t>
      </w:r>
    </w:p>
    <w:p>
      <w:pPr>
        <w:pStyle w:val="0"/>
        <w:rPr>
          <w:rFonts w:hint="default" w:ascii="ＭＳ 明朝" w:hAnsi="ＭＳ 明朝" w:eastAsia="ＭＳ 明朝"/>
          <w:color w:val="auto"/>
          <w:highlight w:val="none"/>
        </w:rPr>
      </w:pPr>
      <w:r>
        <w:rPr>
          <w:rFonts w:hint="default"/>
          <w:color w:val="auto"/>
          <w:highlight w:val="none"/>
        </w:rPr>
        <w:drawing>
          <wp:anchor distT="0" distB="0" distL="114300" distR="114300" simplePos="0" relativeHeight="80" behindDoc="0" locked="0" layoutInCell="1" hidden="0" allowOverlap="1">
            <wp:simplePos x="0" y="0"/>
            <wp:positionH relativeFrom="column">
              <wp:posOffset>933450</wp:posOffset>
            </wp:positionH>
            <wp:positionV relativeFrom="paragraph">
              <wp:posOffset>114300</wp:posOffset>
            </wp:positionV>
            <wp:extent cx="4057650" cy="2209800"/>
            <wp:effectExtent l="0" t="0" r="0" b="0"/>
            <wp:wrapNone/>
            <wp:docPr id="1125" name="Picture 198"/>
            <a:graphic xmlns:a="http://schemas.openxmlformats.org/drawingml/2006/main">
              <a:graphicData uri="http://schemas.openxmlformats.org/drawingml/2006/picture">
                <pic:pic xmlns:pic="http://schemas.openxmlformats.org/drawingml/2006/picture">
                  <pic:nvPicPr>
                    <pic:cNvPr id="1125" name="Picture 198"/>
                    <pic:cNvPicPr>
                      <a:picLocks noChangeAspect="1" noChangeArrowheads="1"/>
                    </pic:cNvPicPr>
                  </pic:nvPicPr>
                  <pic:blipFill>
                    <a:blip r:embed="rId69"/>
                    <a:stretch>
                      <a:fillRect/>
                    </a:stretch>
                  </pic:blipFill>
                  <pic:spPr>
                    <a:xfrm>
                      <a:off x="0" y="0"/>
                      <a:ext cx="4057650" cy="2209800"/>
                    </a:xfrm>
                    <a:prstGeom prst="rect">
                      <a:avLst/>
                    </a:prstGeom>
                    <a:noFill/>
                    <a:ln>
                      <a:noFill/>
                    </a:ln>
                  </pic:spPr>
                </pic:pic>
              </a:graphicData>
            </a:graphic>
          </wp:anchor>
        </w:drawing>
      </w: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30"/>
        <w:spacing w:after="76" w:afterLines="0" w:afterAutospacing="0"/>
        <w:rPr>
          <w:rFonts w:hint="default"/>
          <w:color w:val="auto"/>
          <w:highlight w:val="none"/>
        </w:rPr>
      </w:pPr>
      <w:bookmarkStart w:id="48" w:name="_Toc146712937"/>
      <w:bookmarkEnd w:id="48"/>
      <w:r>
        <w:rPr>
          <w:rFonts w:hint="eastAsia"/>
          <w:color w:val="auto"/>
          <w:highlight w:val="none"/>
        </w:rPr>
        <w:t>オ　認知症に関する状況</w:t>
      </w:r>
    </w:p>
    <w:p>
      <w:pPr>
        <w:pStyle w:val="44"/>
        <w:rPr>
          <w:rFonts w:hint="default"/>
          <w:color w:val="auto"/>
          <w:highlight w:val="none"/>
        </w:rPr>
      </w:pPr>
      <w:r>
        <w:rPr>
          <w:rFonts w:hint="eastAsia"/>
          <w:color w:val="auto"/>
          <w:highlight w:val="none"/>
        </w:rPr>
        <w:t>認知症に関する相談窓口を知っていると回答した人の割合は、佐伯、吉和、大野で３割台となっています。</w:t>
      </w:r>
    </w:p>
    <w:p>
      <w:pPr>
        <w:pStyle w:val="44"/>
        <w:rPr>
          <w:rFonts w:hint="default"/>
          <w:color w:val="auto"/>
          <w:highlight w:val="none"/>
        </w:rPr>
      </w:pPr>
      <w:r>
        <w:rPr>
          <w:rFonts w:hint="eastAsia"/>
          <w:color w:val="auto"/>
          <w:highlight w:val="none"/>
        </w:rPr>
        <w:t>知っている認知症についての相談窓口として、「地域包括支援センター（認知症地域支援推進員）」と回答した人の割合は、廿日市東部、廿日市西部、佐伯で９割台であり、「認知症カフェ・家族の会」と回答した人の割合は、大野で２割台となっています。</w:t>
      </w:r>
    </w:p>
    <w:p>
      <w:pPr>
        <w:pStyle w:val="79"/>
        <w:spacing w:before="190" w:beforeLines="0" w:beforeAutospacing="0"/>
        <w:rPr>
          <w:rFonts w:hint="default"/>
          <w:color w:val="auto"/>
          <w:highlight w:val="none"/>
        </w:rPr>
      </w:pPr>
      <w:r>
        <w:rPr>
          <w:rFonts w:hint="eastAsia"/>
          <w:color w:val="auto"/>
          <w:highlight w:val="none"/>
        </w:rPr>
        <w:t>図表　認知症についての相談窓口（日常生活圏域別）</w:t>
      </w:r>
    </w:p>
    <w:p>
      <w:pPr>
        <w:pStyle w:val="0"/>
        <w:widowControl w:val="1"/>
        <w:jc w:val="left"/>
        <w:rPr>
          <w:rFonts w:hint="default" w:ascii="ＭＳ 明朝" w:hAnsi="ＭＳ 明朝" w:eastAsia="ＭＳ 明朝"/>
          <w:color w:val="auto"/>
          <w:highlight w:val="none"/>
        </w:rPr>
      </w:pPr>
      <w:r>
        <w:rPr>
          <w:rFonts w:hint="eastAsia"/>
          <w:color w:val="auto"/>
          <w:highlight w:val="none"/>
        </w:rPr>
        <w:drawing>
          <wp:anchor distT="0" distB="0" distL="114300" distR="114300" simplePos="0" relativeHeight="85" behindDoc="0" locked="0" layoutInCell="1" hidden="0" allowOverlap="1">
            <wp:simplePos x="0" y="0"/>
            <wp:positionH relativeFrom="column">
              <wp:posOffset>488315</wp:posOffset>
            </wp:positionH>
            <wp:positionV relativeFrom="paragraph">
              <wp:posOffset>0</wp:posOffset>
            </wp:positionV>
            <wp:extent cx="5086350" cy="2069465"/>
            <wp:effectExtent l="0" t="0" r="0" b="0"/>
            <wp:wrapNone/>
            <wp:docPr id="1126" name="Picture 63"/>
            <a:graphic xmlns:a="http://schemas.openxmlformats.org/drawingml/2006/main">
              <a:graphicData uri="http://schemas.openxmlformats.org/drawingml/2006/picture">
                <pic:pic xmlns:pic="http://schemas.openxmlformats.org/drawingml/2006/picture">
                  <pic:nvPicPr>
                    <pic:cNvPr id="1126" name="Picture 63"/>
                    <pic:cNvPicPr>
                      <a:picLocks noChangeAspect="1" noChangeArrowheads="1"/>
                    </pic:cNvPicPr>
                  </pic:nvPicPr>
                  <pic:blipFill>
                    <a:blip r:embed="rId70"/>
                    <a:stretch>
                      <a:fillRect/>
                    </a:stretch>
                  </pic:blipFill>
                  <pic:spPr>
                    <a:xfrm>
                      <a:off x="0" y="0"/>
                      <a:ext cx="5086350" cy="2069465"/>
                    </a:xfrm>
                    <a:prstGeom prst="rect">
                      <a:avLst/>
                    </a:prstGeom>
                    <a:noFill/>
                    <a:ln>
                      <a:noFill/>
                    </a:ln>
                  </pic:spPr>
                </pic:pic>
              </a:graphicData>
            </a:graphic>
          </wp:anchor>
        </w:drawing>
      </w:r>
    </w:p>
    <w:p>
      <w:pPr>
        <w:pStyle w:val="0"/>
        <w:widowControl w:val="1"/>
        <w:jc w:val="left"/>
        <w:rPr>
          <w:rFonts w:hint="default" w:ascii="ＭＳ 明朝" w:hAnsi="ＭＳ 明朝" w:eastAsia="ＭＳ 明朝"/>
          <w:color w:val="auto"/>
          <w:highlight w:val="none"/>
        </w:rPr>
      </w:pPr>
    </w:p>
    <w:p>
      <w:pPr>
        <w:pStyle w:val="0"/>
        <w:widowControl w:val="1"/>
        <w:jc w:val="left"/>
        <w:rPr>
          <w:rFonts w:hint="default" w:ascii="ＭＳ 明朝" w:hAnsi="ＭＳ 明朝" w:eastAsia="ＭＳ 明朝"/>
          <w:color w:val="auto"/>
          <w:highlight w:val="none"/>
        </w:rPr>
      </w:pPr>
    </w:p>
    <w:p>
      <w:pPr>
        <w:pStyle w:val="0"/>
        <w:widowControl w:val="1"/>
        <w:jc w:val="left"/>
        <w:rPr>
          <w:rFonts w:hint="default" w:ascii="ＭＳ 明朝" w:hAnsi="ＭＳ 明朝" w:eastAsia="ＭＳ 明朝"/>
          <w:color w:val="auto"/>
          <w:highlight w:val="none"/>
        </w:rPr>
      </w:pPr>
    </w:p>
    <w:p>
      <w:pPr>
        <w:pStyle w:val="0"/>
        <w:widowControl w:val="1"/>
        <w:jc w:val="left"/>
        <w:rPr>
          <w:rFonts w:hint="default" w:ascii="ＭＳ 明朝" w:hAnsi="ＭＳ 明朝" w:eastAsia="ＭＳ 明朝"/>
          <w:color w:val="auto"/>
          <w:highlight w:val="none"/>
        </w:rPr>
      </w:pPr>
    </w:p>
    <w:p>
      <w:pPr>
        <w:pStyle w:val="0"/>
        <w:widowControl w:val="1"/>
        <w:jc w:val="left"/>
        <w:rPr>
          <w:rFonts w:hint="default" w:ascii="ＭＳ 明朝" w:hAnsi="ＭＳ 明朝" w:eastAsia="ＭＳ 明朝"/>
          <w:color w:val="auto"/>
          <w:highlight w:val="none"/>
        </w:rPr>
      </w:pPr>
    </w:p>
    <w:p>
      <w:pPr>
        <w:pStyle w:val="0"/>
        <w:widowControl w:val="1"/>
        <w:jc w:val="left"/>
        <w:rPr>
          <w:rFonts w:hint="default" w:ascii="ＭＳ 明朝" w:hAnsi="ＭＳ 明朝" w:eastAsia="ＭＳ 明朝"/>
          <w:color w:val="auto"/>
          <w:highlight w:val="none"/>
        </w:rPr>
      </w:pPr>
    </w:p>
    <w:p>
      <w:pPr>
        <w:pStyle w:val="0"/>
        <w:widowControl w:val="1"/>
        <w:jc w:val="left"/>
        <w:rPr>
          <w:rFonts w:hint="default" w:ascii="ＭＳ 明朝" w:hAnsi="ＭＳ 明朝" w:eastAsia="ＭＳ 明朝"/>
          <w:color w:val="auto"/>
          <w:highlight w:val="none"/>
        </w:rPr>
      </w:pPr>
    </w:p>
    <w:p>
      <w:pPr>
        <w:pStyle w:val="0"/>
        <w:widowControl w:val="1"/>
        <w:jc w:val="left"/>
        <w:rPr>
          <w:rFonts w:hint="default" w:ascii="ＭＳ 明朝" w:hAnsi="ＭＳ 明朝" w:eastAsia="ＭＳ 明朝"/>
          <w:color w:val="auto"/>
          <w:highlight w:val="none"/>
        </w:rPr>
      </w:pPr>
      <w:r>
        <w:rPr>
          <w:rFonts w:hint="default" w:ascii="ＭＳ 明朝" w:hAnsi="ＭＳ 明朝" w:eastAsia="ＭＳ 明朝"/>
          <w:color w:val="auto"/>
          <w:highlight w:val="none"/>
        </w:rPr>
        <w:br w:type="page"/>
      </w:r>
    </w:p>
    <w:p>
      <w:pPr>
        <w:pStyle w:val="30"/>
        <w:spacing w:after="76" w:afterLines="0" w:afterAutospacing="0"/>
        <w:rPr>
          <w:rFonts w:hint="default"/>
          <w:color w:val="auto"/>
          <w:highlight w:val="none"/>
        </w:rPr>
      </w:pPr>
      <w:bookmarkStart w:id="49" w:name="_Toc146712949"/>
      <w:r>
        <w:rPr>
          <w:rFonts w:hint="eastAsia"/>
          <w:color w:val="auto"/>
          <w:highlight w:val="none"/>
        </w:rPr>
        <w:t>カ　安心して生活し続けられる地域としての満足度</w:t>
      </w:r>
    </w:p>
    <w:p>
      <w:pPr>
        <w:pStyle w:val="44"/>
        <w:rPr>
          <w:rFonts w:hint="default"/>
          <w:color w:val="auto"/>
          <w:highlight w:val="none"/>
        </w:rPr>
      </w:pPr>
      <w:bookmarkEnd w:id="49"/>
      <w:r>
        <w:rPr>
          <w:rFonts w:hint="eastAsia"/>
          <w:color w:val="auto"/>
          <w:highlight w:val="none"/>
        </w:rPr>
        <w:t>相談体制について、『満足している』と回答した人の割合は、吉和で５割台となっています。</w:t>
      </w:r>
    </w:p>
    <w:p>
      <w:pPr>
        <w:pStyle w:val="79"/>
        <w:spacing w:before="190" w:beforeLines="0" w:beforeAutospacing="0"/>
        <w:rPr>
          <w:rFonts w:hint="default"/>
          <w:color w:val="auto"/>
          <w:highlight w:val="none"/>
        </w:rPr>
      </w:pPr>
      <w:r>
        <w:rPr>
          <w:rFonts w:hint="eastAsia"/>
          <w:color w:val="auto"/>
          <w:highlight w:val="none"/>
        </w:rPr>
        <w:t>図表　相談体制の満足度（日常生活圏域別）</w:t>
      </w:r>
    </w:p>
    <w:p>
      <w:pPr>
        <w:pStyle w:val="0"/>
        <w:rPr>
          <w:rFonts w:hint="default" w:ascii="ＭＳ 明朝" w:hAnsi="ＭＳ 明朝" w:eastAsia="ＭＳ 明朝"/>
          <w:color w:val="auto"/>
          <w:highlight w:val="none"/>
        </w:rPr>
      </w:pPr>
      <w:r>
        <w:rPr>
          <w:rFonts w:hint="default"/>
          <w:color w:val="auto"/>
          <w:highlight w:val="none"/>
        </w:rPr>
        <w:drawing>
          <wp:anchor distT="0" distB="0" distL="114300" distR="114300" simplePos="0" relativeHeight="74" behindDoc="0" locked="0" layoutInCell="1" hidden="0" allowOverlap="1">
            <wp:simplePos x="0" y="0"/>
            <wp:positionH relativeFrom="column">
              <wp:posOffset>-132080</wp:posOffset>
            </wp:positionH>
            <wp:positionV relativeFrom="paragraph">
              <wp:posOffset>97155</wp:posOffset>
            </wp:positionV>
            <wp:extent cx="5828030" cy="2551430"/>
            <wp:effectExtent l="0" t="0" r="0" b="0"/>
            <wp:wrapNone/>
            <wp:docPr id="1127" name="Picture 19"/>
            <a:graphic xmlns:a="http://schemas.openxmlformats.org/drawingml/2006/main">
              <a:graphicData uri="http://schemas.openxmlformats.org/drawingml/2006/picture">
                <pic:pic xmlns:pic="http://schemas.openxmlformats.org/drawingml/2006/picture">
                  <pic:nvPicPr>
                    <pic:cNvPr id="1127" name="Picture 19"/>
                    <pic:cNvPicPr>
                      <a:picLocks noChangeAspect="1" noChangeArrowheads="1"/>
                    </pic:cNvPicPr>
                  </pic:nvPicPr>
                  <pic:blipFill>
                    <a:blip r:embed="rId71"/>
                    <a:stretch>
                      <a:fillRect/>
                    </a:stretch>
                  </pic:blipFill>
                  <pic:spPr>
                    <a:xfrm>
                      <a:off x="0" y="0"/>
                      <a:ext cx="5828030" cy="2551430"/>
                    </a:xfrm>
                    <a:prstGeom prst="rect">
                      <a:avLst/>
                    </a:prstGeom>
                    <a:noFill/>
                    <a:ln>
                      <a:noFill/>
                    </a:ln>
                  </pic:spPr>
                </pic:pic>
              </a:graphicData>
            </a:graphic>
          </wp:anchor>
        </w:drawing>
      </w: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44"/>
        <w:rPr>
          <w:rFonts w:hint="default"/>
          <w:color w:val="auto"/>
          <w:highlight w:val="none"/>
        </w:rPr>
      </w:pPr>
      <w:r>
        <w:rPr>
          <w:rFonts w:hint="eastAsia"/>
          <w:color w:val="auto"/>
          <w:highlight w:val="none"/>
        </w:rPr>
        <w:t>医療体制について、『満足している』と回答した人の割合は、吉和で６割台となっています。</w:t>
      </w:r>
    </w:p>
    <w:p>
      <w:pPr>
        <w:pStyle w:val="79"/>
        <w:spacing w:before="190" w:beforeLines="0" w:beforeAutospacing="0"/>
        <w:rPr>
          <w:rFonts w:hint="default"/>
          <w:color w:val="auto"/>
          <w:highlight w:val="none"/>
        </w:rPr>
      </w:pPr>
      <w:r>
        <w:rPr>
          <w:rFonts w:hint="eastAsia"/>
          <w:color w:val="auto"/>
          <w:highlight w:val="none"/>
        </w:rPr>
        <w:t>図表　医療体制の満足度（日常生活圏域別）</w:t>
      </w:r>
    </w:p>
    <w:p>
      <w:pPr>
        <w:pStyle w:val="0"/>
        <w:rPr>
          <w:rFonts w:hint="default" w:ascii="ＭＳ 明朝" w:hAnsi="ＭＳ 明朝" w:eastAsia="ＭＳ 明朝"/>
          <w:color w:val="auto"/>
          <w:highlight w:val="none"/>
        </w:rPr>
      </w:pPr>
      <w:r>
        <w:rPr>
          <w:rFonts w:hint="default"/>
          <w:color w:val="auto"/>
          <w:highlight w:val="none"/>
        </w:rPr>
        <w:drawing>
          <wp:anchor distT="0" distB="0" distL="114300" distR="114300" simplePos="0" relativeHeight="75" behindDoc="0" locked="0" layoutInCell="1" hidden="0" allowOverlap="1">
            <wp:simplePos x="0" y="0"/>
            <wp:positionH relativeFrom="column">
              <wp:posOffset>-132080</wp:posOffset>
            </wp:positionH>
            <wp:positionV relativeFrom="paragraph">
              <wp:posOffset>93345</wp:posOffset>
            </wp:positionV>
            <wp:extent cx="5828030" cy="2551430"/>
            <wp:effectExtent l="0" t="0" r="0" b="0"/>
            <wp:wrapNone/>
            <wp:docPr id="1128" name="Picture 26"/>
            <a:graphic xmlns:a="http://schemas.openxmlformats.org/drawingml/2006/main">
              <a:graphicData uri="http://schemas.openxmlformats.org/drawingml/2006/picture">
                <pic:pic xmlns:pic="http://schemas.openxmlformats.org/drawingml/2006/picture">
                  <pic:nvPicPr>
                    <pic:cNvPr id="1128" name="Picture 26"/>
                    <pic:cNvPicPr>
                      <a:picLocks noChangeAspect="1" noChangeArrowheads="1"/>
                    </pic:cNvPicPr>
                  </pic:nvPicPr>
                  <pic:blipFill>
                    <a:blip r:embed="rId72"/>
                    <a:stretch>
                      <a:fillRect/>
                    </a:stretch>
                  </pic:blipFill>
                  <pic:spPr>
                    <a:xfrm>
                      <a:off x="0" y="0"/>
                      <a:ext cx="5828030" cy="2551430"/>
                    </a:xfrm>
                    <a:prstGeom prst="rect">
                      <a:avLst/>
                    </a:prstGeom>
                    <a:noFill/>
                    <a:ln>
                      <a:noFill/>
                    </a:ln>
                  </pic:spPr>
                </pic:pic>
              </a:graphicData>
            </a:graphic>
          </wp:anchor>
        </w:drawing>
      </w: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widowControl w:val="1"/>
        <w:jc w:val="left"/>
        <w:rPr>
          <w:rFonts w:hint="default"/>
          <w:color w:val="auto"/>
          <w:highlight w:val="none"/>
        </w:rPr>
      </w:pPr>
      <w:bookmarkStart w:id="50" w:name="_Toc146712952"/>
      <w:bookmarkEnd w:id="50"/>
      <w:r>
        <w:rPr>
          <w:rFonts w:hint="default"/>
          <w:color w:val="auto"/>
          <w:highlight w:val="none"/>
        </w:rPr>
        <w:br w:type="page"/>
      </w:r>
    </w:p>
    <w:p>
      <w:pPr>
        <w:pStyle w:val="44"/>
        <w:rPr>
          <w:rFonts w:hint="default"/>
          <w:color w:val="auto"/>
          <w:highlight w:val="none"/>
        </w:rPr>
      </w:pPr>
      <w:r>
        <w:rPr>
          <w:rFonts w:hint="eastAsia"/>
          <w:color w:val="auto"/>
          <w:highlight w:val="none"/>
        </w:rPr>
        <w:t>高齢になっても安心して自宅での生活を継続できる地域としての評価について、『思わない』と回答した人の割合は、佐伯、吉和で４割台となっています。</w:t>
      </w:r>
    </w:p>
    <w:p>
      <w:pPr>
        <w:pStyle w:val="79"/>
        <w:spacing w:before="190" w:beforeLines="0" w:beforeAutospacing="0"/>
        <w:rPr>
          <w:rFonts w:hint="default"/>
          <w:color w:val="auto"/>
          <w:highlight w:val="none"/>
        </w:rPr>
      </w:pPr>
      <w:r>
        <w:rPr>
          <w:rFonts w:hint="eastAsia"/>
          <w:color w:val="auto"/>
          <w:spacing w:val="1"/>
          <w:w w:val="95"/>
          <w:kern w:val="0"/>
          <w:highlight w:val="none"/>
          <w:fitText w:val="8400" w:id="3"/>
        </w:rPr>
        <w:t>図表　高齢になっても安心して自宅での生活を続けられる地域だと思うか（日常生活圏域別</w:t>
      </w:r>
      <w:r>
        <w:rPr>
          <w:rFonts w:hint="eastAsia"/>
          <w:color w:val="auto"/>
          <w:spacing w:val="22"/>
          <w:w w:val="95"/>
          <w:kern w:val="0"/>
          <w:highlight w:val="none"/>
          <w:fitText w:val="8400" w:id="3"/>
        </w:rPr>
        <w:t>）</w:t>
      </w:r>
    </w:p>
    <w:p>
      <w:pPr>
        <w:pStyle w:val="0"/>
        <w:rPr>
          <w:rFonts w:hint="default" w:ascii="ＭＳ 明朝" w:hAnsi="ＭＳ 明朝" w:eastAsia="ＭＳ 明朝"/>
          <w:color w:val="auto"/>
          <w:highlight w:val="none"/>
        </w:rPr>
      </w:pPr>
      <w:r>
        <w:rPr>
          <w:rFonts w:hint="default"/>
          <w:color w:val="auto"/>
          <w:highlight w:val="none"/>
        </w:rPr>
        <w:drawing>
          <wp:anchor distT="0" distB="0" distL="114300" distR="114300" simplePos="0" relativeHeight="86" behindDoc="0" locked="0" layoutInCell="1" hidden="0" allowOverlap="1">
            <wp:simplePos x="0" y="0"/>
            <wp:positionH relativeFrom="column">
              <wp:posOffset>-132080</wp:posOffset>
            </wp:positionH>
            <wp:positionV relativeFrom="paragraph">
              <wp:posOffset>93980</wp:posOffset>
            </wp:positionV>
            <wp:extent cx="5828030" cy="2551430"/>
            <wp:effectExtent l="0" t="0" r="0" b="0"/>
            <wp:wrapNone/>
            <wp:docPr id="1129" name="Picture 29"/>
            <a:graphic xmlns:a="http://schemas.openxmlformats.org/drawingml/2006/main">
              <a:graphicData uri="http://schemas.openxmlformats.org/drawingml/2006/picture">
                <pic:pic xmlns:pic="http://schemas.openxmlformats.org/drawingml/2006/picture">
                  <pic:nvPicPr>
                    <pic:cNvPr id="1129" name="Picture 29"/>
                    <pic:cNvPicPr>
                      <a:picLocks noChangeAspect="1" noChangeArrowheads="1"/>
                    </pic:cNvPicPr>
                  </pic:nvPicPr>
                  <pic:blipFill>
                    <a:blip r:embed="rId73"/>
                    <a:stretch>
                      <a:fillRect/>
                    </a:stretch>
                  </pic:blipFill>
                  <pic:spPr>
                    <a:xfrm>
                      <a:off x="0" y="0"/>
                      <a:ext cx="5828030" cy="2551430"/>
                    </a:xfrm>
                    <a:prstGeom prst="rect">
                      <a:avLst/>
                    </a:prstGeom>
                    <a:noFill/>
                    <a:ln>
                      <a:noFill/>
                    </a:ln>
                  </pic:spPr>
                </pic:pic>
              </a:graphicData>
            </a:graphic>
          </wp:anchor>
        </w:drawing>
      </w: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spacing w:after="185" w:afterLines="50" w:afterAutospacing="0"/>
        <w:rPr>
          <w:rFonts w:hint="default" w:ascii="ＭＳ 明朝" w:hAnsi="ＭＳ 明朝" w:eastAsia="ＭＳ 明朝"/>
          <w:color w:val="auto"/>
          <w:highlight w:val="none"/>
        </w:rPr>
      </w:pPr>
    </w:p>
    <w:p>
      <w:pPr>
        <w:pStyle w:val="44"/>
        <w:rPr>
          <w:rFonts w:hint="default"/>
          <w:color w:val="auto"/>
          <w:highlight w:val="none"/>
        </w:rPr>
      </w:pPr>
      <w:r>
        <w:rPr>
          <w:rFonts w:hint="eastAsia"/>
          <w:color w:val="auto"/>
          <w:highlight w:val="none"/>
        </w:rPr>
        <w:t>安心して暮らし続けることができるために実現を望むこととして、「診療所や総合病院が充実している」と回答した人の割合は、吉和で５割台となっています。</w:t>
      </w:r>
    </w:p>
    <w:p>
      <w:pPr>
        <w:pStyle w:val="79"/>
        <w:spacing w:before="190" w:beforeLines="0" w:beforeAutospacing="0"/>
        <w:rPr>
          <w:rFonts w:hint="default"/>
          <w:color w:val="auto"/>
          <w:highlight w:val="none"/>
        </w:rPr>
      </w:pPr>
      <w:r>
        <w:rPr>
          <w:rFonts w:hint="eastAsia"/>
          <w:color w:val="auto"/>
          <w:highlight w:val="none"/>
        </w:rPr>
        <w:t>図表　実現すると安心して暮らし続けることができると思うこと（日常生活圏域別）</w:t>
      </w:r>
    </w:p>
    <w:p>
      <w:pPr>
        <w:pStyle w:val="0"/>
        <w:rPr>
          <w:rFonts w:hint="default" w:ascii="ＭＳ 明朝" w:hAnsi="ＭＳ 明朝" w:eastAsia="ＭＳ 明朝"/>
          <w:color w:val="auto"/>
          <w:highlight w:val="none"/>
        </w:rPr>
      </w:pPr>
      <w:r>
        <w:rPr>
          <w:rFonts w:hint="default"/>
          <w:color w:val="auto"/>
          <w:highlight w:val="none"/>
        </w:rPr>
        <w:drawing>
          <wp:anchor distT="0" distB="0" distL="114300" distR="114300" simplePos="0" relativeHeight="87" behindDoc="0" locked="0" layoutInCell="1" hidden="0" allowOverlap="1">
            <wp:simplePos x="0" y="0"/>
            <wp:positionH relativeFrom="column">
              <wp:posOffset>259715</wp:posOffset>
            </wp:positionH>
            <wp:positionV relativeFrom="paragraph">
              <wp:posOffset>114935</wp:posOffset>
            </wp:positionV>
            <wp:extent cx="5597525" cy="4150360"/>
            <wp:effectExtent l="0" t="0" r="0" b="0"/>
            <wp:wrapNone/>
            <wp:docPr id="1130" name="Picture 33"/>
            <a:graphic xmlns:a="http://schemas.openxmlformats.org/drawingml/2006/main">
              <a:graphicData uri="http://schemas.openxmlformats.org/drawingml/2006/picture">
                <pic:pic xmlns:pic="http://schemas.openxmlformats.org/drawingml/2006/picture">
                  <pic:nvPicPr>
                    <pic:cNvPr id="1130" name="Picture 33"/>
                    <pic:cNvPicPr>
                      <a:picLocks noChangeAspect="1" noChangeArrowheads="1"/>
                    </pic:cNvPicPr>
                  </pic:nvPicPr>
                  <pic:blipFill>
                    <a:blip r:embed="rId74"/>
                    <a:stretch>
                      <a:fillRect/>
                    </a:stretch>
                  </pic:blipFill>
                  <pic:spPr>
                    <a:xfrm>
                      <a:off x="0" y="0"/>
                      <a:ext cx="5597525" cy="4150360"/>
                    </a:xfrm>
                    <a:prstGeom prst="rect">
                      <a:avLst/>
                    </a:prstGeom>
                    <a:noFill/>
                    <a:ln>
                      <a:noFill/>
                    </a:ln>
                  </pic:spPr>
                </pic:pic>
              </a:graphicData>
            </a:graphic>
          </wp:anchor>
        </w:drawing>
      </w: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spacing w:after="185" w:afterLines="50" w:afterAutospacing="0"/>
        <w:rPr>
          <w:rFonts w:hint="default" w:ascii="ＭＳ 明朝" w:hAnsi="ＭＳ 明朝" w:eastAsia="ＭＳ 明朝"/>
          <w:color w:val="auto"/>
          <w:highlight w:val="none"/>
        </w:rPr>
      </w:pPr>
    </w:p>
    <w:p>
      <w:pPr>
        <w:pStyle w:val="26"/>
        <w:spacing w:after="76" w:afterLines="0" w:afterAutospacing="0"/>
        <w:rPr>
          <w:rFonts w:hint="default"/>
          <w:color w:val="auto"/>
          <w:highlight w:val="none"/>
        </w:rPr>
      </w:pPr>
      <w:bookmarkStart w:id="51" w:name="_Toc152160629"/>
      <w:r>
        <w:rPr>
          <w:rFonts w:hint="eastAsia"/>
          <w:color w:val="auto"/>
          <w:highlight w:val="none"/>
        </w:rPr>
        <w:t>（３）在宅介護実態調査（</w:t>
      </w:r>
      <w:r>
        <w:rPr>
          <w:rFonts w:hint="eastAsia"/>
          <w:color w:val="auto"/>
          <w:sz w:val="24"/>
          <w:highlight w:val="none"/>
        </w:rPr>
        <w:t>対象：在宅で生活している要支援・要介護者）</w:t>
      </w:r>
      <w:bookmarkEnd w:id="51"/>
    </w:p>
    <w:p>
      <w:pPr>
        <w:pStyle w:val="30"/>
        <w:spacing w:after="76" w:afterLines="0" w:afterAutospacing="0"/>
        <w:rPr>
          <w:rFonts w:hint="default"/>
          <w:color w:val="auto"/>
          <w:highlight w:val="none"/>
        </w:rPr>
      </w:pPr>
      <w:r>
        <w:rPr>
          <w:rFonts w:hint="eastAsia"/>
          <w:color w:val="auto"/>
          <w:highlight w:val="none"/>
        </w:rPr>
        <w:t>ア　主な介護者の状況</w:t>
      </w:r>
    </w:p>
    <w:p>
      <w:pPr>
        <w:pStyle w:val="0"/>
        <w:numPr>
          <w:ilvl w:val="3"/>
          <w:numId w:val="1"/>
        </w:numPr>
        <w:autoSpaceDE w:val="0"/>
        <w:autoSpaceDN w:val="0"/>
        <w:spacing w:line="380" w:lineRule="exact"/>
        <w:ind w:left="1102" w:leftChars="300" w:hanging="442"/>
        <w:rPr>
          <w:rFonts w:hint="default"/>
          <w:color w:val="auto"/>
          <w:highlight w:val="none"/>
        </w:rPr>
      </w:pPr>
      <w:r>
        <w:rPr>
          <w:rFonts w:hint="eastAsia"/>
          <w:color w:val="auto"/>
          <w:highlight w:val="none"/>
        </w:rPr>
        <w:t>主な介護者の年齢は、</w:t>
      </w:r>
      <w:r>
        <w:rPr>
          <w:rFonts w:hint="eastAsia"/>
          <w:color w:val="auto"/>
          <w:highlight w:val="none"/>
        </w:rPr>
        <w:t>70</w:t>
      </w:r>
      <w:r>
        <w:rPr>
          <w:rFonts w:hint="eastAsia"/>
          <w:color w:val="auto"/>
          <w:highlight w:val="none"/>
        </w:rPr>
        <w:t>歳代以上の割合が全体で</w:t>
      </w:r>
      <w:r>
        <w:rPr>
          <w:rFonts w:hint="eastAsia"/>
          <w:color w:val="auto"/>
          <w:highlight w:val="none"/>
        </w:rPr>
        <w:t>39.4</w:t>
      </w:r>
      <w:r>
        <w:rPr>
          <w:rFonts w:hint="eastAsia"/>
          <w:color w:val="auto"/>
          <w:highlight w:val="none"/>
        </w:rPr>
        <w:t>％、要介護３～５の人で</w:t>
      </w:r>
      <w:r>
        <w:rPr>
          <w:rFonts w:hint="eastAsia"/>
          <w:color w:val="auto"/>
          <w:highlight w:val="none"/>
        </w:rPr>
        <w:t>49.5</w:t>
      </w:r>
      <w:r>
        <w:rPr>
          <w:rFonts w:hint="eastAsia"/>
          <w:color w:val="auto"/>
          <w:highlight w:val="none"/>
        </w:rPr>
        <w:t>％となっています。</w:t>
      </w:r>
    </w:p>
    <w:p>
      <w:pPr>
        <w:pStyle w:val="0"/>
        <w:autoSpaceDE w:val="0"/>
        <w:autoSpaceDN w:val="0"/>
        <w:spacing w:before="185" w:beforeLines="50" w:beforeAutospacing="0" w:line="380" w:lineRule="exact"/>
        <w:ind w:left="425" w:leftChars="193"/>
        <w:jc w:val="center"/>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図表　主な介護者の年齢</w:t>
      </w:r>
    </w:p>
    <w:p>
      <w:pPr>
        <w:pStyle w:val="0"/>
        <w:rPr>
          <w:rFonts w:hint="default" w:ascii="ＭＳ Ｐゴシック" w:hAnsi="ＭＳ Ｐゴシック" w:eastAsia="ＭＳ Ｐゴシック"/>
          <w:color w:val="auto"/>
          <w:sz w:val="20"/>
          <w:highlight w:val="none"/>
        </w:rPr>
      </w:pPr>
      <w:r>
        <w:rPr>
          <w:rFonts w:hint="default"/>
          <w:color w:val="auto"/>
          <w:highlight w:val="none"/>
        </w:rPr>
        <w:drawing>
          <wp:anchor distT="0" distB="0" distL="114300" distR="114300" simplePos="0" relativeHeight="20" behindDoc="1" locked="0" layoutInCell="1" hidden="0" allowOverlap="1">
            <wp:simplePos x="0" y="0"/>
            <wp:positionH relativeFrom="column">
              <wp:posOffset>99695</wp:posOffset>
            </wp:positionH>
            <wp:positionV relativeFrom="paragraph">
              <wp:posOffset>83820</wp:posOffset>
            </wp:positionV>
            <wp:extent cx="5581650" cy="904875"/>
            <wp:effectExtent l="0" t="0" r="0" b="0"/>
            <wp:wrapNone/>
            <wp:docPr id="1131" name="Picture 9"/>
            <a:graphic xmlns:a="http://schemas.openxmlformats.org/drawingml/2006/main">
              <a:graphicData uri="http://schemas.openxmlformats.org/drawingml/2006/picture">
                <pic:pic xmlns:pic="http://schemas.openxmlformats.org/drawingml/2006/picture">
                  <pic:nvPicPr>
                    <pic:cNvPr id="1131" name="Picture 9"/>
                    <pic:cNvPicPr>
                      <a:picLocks noChangeAspect="1" noChangeArrowheads="1"/>
                    </pic:cNvPicPr>
                  </pic:nvPicPr>
                  <pic:blipFill>
                    <a:blip r:embed="rId75"/>
                    <a:stretch>
                      <a:fillRect/>
                    </a:stretch>
                  </pic:blipFill>
                  <pic:spPr>
                    <a:xfrm>
                      <a:off x="0" y="0"/>
                      <a:ext cx="5581650" cy="904875"/>
                    </a:xfrm>
                    <a:prstGeom prst="rect">
                      <a:avLst/>
                    </a:prstGeom>
                    <a:noFill/>
                    <a:ln>
                      <a:noFill/>
                    </a:ln>
                  </pic:spPr>
                </pic:pic>
              </a:graphicData>
            </a:graphic>
          </wp:anchor>
        </w:drawing>
      </w:r>
    </w:p>
    <w:p>
      <w:pPr>
        <w:pStyle w:val="0"/>
        <w:rPr>
          <w:rFonts w:hint="default" w:ascii="ＭＳ Ｐゴシック" w:hAnsi="ＭＳ Ｐゴシック" w:eastAsia="ＭＳ Ｐゴシック"/>
          <w:color w:val="auto"/>
          <w:sz w:val="20"/>
          <w:highlight w:val="none"/>
        </w:rPr>
      </w:pPr>
    </w:p>
    <w:p>
      <w:pPr>
        <w:pStyle w:val="0"/>
        <w:rPr>
          <w:rFonts w:hint="default" w:ascii="ＭＳ Ｐゴシック" w:hAnsi="ＭＳ Ｐゴシック" w:eastAsia="ＭＳ Ｐゴシック"/>
          <w:color w:val="auto"/>
          <w:sz w:val="20"/>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numPr>
          <w:ilvl w:val="3"/>
          <w:numId w:val="1"/>
        </w:numPr>
        <w:autoSpaceDE w:val="0"/>
        <w:autoSpaceDN w:val="0"/>
        <w:spacing w:line="380" w:lineRule="exact"/>
        <w:ind w:left="1102" w:leftChars="300" w:hanging="442"/>
        <w:rPr>
          <w:rFonts w:hint="default"/>
          <w:color w:val="auto"/>
          <w:highlight w:val="none"/>
        </w:rPr>
      </w:pPr>
      <w:r>
        <w:rPr>
          <w:rFonts w:hint="default"/>
          <w:color w:val="auto"/>
          <w:highlight w:val="none"/>
        </w:rPr>
        <w:t>過去</w:t>
      </w:r>
      <w:r>
        <w:rPr>
          <w:rFonts w:hint="default"/>
          <w:color w:val="auto"/>
          <w:highlight w:val="none"/>
        </w:rPr>
        <w:t>1</w:t>
      </w:r>
      <w:r>
        <w:rPr>
          <w:rFonts w:hint="default"/>
          <w:color w:val="auto"/>
          <w:highlight w:val="none"/>
        </w:rPr>
        <w:t>年間に介護のために主な介護者が「仕事を辞めた」割合が</w:t>
      </w:r>
      <w:r>
        <w:rPr>
          <w:rFonts w:hint="default"/>
          <w:color w:val="auto"/>
          <w:highlight w:val="none"/>
        </w:rPr>
        <w:t>3.</w:t>
      </w:r>
      <w:r>
        <w:rPr>
          <w:rFonts w:hint="eastAsia"/>
          <w:color w:val="auto"/>
          <w:highlight w:val="none"/>
        </w:rPr>
        <w:t>4</w:t>
      </w:r>
      <w:r>
        <w:rPr>
          <w:rFonts w:hint="default"/>
          <w:color w:val="auto"/>
          <w:highlight w:val="none"/>
        </w:rPr>
        <w:t>％、「転職した」割合が</w:t>
      </w:r>
      <w:r>
        <w:rPr>
          <w:rFonts w:hint="default"/>
          <w:color w:val="auto"/>
          <w:highlight w:val="none"/>
        </w:rPr>
        <w:t>0.</w:t>
      </w:r>
      <w:r>
        <w:rPr>
          <w:rFonts w:hint="eastAsia"/>
          <w:color w:val="auto"/>
          <w:highlight w:val="none"/>
        </w:rPr>
        <w:t>8</w:t>
      </w:r>
      <w:r>
        <w:rPr>
          <w:rFonts w:hint="default"/>
          <w:color w:val="auto"/>
          <w:highlight w:val="none"/>
        </w:rPr>
        <w:t>％となっています。</w:t>
      </w:r>
    </w:p>
    <w:p>
      <w:pPr>
        <w:pStyle w:val="0"/>
        <w:autoSpaceDE w:val="0"/>
        <w:autoSpaceDN w:val="0"/>
        <w:spacing w:before="185" w:beforeLines="50" w:beforeAutospacing="0" w:line="380" w:lineRule="exact"/>
        <w:ind w:left="425" w:leftChars="193"/>
        <w:jc w:val="center"/>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図表</w:t>
      </w:r>
      <w:r>
        <w:rPr>
          <w:rFonts w:hint="eastAsia" w:ascii="BIZ UDPゴシック" w:hAnsi="BIZ UDPゴシック" w:eastAsia="BIZ UDPゴシック"/>
          <w:color w:val="auto"/>
          <w:sz w:val="21"/>
          <w:highlight w:val="none"/>
        </w:rPr>
        <w:t>　</w:t>
      </w:r>
      <w:r>
        <w:rPr>
          <w:rFonts w:hint="default" w:ascii="BIZ UDPゴシック" w:hAnsi="BIZ UDPゴシック" w:eastAsia="BIZ UDPゴシック"/>
          <w:color w:val="auto"/>
          <w:sz w:val="21"/>
          <w:highlight w:val="none"/>
        </w:rPr>
        <w:t>過去</w:t>
      </w:r>
      <w:r>
        <w:rPr>
          <w:rFonts w:hint="default" w:ascii="BIZ UDPゴシック" w:hAnsi="BIZ UDPゴシック" w:eastAsia="BIZ UDPゴシック"/>
          <w:color w:val="auto"/>
          <w:sz w:val="21"/>
          <w:highlight w:val="none"/>
        </w:rPr>
        <w:t>1</w:t>
      </w:r>
      <w:r>
        <w:rPr>
          <w:rFonts w:hint="default" w:ascii="BIZ UDPゴシック" w:hAnsi="BIZ UDPゴシック" w:eastAsia="BIZ UDPゴシック"/>
          <w:color w:val="auto"/>
          <w:sz w:val="21"/>
          <w:highlight w:val="none"/>
        </w:rPr>
        <w:t>年間に介護のため退職した家族・親族の有無</w:t>
      </w:r>
    </w:p>
    <w:p>
      <w:pPr>
        <w:pStyle w:val="0"/>
        <w:spacing w:line="380" w:lineRule="exact"/>
        <w:rPr>
          <w:rFonts w:hint="default" w:ascii="BIZ UDPゴシック" w:hAnsi="BIZ UDPゴシック" w:eastAsia="BIZ UDPゴシック"/>
          <w:color w:val="auto"/>
          <w:highlight w:val="none"/>
        </w:rPr>
      </w:pPr>
      <w:r>
        <w:rPr>
          <w:rFonts w:hint="default"/>
          <w:color w:val="auto"/>
          <w:highlight w:val="none"/>
        </w:rPr>
        <w:drawing>
          <wp:anchor distT="0" distB="0" distL="114300" distR="114300" simplePos="0" relativeHeight="21" behindDoc="0" locked="0" layoutInCell="1" hidden="0" allowOverlap="1">
            <wp:simplePos x="0" y="0"/>
            <wp:positionH relativeFrom="column">
              <wp:posOffset>-414655</wp:posOffset>
            </wp:positionH>
            <wp:positionV relativeFrom="paragraph">
              <wp:posOffset>174625</wp:posOffset>
            </wp:positionV>
            <wp:extent cx="6108065" cy="2560320"/>
            <wp:effectExtent l="0" t="0" r="0" b="0"/>
            <wp:wrapNone/>
            <wp:docPr id="1132" name="Picture 37"/>
            <a:graphic xmlns:a="http://schemas.openxmlformats.org/drawingml/2006/main">
              <a:graphicData uri="http://schemas.openxmlformats.org/drawingml/2006/picture">
                <pic:pic xmlns:pic="http://schemas.openxmlformats.org/drawingml/2006/picture">
                  <pic:nvPicPr>
                    <pic:cNvPr id="1132" name="Picture 37"/>
                    <pic:cNvPicPr>
                      <a:picLocks noChangeAspect="1" noChangeArrowheads="1"/>
                    </pic:cNvPicPr>
                  </pic:nvPicPr>
                  <pic:blipFill>
                    <a:blip r:embed="rId76"/>
                    <a:stretch>
                      <a:fillRect/>
                    </a:stretch>
                  </pic:blipFill>
                  <pic:spPr>
                    <a:xfrm>
                      <a:off x="0" y="0"/>
                      <a:ext cx="6108065" cy="2560320"/>
                    </a:xfrm>
                    <a:prstGeom prst="rect">
                      <a:avLst/>
                    </a:prstGeom>
                    <a:noFill/>
                    <a:ln>
                      <a:noFill/>
                    </a:ln>
                  </pic:spPr>
                </pic:pic>
              </a:graphicData>
            </a:graphic>
          </wp:anchor>
        </w:drawing>
      </w: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r>
        <w:rPr>
          <w:rFonts w:hint="default" w:ascii="BIZ UDPゴシック" w:hAnsi="BIZ UDPゴシック" w:eastAsia="BIZ UDPゴシック"/>
          <w:color w:val="auto"/>
          <w:highlight w:val="none"/>
        </w:rPr>
        <w:br w:type="page"/>
      </w:r>
    </w:p>
    <w:p>
      <w:pPr>
        <w:pStyle w:val="30"/>
        <w:spacing w:after="76" w:afterLines="0" w:afterAutospacing="0"/>
        <w:rPr>
          <w:rFonts w:hint="default"/>
          <w:color w:val="auto"/>
          <w:highlight w:val="none"/>
        </w:rPr>
      </w:pPr>
      <w:r>
        <w:rPr>
          <w:rFonts w:hint="eastAsia"/>
          <w:color w:val="auto"/>
          <w:highlight w:val="none"/>
        </w:rPr>
        <w:t>イ　</w:t>
      </w:r>
      <w:r>
        <w:rPr>
          <w:rFonts w:hint="default"/>
          <w:color w:val="auto"/>
          <w:highlight w:val="none"/>
        </w:rPr>
        <w:t>介護者が</w:t>
      </w:r>
      <w:r>
        <w:rPr>
          <w:rFonts w:hint="eastAsia" w:ascii="Malgun Gothic" w:hAnsi="Malgun Gothic" w:eastAsia="Malgun Gothic"/>
          <w:color w:val="auto"/>
          <w:highlight w:val="none"/>
        </w:rPr>
        <w:t>不</w:t>
      </w:r>
      <w:r>
        <w:rPr>
          <w:rFonts w:hint="eastAsia"/>
          <w:color w:val="auto"/>
          <w:highlight w:val="none"/>
        </w:rPr>
        <w:t>安に感じる介護</w:t>
      </w:r>
    </w:p>
    <w:p>
      <w:pPr>
        <w:pStyle w:val="0"/>
        <w:numPr>
          <w:ilvl w:val="3"/>
          <w:numId w:val="1"/>
        </w:numPr>
        <w:autoSpaceDE w:val="0"/>
        <w:autoSpaceDN w:val="0"/>
        <w:spacing w:line="380" w:lineRule="exact"/>
        <w:ind w:left="1102" w:leftChars="300" w:hanging="442"/>
        <w:rPr>
          <w:rFonts w:hint="default"/>
          <w:color w:val="auto"/>
          <w:highlight w:val="none"/>
        </w:rPr>
      </w:pPr>
      <w:r>
        <w:rPr>
          <w:rFonts w:hint="eastAsia"/>
          <w:color w:val="auto"/>
          <w:highlight w:val="none"/>
        </w:rPr>
        <w:t>介護者が不安に感じる介護について、要介護３～５の人では「認知症状への対応」、「夜間の排泄」、「日中の排泄」を挙げた割合が高くなっています。</w:t>
      </w:r>
    </w:p>
    <w:p>
      <w:pPr>
        <w:pStyle w:val="0"/>
        <w:numPr>
          <w:ilvl w:val="3"/>
          <w:numId w:val="1"/>
        </w:numPr>
        <w:autoSpaceDE w:val="0"/>
        <w:autoSpaceDN w:val="0"/>
        <w:spacing w:line="380" w:lineRule="exact"/>
        <w:ind w:left="1102" w:leftChars="300" w:hanging="442"/>
        <w:rPr>
          <w:rFonts w:hint="default"/>
          <w:color w:val="auto"/>
          <w:highlight w:val="none"/>
        </w:rPr>
      </w:pPr>
      <w:r>
        <w:rPr>
          <w:rFonts w:hint="eastAsia"/>
          <w:color w:val="auto"/>
          <w:highlight w:val="none"/>
        </w:rPr>
        <w:t>「認知症状への対応」については、要介護１・２の人においても高くなっています。</w:t>
      </w:r>
    </w:p>
    <w:p>
      <w:pPr>
        <w:pStyle w:val="0"/>
        <w:autoSpaceDE w:val="0"/>
        <w:autoSpaceDN w:val="0"/>
        <w:spacing w:before="185" w:beforeLines="50" w:beforeAutospacing="0" w:line="380" w:lineRule="exact"/>
        <w:ind w:left="425" w:leftChars="193"/>
        <w:jc w:val="center"/>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図表</w:t>
      </w:r>
      <w:r>
        <w:rPr>
          <w:rFonts w:hint="eastAsia" w:ascii="BIZ UDPゴシック" w:hAnsi="BIZ UDPゴシック" w:eastAsia="BIZ UDPゴシック"/>
          <w:color w:val="auto"/>
          <w:sz w:val="21"/>
          <w:highlight w:val="none"/>
        </w:rPr>
        <w:t>　</w:t>
      </w:r>
      <w:r>
        <w:rPr>
          <w:rFonts w:hint="default" w:ascii="BIZ UDPゴシック" w:hAnsi="BIZ UDPゴシック" w:eastAsia="BIZ UDPゴシック"/>
          <w:color w:val="auto"/>
          <w:sz w:val="21"/>
          <w:highlight w:val="none"/>
        </w:rPr>
        <w:t>現在の生活を継続していく上で、不安に感じる介護（要支援・要介護度別）</w:t>
      </w:r>
    </w:p>
    <w:p>
      <w:pPr>
        <w:pStyle w:val="0"/>
        <w:autoSpaceDE w:val="0"/>
        <w:autoSpaceDN w:val="0"/>
        <w:spacing w:line="380" w:lineRule="exact"/>
        <w:ind w:left="425" w:leftChars="193"/>
        <w:jc w:val="right"/>
        <w:rPr>
          <w:rFonts w:hint="default" w:ascii="BIZ UDPゴシック" w:hAnsi="BIZ UDPゴシック" w:eastAsia="BIZ UDPゴシック"/>
          <w:color w:val="auto"/>
          <w:highlight w:val="none"/>
        </w:rPr>
      </w:pPr>
      <w:r>
        <w:rPr>
          <w:rFonts w:hint="default" w:ascii="BIZ UDPゴシック" w:hAnsi="BIZ UDPゴシック" w:eastAsia="BIZ UDPゴシック"/>
          <w:color w:val="auto"/>
          <w:highlight w:val="none"/>
        </w:rPr>
        <w:t>/</w:t>
      </w:r>
      <w:r>
        <w:rPr>
          <w:rFonts w:hint="default" w:ascii="BIZ UDPゴシック" w:hAnsi="BIZ UDPゴシック" w:eastAsia="BIZ UDPゴシック"/>
          <w:color w:val="auto"/>
          <w:highlight w:val="none"/>
        </w:rPr>
        <w:t>上位</w:t>
      </w:r>
      <w:r>
        <w:rPr>
          <w:rFonts w:hint="default" w:ascii="BIZ UDPゴシック" w:hAnsi="BIZ UDPゴシック" w:eastAsia="BIZ UDPゴシック"/>
          <w:color w:val="auto"/>
          <w:highlight w:val="none"/>
        </w:rPr>
        <w:t>10</w:t>
      </w:r>
      <w:r>
        <w:rPr>
          <w:rFonts w:hint="default" w:ascii="BIZ UDPゴシック" w:hAnsi="BIZ UDPゴシック" w:eastAsia="BIZ UDPゴシック"/>
          <w:color w:val="auto"/>
          <w:highlight w:val="none"/>
        </w:rPr>
        <w:t>項目</w:t>
      </w:r>
    </w:p>
    <w:p>
      <w:pPr>
        <w:pStyle w:val="0"/>
        <w:spacing w:line="380" w:lineRule="exact"/>
        <w:rPr>
          <w:rFonts w:hint="default" w:ascii="BIZ UDPゴシック" w:hAnsi="BIZ UDPゴシック" w:eastAsia="BIZ UDPゴシック"/>
          <w:color w:val="auto"/>
          <w:highlight w:val="none"/>
        </w:rPr>
      </w:pPr>
      <w:r>
        <w:rPr>
          <w:rFonts w:hint="default"/>
          <w:color w:val="auto"/>
          <w:highlight w:val="none"/>
        </w:rPr>
        <w:drawing>
          <wp:anchor distT="0" distB="0" distL="114300" distR="114300" simplePos="0" relativeHeight="22" behindDoc="1" locked="0" layoutInCell="1" hidden="0" allowOverlap="1">
            <wp:simplePos x="0" y="0"/>
            <wp:positionH relativeFrom="column">
              <wp:posOffset>0</wp:posOffset>
            </wp:positionH>
            <wp:positionV relativeFrom="paragraph">
              <wp:posOffset>156210</wp:posOffset>
            </wp:positionV>
            <wp:extent cx="5753100" cy="3543300"/>
            <wp:effectExtent l="0" t="0" r="0" b="0"/>
            <wp:wrapNone/>
            <wp:docPr id="1133" name="Picture 19"/>
            <a:graphic xmlns:a="http://schemas.openxmlformats.org/drawingml/2006/main">
              <a:graphicData uri="http://schemas.openxmlformats.org/drawingml/2006/picture">
                <pic:pic xmlns:pic="http://schemas.openxmlformats.org/drawingml/2006/picture">
                  <pic:nvPicPr>
                    <pic:cNvPr id="1133" name="Picture 19"/>
                    <pic:cNvPicPr>
                      <a:picLocks noChangeAspect="1" noChangeArrowheads="1"/>
                    </pic:cNvPicPr>
                  </pic:nvPicPr>
                  <pic:blipFill>
                    <a:blip r:embed="rId77"/>
                    <a:stretch>
                      <a:fillRect/>
                    </a:stretch>
                  </pic:blipFill>
                  <pic:spPr>
                    <a:xfrm>
                      <a:off x="0" y="0"/>
                      <a:ext cx="5753100" cy="3543300"/>
                    </a:xfrm>
                    <a:prstGeom prst="rect">
                      <a:avLst/>
                    </a:prstGeom>
                    <a:noFill/>
                    <a:ln>
                      <a:noFill/>
                    </a:ln>
                  </pic:spPr>
                </pic:pic>
              </a:graphicData>
            </a:graphic>
          </wp:anchor>
        </w:drawing>
      </w: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r>
        <w:rPr>
          <w:rFonts w:hint="default" w:ascii="BIZ UDPゴシック" w:hAnsi="BIZ UDPゴシック" w:eastAsia="BIZ UDPゴシック"/>
          <w:color w:val="auto"/>
          <w:highlight w:val="none"/>
        </w:rPr>
        <w:br w:type="page"/>
      </w:r>
    </w:p>
    <w:p>
      <w:pPr>
        <w:pStyle w:val="26"/>
        <w:spacing w:after="76" w:afterLines="0" w:afterAutospacing="0"/>
        <w:rPr>
          <w:rFonts w:hint="default"/>
          <w:color w:val="auto"/>
          <w:highlight w:val="none"/>
        </w:rPr>
      </w:pPr>
      <w:bookmarkStart w:id="52" w:name="_Toc152160630"/>
      <w:r>
        <w:rPr>
          <w:rFonts w:hint="eastAsia"/>
          <w:color w:val="auto"/>
          <w:highlight w:val="none"/>
        </w:rPr>
        <w:t>（４）在宅生活改善調査</w:t>
      </w:r>
      <w:r>
        <w:rPr>
          <w:rFonts w:hint="eastAsia"/>
          <w:color w:val="auto"/>
          <w:sz w:val="24"/>
          <w:highlight w:val="none"/>
        </w:rPr>
        <w:t>（対象：市内の居宅・小規模多機能開設事業者）</w:t>
      </w:r>
      <w:bookmarkEnd w:id="52"/>
    </w:p>
    <w:p>
      <w:pPr>
        <w:pStyle w:val="0"/>
        <w:numPr>
          <w:ilvl w:val="3"/>
          <w:numId w:val="1"/>
        </w:numPr>
        <w:autoSpaceDE w:val="0"/>
        <w:autoSpaceDN w:val="0"/>
        <w:spacing w:line="380" w:lineRule="exact"/>
        <w:ind w:left="882" w:leftChars="200" w:hanging="442"/>
        <w:rPr>
          <w:rFonts w:hint="default"/>
          <w:color w:val="auto"/>
          <w:highlight w:val="none"/>
        </w:rPr>
      </w:pPr>
      <w:r>
        <w:rPr>
          <w:rFonts w:hint="eastAsia"/>
          <w:color w:val="auto"/>
          <w:highlight w:val="none"/>
        </w:rPr>
        <w:t>現在自宅等（※サービス付き高齢者向け住宅・住宅型有料老人ホーム・軽費老人ホームを含む）に居住しており、現在のサービス利用では生活の維持が難しくなっているとケアマネジャーが回答した利用者は</w:t>
      </w:r>
      <w:r>
        <w:rPr>
          <w:rFonts w:hint="eastAsia"/>
          <w:color w:val="auto"/>
          <w:highlight w:val="none"/>
        </w:rPr>
        <w:t>180</w:t>
      </w:r>
      <w:r>
        <w:rPr>
          <w:rFonts w:hint="eastAsia"/>
          <w:color w:val="auto"/>
          <w:highlight w:val="none"/>
        </w:rPr>
        <w:t>人であり、全体（</w:t>
      </w:r>
      <w:r>
        <w:rPr>
          <w:rFonts w:hint="eastAsia"/>
          <w:color w:val="auto"/>
          <w:highlight w:val="none"/>
        </w:rPr>
        <w:t>2,147</w:t>
      </w:r>
      <w:r>
        <w:rPr>
          <w:rFonts w:hint="eastAsia"/>
          <w:color w:val="auto"/>
          <w:highlight w:val="none"/>
        </w:rPr>
        <w:t>人）の</w:t>
      </w:r>
      <w:r>
        <w:rPr>
          <w:rFonts w:hint="eastAsia"/>
          <w:color w:val="auto"/>
          <w:highlight w:val="none"/>
        </w:rPr>
        <w:t>8.4</w:t>
      </w:r>
      <w:r>
        <w:rPr>
          <w:rFonts w:hint="eastAsia"/>
          <w:color w:val="auto"/>
          <w:highlight w:val="none"/>
        </w:rPr>
        <w:t>％となっています。</w:t>
      </w:r>
    </w:p>
    <w:p>
      <w:pPr>
        <w:pStyle w:val="0"/>
        <w:autoSpaceDE w:val="0"/>
        <w:autoSpaceDN w:val="0"/>
        <w:spacing w:before="185" w:beforeLines="50" w:beforeAutospacing="0" w:line="380" w:lineRule="exact"/>
        <w:ind w:left="425" w:leftChars="193"/>
        <w:jc w:val="center"/>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図表　現在の利用者の自宅やサービス付き高齢者向け住宅等での生活の状況</w:t>
      </w:r>
    </w:p>
    <w:p>
      <w:pPr>
        <w:pStyle w:val="0"/>
        <w:rPr>
          <w:rFonts w:hint="default" w:ascii="ＭＳ 明朝" w:hAnsi="ＭＳ 明朝" w:eastAsia="ＭＳ 明朝"/>
          <w:color w:val="auto"/>
          <w:highlight w:val="none"/>
        </w:rPr>
      </w:pPr>
      <w:r>
        <w:rPr>
          <w:rFonts w:hint="eastAsia" w:ascii="BIZ UDPゴシック" w:hAnsi="BIZ UDPゴシック" w:eastAsia="BIZ UDPゴシック"/>
          <w:color w:val="auto"/>
          <w:highlight w:val="none"/>
        </w:rPr>
        <w:drawing>
          <wp:anchor distT="0" distB="0" distL="114300" distR="114300" simplePos="0" relativeHeight="27" behindDoc="0" locked="0" layoutInCell="1" hidden="0" allowOverlap="1">
            <wp:simplePos x="0" y="0"/>
            <wp:positionH relativeFrom="column">
              <wp:posOffset>80010</wp:posOffset>
            </wp:positionH>
            <wp:positionV relativeFrom="paragraph">
              <wp:posOffset>81915</wp:posOffset>
            </wp:positionV>
            <wp:extent cx="5572125" cy="1238250"/>
            <wp:effectExtent l="0" t="0" r="0" b="0"/>
            <wp:wrapNone/>
            <wp:docPr id="1134" name="Picture 3"/>
            <a:graphic xmlns:a="http://schemas.openxmlformats.org/drawingml/2006/main">
              <a:graphicData uri="http://schemas.openxmlformats.org/drawingml/2006/picture">
                <pic:pic xmlns:pic="http://schemas.openxmlformats.org/drawingml/2006/picture">
                  <pic:nvPicPr>
                    <pic:cNvPr id="1134" name="Picture 3"/>
                    <pic:cNvPicPr>
                      <a:picLocks noChangeAspect="1" noChangeArrowheads="1"/>
                    </pic:cNvPicPr>
                  </pic:nvPicPr>
                  <pic:blipFill>
                    <a:blip r:embed="rId78"/>
                    <a:stretch>
                      <a:fillRect/>
                    </a:stretch>
                  </pic:blipFill>
                  <pic:spPr>
                    <a:xfrm>
                      <a:off x="0" y="0"/>
                      <a:ext cx="5572125" cy="1238250"/>
                    </a:xfrm>
                    <a:prstGeom prst="rect">
                      <a:avLst/>
                    </a:prstGeom>
                    <a:noFill/>
                    <a:ln>
                      <a:noFill/>
                    </a:ln>
                  </pic:spPr>
                </pic:pic>
              </a:graphicData>
            </a:graphic>
          </wp:anchor>
        </w:drawing>
      </w: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numPr>
          <w:ilvl w:val="3"/>
          <w:numId w:val="1"/>
        </w:numPr>
        <w:autoSpaceDE w:val="0"/>
        <w:autoSpaceDN w:val="0"/>
        <w:spacing w:line="380" w:lineRule="exact"/>
        <w:ind w:left="882" w:leftChars="200" w:hanging="442"/>
        <w:rPr>
          <w:rFonts w:hint="default"/>
          <w:color w:val="auto"/>
          <w:highlight w:val="none"/>
        </w:rPr>
      </w:pPr>
      <w:r>
        <w:rPr>
          <w:rFonts w:hint="eastAsia"/>
          <w:color w:val="auto"/>
          <w:highlight w:val="none"/>
        </w:rPr>
        <w:t>自宅等での生活の維持が難しくなっている理由として、本人の状態等に属する理由では、「必要な身体介護の増大」が最も高く、次いで「認知症の症状の悪化」となっています。</w:t>
      </w:r>
    </w:p>
    <w:p>
      <w:pPr>
        <w:pStyle w:val="0"/>
        <w:autoSpaceDE w:val="0"/>
        <w:autoSpaceDN w:val="0"/>
        <w:spacing w:before="185" w:beforeLines="50" w:beforeAutospacing="0" w:line="380" w:lineRule="exact"/>
        <w:ind w:left="425" w:leftChars="193"/>
        <w:jc w:val="center"/>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図表　自宅等での生活の維持が難しくなっている理由（本人の状態等に属する理由）</w:t>
      </w:r>
    </w:p>
    <w:p>
      <w:pPr>
        <w:pStyle w:val="0"/>
        <w:autoSpaceDE w:val="0"/>
        <w:autoSpaceDN w:val="0"/>
        <w:spacing w:line="380" w:lineRule="exact"/>
        <w:ind w:left="425" w:leftChars="193"/>
        <w:jc w:val="right"/>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drawing>
          <wp:anchor distT="0" distB="0" distL="114300" distR="114300" simplePos="0" relativeHeight="30" behindDoc="0" locked="0" layoutInCell="1" hidden="0" allowOverlap="1">
            <wp:simplePos x="0" y="0"/>
            <wp:positionH relativeFrom="column">
              <wp:posOffset>-5715</wp:posOffset>
            </wp:positionH>
            <wp:positionV relativeFrom="paragraph">
              <wp:posOffset>230505</wp:posOffset>
            </wp:positionV>
            <wp:extent cx="5762625" cy="3324225"/>
            <wp:effectExtent l="0" t="0" r="0" b="0"/>
            <wp:wrapNone/>
            <wp:docPr id="1135" name="Picture 4"/>
            <a:graphic xmlns:a="http://schemas.openxmlformats.org/drawingml/2006/main">
              <a:graphicData uri="http://schemas.openxmlformats.org/drawingml/2006/picture">
                <pic:pic xmlns:pic="http://schemas.openxmlformats.org/drawingml/2006/picture">
                  <pic:nvPicPr>
                    <pic:cNvPr id="1135" name="Picture 4"/>
                    <pic:cNvPicPr>
                      <a:picLocks noChangeAspect="1" noChangeArrowheads="1"/>
                    </pic:cNvPicPr>
                  </pic:nvPicPr>
                  <pic:blipFill>
                    <a:blip r:embed="rId79"/>
                    <a:stretch>
                      <a:fillRect/>
                    </a:stretch>
                  </pic:blipFill>
                  <pic:spPr>
                    <a:xfrm>
                      <a:off x="0" y="0"/>
                      <a:ext cx="5762625" cy="3324225"/>
                    </a:xfrm>
                    <a:prstGeom prst="rect">
                      <a:avLst/>
                    </a:prstGeom>
                    <a:noFill/>
                    <a:ln>
                      <a:noFill/>
                    </a:ln>
                  </pic:spPr>
                </pic:pic>
              </a:graphicData>
            </a:graphic>
          </wp:anchor>
        </w:drawing>
      </w:r>
      <w:r>
        <w:rPr>
          <w:rFonts w:hint="eastAsia" w:ascii="BIZ UDPゴシック" w:hAnsi="BIZ UDPゴシック" w:eastAsia="BIZ UDPゴシック"/>
          <w:color w:val="auto"/>
          <w:sz w:val="21"/>
          <w:highlight w:val="none"/>
        </w:rPr>
        <w:t>/</w:t>
      </w:r>
      <w:r>
        <w:rPr>
          <w:rFonts w:hint="eastAsia" w:ascii="BIZ UDPゴシック" w:hAnsi="BIZ UDPゴシック" w:eastAsia="BIZ UDPゴシック"/>
          <w:color w:val="auto"/>
          <w:sz w:val="21"/>
          <w:highlight w:val="none"/>
        </w:rPr>
        <w:t>要支援・要介護度別</w:t>
      </w: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r>
        <w:rPr>
          <w:rFonts w:hint="default" w:ascii="BIZ UDPゴシック" w:hAnsi="BIZ UDPゴシック" w:eastAsia="BIZ UDPゴシック"/>
          <w:color w:val="auto"/>
          <w:highlight w:val="none"/>
        </w:rPr>
        <w:br w:type="page"/>
      </w:r>
    </w:p>
    <w:p>
      <w:pPr>
        <w:pStyle w:val="0"/>
        <w:numPr>
          <w:ilvl w:val="3"/>
          <w:numId w:val="1"/>
        </w:numPr>
        <w:autoSpaceDE w:val="0"/>
        <w:autoSpaceDN w:val="0"/>
        <w:spacing w:line="380" w:lineRule="exact"/>
        <w:ind w:left="882" w:leftChars="200" w:hanging="442"/>
        <w:rPr>
          <w:rFonts w:hint="default"/>
          <w:color w:val="auto"/>
          <w:highlight w:val="none"/>
        </w:rPr>
      </w:pPr>
      <w:r>
        <w:rPr>
          <w:rFonts w:hint="eastAsia"/>
          <w:color w:val="auto"/>
          <w:highlight w:val="none"/>
        </w:rPr>
        <w:t>「より適切な住まい・施設等」が必要な利用者で特養のみを除いたうちでは、「グループホーム」が必要な利用者の割合が最も高くなっています。</w:t>
      </w:r>
    </w:p>
    <w:p>
      <w:pPr>
        <w:pStyle w:val="0"/>
        <w:numPr>
          <w:ilvl w:val="3"/>
          <w:numId w:val="1"/>
        </w:numPr>
        <w:autoSpaceDE w:val="0"/>
        <w:autoSpaceDN w:val="0"/>
        <w:spacing w:line="380" w:lineRule="exact"/>
        <w:ind w:left="882" w:leftChars="200" w:hanging="442"/>
        <w:rPr>
          <w:rFonts w:hint="default"/>
          <w:color w:val="auto"/>
          <w:highlight w:val="none"/>
        </w:rPr>
      </w:pPr>
      <w:r>
        <w:rPr>
          <w:rFonts w:hint="eastAsia"/>
          <w:color w:val="auto"/>
          <w:highlight w:val="none"/>
        </w:rPr>
        <w:t>在宅サービスでは、「ショートステイ」の割合が最も高く、「訪問介護、訪問入浴」、「通所介護、通所リハ、認知症対応型通所」、「小規模多機能型居宅介護」が続いています。</w:t>
      </w:r>
    </w:p>
    <w:p>
      <w:pPr>
        <w:pStyle w:val="0"/>
        <w:autoSpaceDE w:val="0"/>
        <w:autoSpaceDN w:val="0"/>
        <w:spacing w:before="185" w:beforeLines="50" w:beforeAutospacing="0" w:line="380" w:lineRule="exact"/>
        <w:ind w:left="425" w:leftChars="193"/>
        <w:jc w:val="center"/>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図表</w:t>
      </w:r>
      <w:r>
        <w:rPr>
          <w:rFonts w:hint="eastAsia" w:ascii="BIZ UDPゴシック" w:hAnsi="BIZ UDPゴシック" w:eastAsia="BIZ UDPゴシック"/>
          <w:color w:val="auto"/>
          <w:sz w:val="21"/>
          <w:highlight w:val="none"/>
        </w:rPr>
        <w:t>　</w:t>
      </w:r>
      <w:r>
        <w:rPr>
          <w:rFonts w:hint="default" w:ascii="BIZ UDPゴシック" w:hAnsi="BIZ UDPゴシック" w:eastAsia="BIZ UDPゴシック"/>
          <w:color w:val="auto"/>
          <w:sz w:val="21"/>
          <w:highlight w:val="none"/>
        </w:rPr>
        <w:t>必要とされるサービスの内容（より適切な住まい・施設等が必要な人）</w:t>
      </w:r>
    </w:p>
    <w:p>
      <w:pPr>
        <w:pStyle w:val="0"/>
        <w:spacing w:line="380" w:lineRule="exact"/>
        <w:rPr>
          <w:rFonts w:hint="default" w:ascii="BIZ UDPゴシック" w:hAnsi="BIZ UDPゴシック" w:eastAsia="BIZ UDPゴシック"/>
          <w:color w:val="auto"/>
          <w:highlight w:val="none"/>
        </w:rPr>
      </w:pPr>
      <w:r>
        <w:rPr>
          <w:rFonts w:hint="default"/>
          <w:color w:val="auto"/>
          <w:highlight w:val="none"/>
        </w:rPr>
        <w:drawing>
          <wp:anchor distT="0" distB="0" distL="114300" distR="114300" simplePos="0" relativeHeight="34" behindDoc="0" locked="0" layoutInCell="1" hidden="0" allowOverlap="1">
            <wp:simplePos x="0" y="0"/>
            <wp:positionH relativeFrom="column">
              <wp:posOffset>-278765</wp:posOffset>
            </wp:positionH>
            <wp:positionV relativeFrom="paragraph">
              <wp:posOffset>73025</wp:posOffset>
            </wp:positionV>
            <wp:extent cx="6127115" cy="1971675"/>
            <wp:effectExtent l="0" t="0" r="0" b="0"/>
            <wp:wrapNone/>
            <wp:docPr id="1136" name="Picture 10"/>
            <a:graphic xmlns:a="http://schemas.openxmlformats.org/drawingml/2006/main">
              <a:graphicData uri="http://schemas.openxmlformats.org/drawingml/2006/picture">
                <pic:pic xmlns:pic="http://schemas.openxmlformats.org/drawingml/2006/picture">
                  <pic:nvPicPr>
                    <pic:cNvPr id="1136" name="Picture 10"/>
                    <pic:cNvPicPr>
                      <a:picLocks noChangeAspect="1" noChangeArrowheads="1"/>
                    </pic:cNvPicPr>
                  </pic:nvPicPr>
                  <pic:blipFill>
                    <a:blip r:embed="rId80"/>
                    <a:stretch>
                      <a:fillRect/>
                    </a:stretch>
                  </pic:blipFill>
                  <pic:spPr>
                    <a:xfrm>
                      <a:off x="0" y="0"/>
                      <a:ext cx="6127115" cy="1971675"/>
                    </a:xfrm>
                    <a:prstGeom prst="rect">
                      <a:avLst/>
                    </a:prstGeom>
                    <a:noFill/>
                    <a:ln>
                      <a:noFill/>
                    </a:ln>
                  </pic:spPr>
                </pic:pic>
              </a:graphicData>
            </a:graphic>
          </wp:anchor>
        </w:drawing>
      </w: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autoSpaceDE w:val="0"/>
        <w:autoSpaceDN w:val="0"/>
        <w:spacing w:before="185" w:beforeLines="50" w:beforeAutospacing="0" w:line="380" w:lineRule="exact"/>
        <w:ind w:firstLine="210" w:firstLineChars="100"/>
        <w:jc w:val="center"/>
        <w:rPr>
          <w:rFonts w:hint="default" w:ascii="BIZ UDPゴシック" w:hAnsi="BIZ UDPゴシック" w:eastAsia="BIZ UDPゴシック"/>
          <w:color w:val="auto"/>
          <w:sz w:val="21"/>
          <w:highlight w:val="none"/>
        </w:rPr>
      </w:pPr>
      <w:r>
        <w:rPr>
          <w:rFonts w:hint="default" w:ascii="BIZ UDPゴシック" w:hAnsi="BIZ UDPゴシック" w:eastAsia="BIZ UDPゴシック"/>
          <w:color w:val="auto"/>
          <w:sz w:val="21"/>
          <w:highlight w:val="none"/>
        </w:rPr>
        <w:t>図表</w:t>
      </w:r>
      <w:r>
        <w:rPr>
          <w:rFonts w:hint="eastAsia" w:ascii="BIZ UDPゴシック" w:hAnsi="BIZ UDPゴシック" w:eastAsia="BIZ UDPゴシック"/>
          <w:color w:val="auto"/>
          <w:sz w:val="21"/>
          <w:highlight w:val="none"/>
        </w:rPr>
        <w:t>　</w:t>
      </w:r>
      <w:r>
        <w:rPr>
          <w:rFonts w:hint="default" w:ascii="BIZ UDPゴシック" w:hAnsi="BIZ UDPゴシック" w:eastAsia="BIZ UDPゴシック"/>
          <w:color w:val="auto"/>
          <w:sz w:val="21"/>
          <w:highlight w:val="none"/>
        </w:rPr>
        <w:t>必要とされるサービスの内容（より適切な在宅サービスか住まい・施設等が必要な人）</w:t>
      </w:r>
    </w:p>
    <w:p>
      <w:pPr>
        <w:pStyle w:val="0"/>
        <w:spacing w:line="380" w:lineRule="exact"/>
        <w:rPr>
          <w:rFonts w:hint="default" w:ascii="BIZ UDPゴシック" w:hAnsi="BIZ UDPゴシック" w:eastAsia="BIZ UDPゴシック"/>
          <w:color w:val="auto"/>
          <w:highlight w:val="none"/>
        </w:rPr>
      </w:pPr>
      <w:r>
        <w:rPr>
          <w:rFonts w:hint="default" w:ascii="BIZ UDPゴシック" w:hAnsi="BIZ UDPゴシック" w:eastAsia="BIZ UDPゴシック"/>
          <w:color w:val="auto"/>
          <w:highlight w:val="none"/>
        </w:rPr>
        <mc:AlternateContent>
          <mc:Choice Requires="wpg">
            <w:drawing>
              <wp:anchor distT="0" distB="0" distL="114300" distR="114300" simplePos="0" relativeHeight="64" behindDoc="0" locked="0" layoutInCell="1" hidden="0" allowOverlap="1">
                <wp:simplePos x="0" y="0"/>
                <wp:positionH relativeFrom="column">
                  <wp:posOffset>-270510</wp:posOffset>
                </wp:positionH>
                <wp:positionV relativeFrom="paragraph">
                  <wp:posOffset>121285</wp:posOffset>
                </wp:positionV>
                <wp:extent cx="6127115" cy="4246245"/>
                <wp:effectExtent l="0" t="0" r="0" b="0"/>
                <wp:wrapNone/>
                <wp:docPr id="1137" name="グループ化 2"/>
                <a:graphic xmlns:a="http://schemas.openxmlformats.org/drawingml/2006/main">
                  <a:graphicData uri="http://schemas.microsoft.com/office/word/2010/wordprocessingGroup">
                    <wpg:wgp>
                      <wpg:cNvGrpSpPr/>
                      <wpg:grpSpPr>
                        <a:xfrm>
                          <a:off x="0" y="0"/>
                          <a:ext cx="6127115" cy="4246245"/>
                          <a:chOff x="0" y="0"/>
                          <a:chExt cx="6127115" cy="4246245"/>
                        </a:xfrm>
                      </wpg:grpSpPr>
                      <pic:pic xmlns:pic="http://schemas.openxmlformats.org/drawingml/2006/picture">
                        <pic:nvPicPr>
                          <pic:cNvPr id="1138" name="図 11"/>
                          <pic:cNvPicPr>
                            <a:picLocks noChangeAspect="1"/>
                          </pic:cNvPicPr>
                        </pic:nvPicPr>
                        <pic:blipFill>
                          <a:blip r:embed="rId81"/>
                          <a:stretch>
                            <a:fillRect/>
                          </a:stretch>
                        </pic:blipFill>
                        <pic:spPr>
                          <a:xfrm>
                            <a:off x="0" y="0"/>
                            <a:ext cx="6127115" cy="4246245"/>
                          </a:xfrm>
                          <a:prstGeom prst="rect">
                            <a:avLst/>
                          </a:prstGeom>
                          <a:noFill/>
                          <a:ln>
                            <a:noFill/>
                          </a:ln>
                        </pic:spPr>
                      </pic:pic>
                      <wps:wsp>
                        <wps:cNvPr id="1139" name="正方形/長方形 1"/>
                        <wps:cNvSpPr/>
                        <wps:spPr>
                          <a:xfrm>
                            <a:off x="707366" y="2406769"/>
                            <a:ext cx="1992630" cy="25019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jc w:val="right"/>
                                <w:rPr>
                                  <w:rFonts w:hint="default" w:ascii="ＭＳ Ｐゴシック" w:hAnsi="ＭＳ Ｐゴシック" w:eastAsia="ＭＳ Ｐゴシック"/>
                                  <w:color w:val="000000" w:themeColor="text1"/>
                                  <w:sz w:val="18"/>
                                </w:rPr>
                              </w:pPr>
                              <w:r>
                                <w:rPr>
                                  <w:rFonts w:hint="eastAsia" w:ascii="ＭＳ Ｐゴシック" w:hAnsi="ＭＳ Ｐゴシック" w:eastAsia="ＭＳ Ｐゴシック"/>
                                  <w:color w:val="000000" w:themeColor="text1"/>
                                  <w:sz w:val="18"/>
                                </w:rPr>
                                <w:t>通所介護、通所リハ、認知症対応型通所</w:t>
                              </w:r>
                            </w:p>
                          </w:txbxContent>
                        </wps:txbx>
                        <wps:bodyPr rot="0" vertOverflow="overflow" horzOverflow="overflow" wrap="square" lIns="0" tIns="0" rIns="0" bIns="0" numCol="1" spcCol="0" rtlCol="0" fromWordArt="0" anchor="ctr" anchorCtr="0" forceAA="0" compatLnSpc="1"/>
                      </wps:wsp>
                    </wpg:wgp>
                  </a:graphicData>
                </a:graphic>
              </wp:anchor>
            </w:drawing>
          </mc:Choice>
          <mc:Fallback>
            <w:pict>
              <v:group id="グループ化 2" style="mso-wrap-distance-right:9pt;mso-wrap-distance-bottom:0pt;margin-top:9.5500000000000007pt;mso-position-vertical-relative:text;mso-position-horizontal-relative:text;position:absolute;height:334.35pt;mso-wrap-distance-top:0pt;width:482.45pt;mso-wrap-distance-left:9pt;margin-left:-21.3pt;z-index:64;" coordsize="6127115,4246245" coordorigin="0,0" o:spid="_x0000_s1137"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style="height:4246245;width:6127115;top:0;left:0;position:absolute;" o:spid="_x0000_s1138" filled="f" stroked="f" o:spt="75" type="#_x0000_t75">
                  <v:fill/>
                  <v:imagedata o:title="" r:id="rId81"/>
                  <w10:wrap type="none" anchorx="text" anchory="text"/>
                </v:shape>
                <v:rect id="正方形/長方形 1" style="height:250190;width:1992630;top:2406769;left:707366;v-text-anchor:middle;position:absolute;" o:spid="_x0000_s1139" filled="t" fillcolor="#ffffff [3212]" stroked="f" strokecolor="#1c2e52" strokeweight="1pt" o:spt="1">
                  <v:fill/>
                  <v:stroke linestyle="single" miterlimit="8" endcap="flat" dashstyle="solid"/>
                  <v:textbox style="layout-flow:horizontal;" inset="0mm,0mm,0mm,0mm">
                    <w:txbxContent>
                      <w:p>
                        <w:pPr>
                          <w:pStyle w:val="0"/>
                          <w:jc w:val="right"/>
                          <w:rPr>
                            <w:rFonts w:hint="default" w:ascii="ＭＳ Ｐゴシック" w:hAnsi="ＭＳ Ｐゴシック" w:eastAsia="ＭＳ Ｐゴシック"/>
                            <w:color w:val="000000" w:themeColor="text1"/>
                            <w:sz w:val="18"/>
                          </w:rPr>
                        </w:pPr>
                        <w:r>
                          <w:rPr>
                            <w:rFonts w:hint="eastAsia" w:ascii="ＭＳ Ｐゴシック" w:hAnsi="ＭＳ Ｐゴシック" w:eastAsia="ＭＳ Ｐゴシック"/>
                            <w:color w:val="000000" w:themeColor="text1"/>
                            <w:sz w:val="18"/>
                          </w:rPr>
                          <w:t>通所介護、通所リハ、認知症対応型通所</w:t>
                        </w:r>
                      </w:p>
                    </w:txbxContent>
                  </v:textbox>
                  <v:imagedata o:title=""/>
                  <w10:wrap type="none" anchorx="text" anchory="text"/>
                </v:rect>
                <w10:wrap type="none" anchorx="text" anchory="text"/>
              </v:group>
            </w:pict>
          </mc:Fallback>
        </mc:AlternateContent>
      </w: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r>
        <w:rPr>
          <w:rFonts w:hint="default"/>
          <w:color w:val="auto"/>
          <w:highlight w:val="none"/>
        </w:rPr>
        <mc:AlternateContent>
          <mc:Choice Requires="wps">
            <w:drawing>
              <wp:anchor distT="4294967295" distB="4294967295" distL="114300" distR="114300" simplePos="0" relativeHeight="60" behindDoc="0" locked="0" layoutInCell="1" hidden="0" allowOverlap="1">
                <wp:simplePos x="0" y="0"/>
                <wp:positionH relativeFrom="column">
                  <wp:posOffset>1409700</wp:posOffset>
                </wp:positionH>
                <wp:positionV relativeFrom="paragraph">
                  <wp:posOffset>7381240</wp:posOffset>
                </wp:positionV>
                <wp:extent cx="4899660" cy="0"/>
                <wp:effectExtent l="0" t="635" r="29210" b="10795"/>
                <wp:wrapNone/>
                <wp:docPr id="1140" name="直線コネクタ 3"/>
                <a:graphic xmlns:a="http://schemas.openxmlformats.org/drawingml/2006/main">
                  <a:graphicData uri="http://schemas.microsoft.com/office/word/2010/wordprocessingShape">
                    <wps:wsp>
                      <wps:cNvPr id="1140" name="直線コネクタ 3"/>
                      <wps:cNvSpPr/>
                      <wps:spPr>
                        <a:xfrm>
                          <a:off x="0" y="0"/>
                          <a:ext cx="489966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 style="mso-wrap-distance-top:0pt;mso-wrap-distance-right:9pt;mso-wrap-distance-bottom:0pt;mso-position-vertical-relative:text;mso-position-horizontal-relative:text;position:absolute;mso-wrap-distance-left:9pt;z-index:60;" o:spid="_x0000_s1140" o:allowincell="t" o:allowoverlap="t" filled="f" stroked="t" strokecolor="#000000 [3213]" strokeweight="0.5pt" o:spt="20" from="111pt,581.20000000000005pt" to="496.8pt,581.20000000000005pt">
                <v:fill/>
                <v:stroke linestyle="single" miterlimit="8" endcap="flat" dashstyle="dash" filltype="solid"/>
                <v:textbox style="layout-flow:horizontal;"/>
                <v:imagedata o:title=""/>
                <w10:wrap type="none" anchorx="text" anchory="text"/>
              </v:line>
            </w:pict>
          </mc:Fallback>
        </mc:AlternateContent>
      </w: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r>
        <w:rPr>
          <w:rFonts w:hint="default" w:ascii="BIZ UDPゴシック" w:hAnsi="BIZ UDPゴシック" w:eastAsia="BIZ UDPゴシック"/>
          <w:color w:val="auto"/>
          <w:highlight w:val="none"/>
        </w:rPr>
        <mc:AlternateContent>
          <mc:Choice Requires="wps">
            <w:drawing>
              <wp:anchor distT="0" distB="0" distL="114300" distR="114300" simplePos="0" relativeHeight="62" behindDoc="0" locked="0" layoutInCell="1" hidden="0" allowOverlap="1">
                <wp:simplePos x="0" y="0"/>
                <wp:positionH relativeFrom="column">
                  <wp:posOffset>496570</wp:posOffset>
                </wp:positionH>
                <wp:positionV relativeFrom="paragraph">
                  <wp:posOffset>130175</wp:posOffset>
                </wp:positionV>
                <wp:extent cx="4824095" cy="0"/>
                <wp:effectExtent l="0" t="635" r="29210" b="10795"/>
                <wp:wrapNone/>
                <wp:docPr id="1141" name="直線矢印コネクタ 2"/>
                <a:graphic xmlns:a="http://schemas.openxmlformats.org/drawingml/2006/main">
                  <a:graphicData uri="http://schemas.microsoft.com/office/word/2010/wordprocessingShape">
                    <wps:wsp>
                      <wps:cNvPr id="1141" name="直線矢印コネクタ 2"/>
                      <wps:cNvCnPr/>
                      <wps:spPr>
                        <a:xfrm>
                          <a:off x="0" y="0"/>
                          <a:ext cx="4824095" cy="0"/>
                        </a:xfrm>
                        <a:prstGeom prst="straightConnector1">
                          <a:avLst/>
                        </a:prstGeom>
                        <a:noFill/>
                        <a:ln w="6350">
                          <a:solidFill>
                            <a:srgbClr val="000000"/>
                          </a:solidFill>
                          <a:prstDash val="dash"/>
                          <a:round/>
                          <a:headEnd/>
                          <a:tailEnd/>
                        </a:ln>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2" style="mso-wrap-distance-right:9pt;mso-wrap-distance-bottom:0pt;margin-top:10.25pt;mso-position-vertical-relative:text;mso-position-horizontal-relative:text;position:absolute;height:0pt;mso-wrap-distance-top:0pt;width:379.85pt;mso-wrap-distance-left:9pt;margin-left:39.1pt;z-index:62;" o:spid="_x0000_s1141" o:allowincell="t" o:allowoverlap="t" filled="f" stroked="t" strokecolor="#000000" strokeweight="0.5pt" o:spt="32" type="#_x0000_t32">
                <v:fill/>
                <v:stroke dashstyle="dash" filltype="solid"/>
                <v:imagedata o:title=""/>
                <w10:wrap type="none" anchorx="text" anchory="text"/>
              </v:shape>
            </w:pict>
          </mc:Fallback>
        </mc:AlternateContent>
      </w: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r>
        <w:rPr>
          <w:rFonts w:hint="default" w:ascii="BIZ UDPゴシック" w:hAnsi="BIZ UDPゴシック" w:eastAsia="BIZ UDPゴシック"/>
          <w:color w:val="auto"/>
          <w:highlight w:val="none"/>
        </w:rPr>
        <w:br w:type="page"/>
      </w:r>
    </w:p>
    <w:p>
      <w:pPr>
        <w:pStyle w:val="26"/>
        <w:spacing w:after="76" w:afterLines="0" w:afterAutospacing="0"/>
        <w:rPr>
          <w:rFonts w:hint="default"/>
          <w:color w:val="auto"/>
          <w:highlight w:val="none"/>
        </w:rPr>
      </w:pPr>
      <w:bookmarkStart w:id="53" w:name="_Toc152160631"/>
      <w:r>
        <w:rPr>
          <w:rFonts w:hint="eastAsia"/>
          <w:color w:val="auto"/>
          <w:highlight w:val="none"/>
        </w:rPr>
        <w:t>（５）居所変更実態調査</w:t>
      </w:r>
      <w:r>
        <w:rPr>
          <w:rFonts w:hint="eastAsia"/>
          <w:color w:val="auto"/>
          <w:sz w:val="24"/>
          <w:highlight w:val="none"/>
        </w:rPr>
        <w:t>（対象：市内の居住系介護サービス提供事業所）</w:t>
      </w:r>
      <w:bookmarkEnd w:id="53"/>
    </w:p>
    <w:p>
      <w:pPr>
        <w:pStyle w:val="0"/>
        <w:numPr>
          <w:ilvl w:val="3"/>
          <w:numId w:val="1"/>
        </w:numPr>
        <w:autoSpaceDE w:val="0"/>
        <w:autoSpaceDN w:val="0"/>
        <w:spacing w:line="380" w:lineRule="exact"/>
        <w:ind w:left="882" w:leftChars="200" w:hanging="442"/>
        <w:rPr>
          <w:rFonts w:hint="default"/>
          <w:color w:val="auto"/>
          <w:highlight w:val="none"/>
        </w:rPr>
      </w:pPr>
      <w:r>
        <w:rPr>
          <w:rFonts w:hint="eastAsia"/>
          <w:color w:val="auto"/>
          <w:highlight w:val="none"/>
        </w:rPr>
        <w:t>軽費老人ホーム、サービス付き高齢者向け住宅を除く施設で、退所・退居理由の１位として「医療的ケア・医療処置の必要性が高まったから」と回答した割合が最も高くなっています。</w:t>
      </w:r>
    </w:p>
    <w:p>
      <w:pPr>
        <w:pStyle w:val="0"/>
        <w:numPr>
          <w:ilvl w:val="3"/>
          <w:numId w:val="1"/>
        </w:numPr>
        <w:autoSpaceDE w:val="0"/>
        <w:autoSpaceDN w:val="0"/>
        <w:spacing w:line="380" w:lineRule="exact"/>
        <w:ind w:left="882" w:leftChars="200" w:hanging="442"/>
        <w:rPr>
          <w:rFonts w:hint="default"/>
          <w:color w:val="auto"/>
          <w:highlight w:val="none"/>
        </w:rPr>
      </w:pPr>
      <w:r>
        <w:rPr>
          <w:rFonts w:hint="eastAsia"/>
          <w:color w:val="auto"/>
          <w:highlight w:val="none"/>
        </w:rPr>
        <w:t>軽費老人ホームでは「必要な身体介護が発生・増大したから」、サービス付き高齢者向け住宅では「必要な生活支援が増大したから」と回答した割合が高くなっています。</w:t>
      </w:r>
    </w:p>
    <w:p>
      <w:pPr>
        <w:pStyle w:val="0"/>
        <w:autoSpaceDE w:val="0"/>
        <w:autoSpaceDN w:val="0"/>
        <w:spacing w:before="185" w:beforeLines="50" w:beforeAutospacing="0" w:line="380" w:lineRule="exact"/>
        <w:ind w:left="425" w:leftChars="193"/>
        <w:jc w:val="center"/>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図表　入所・入居者が退所・退居する理由</w:t>
      </w:r>
    </w:p>
    <w:p>
      <w:pPr>
        <w:pStyle w:val="0"/>
        <w:rPr>
          <w:rFonts w:hint="default"/>
          <w:color w:val="auto"/>
          <w:highlight w:val="none"/>
        </w:rPr>
      </w:pPr>
      <w:r>
        <w:rPr>
          <w:rFonts w:hint="eastAsia"/>
          <w:color w:val="auto"/>
          <w:highlight w:val="none"/>
        </w:rPr>
        <w:drawing>
          <wp:anchor distT="0" distB="0" distL="114300" distR="114300" simplePos="0" relativeHeight="46" behindDoc="1" locked="0" layoutInCell="1" hidden="0" allowOverlap="1">
            <wp:simplePos x="0" y="0"/>
            <wp:positionH relativeFrom="column">
              <wp:posOffset>-635</wp:posOffset>
            </wp:positionH>
            <wp:positionV relativeFrom="paragraph">
              <wp:posOffset>41910</wp:posOffset>
            </wp:positionV>
            <wp:extent cx="5762625" cy="3924300"/>
            <wp:effectExtent l="0" t="0" r="0" b="0"/>
            <wp:wrapNone/>
            <wp:docPr id="1142" name="Picture 6"/>
            <a:graphic xmlns:a="http://schemas.openxmlformats.org/drawingml/2006/main">
              <a:graphicData uri="http://schemas.openxmlformats.org/drawingml/2006/picture">
                <pic:pic xmlns:pic="http://schemas.openxmlformats.org/drawingml/2006/picture">
                  <pic:nvPicPr>
                    <pic:cNvPr id="1142" name="Picture 6"/>
                    <pic:cNvPicPr>
                      <a:picLocks noChangeAspect="1" noChangeArrowheads="1"/>
                    </pic:cNvPicPr>
                  </pic:nvPicPr>
                  <pic:blipFill>
                    <a:blip r:embed="rId82"/>
                    <a:stretch>
                      <a:fillRect/>
                    </a:stretch>
                  </pic:blipFill>
                  <pic:spPr>
                    <a:xfrm>
                      <a:off x="0" y="0"/>
                      <a:ext cx="5762625" cy="3924300"/>
                    </a:xfrm>
                    <a:prstGeom prst="rect">
                      <a:avLst/>
                    </a:prstGeom>
                    <a:noFill/>
                    <a:ln>
                      <a:noFill/>
                    </a:ln>
                  </pic:spPr>
                </pic:pic>
              </a:graphicData>
            </a:graphic>
          </wp:anchor>
        </w:drawing>
      </w: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r>
        <w:rPr>
          <w:rFonts w:hint="default" w:ascii="BIZ UDPゴシック" w:hAnsi="BIZ UDPゴシック" w:eastAsia="BIZ UDPゴシック"/>
          <w:color w:val="auto"/>
          <w:highlight w:val="none"/>
        </w:rPr>
        <w:br w:type="page"/>
      </w:r>
    </w:p>
    <w:p>
      <w:pPr>
        <w:pStyle w:val="26"/>
        <w:spacing w:after="76" w:afterLines="0" w:afterAutospacing="0"/>
        <w:rPr>
          <w:rFonts w:hint="default"/>
          <w:color w:val="auto"/>
          <w:highlight w:val="none"/>
        </w:rPr>
      </w:pPr>
      <w:bookmarkStart w:id="54" w:name="_Toc152160632"/>
      <w:r>
        <w:rPr>
          <w:rFonts w:hint="eastAsia"/>
          <w:color w:val="auto"/>
          <w:highlight w:val="none"/>
        </w:rPr>
        <w:t>（６）サービス提供状況調査</w:t>
      </w:r>
      <w:r>
        <w:rPr>
          <w:rFonts w:hint="eastAsia"/>
          <w:color w:val="auto"/>
          <w:sz w:val="24"/>
          <w:highlight w:val="none"/>
        </w:rPr>
        <w:t>（対象：市内介護保険サービス事業者）</w:t>
      </w:r>
      <w:bookmarkEnd w:id="54"/>
    </w:p>
    <w:p>
      <w:pPr>
        <w:pStyle w:val="0"/>
        <w:numPr>
          <w:ilvl w:val="3"/>
          <w:numId w:val="1"/>
        </w:numPr>
        <w:autoSpaceDE w:val="0"/>
        <w:autoSpaceDN w:val="0"/>
        <w:spacing w:line="380" w:lineRule="exact"/>
        <w:ind w:left="882" w:leftChars="200" w:hanging="442"/>
        <w:rPr>
          <w:rFonts w:hint="default"/>
          <w:color w:val="auto"/>
          <w:highlight w:val="none"/>
        </w:rPr>
      </w:pPr>
      <w:r>
        <w:rPr>
          <w:rFonts w:hint="eastAsia"/>
          <w:color w:val="auto"/>
          <w:highlight w:val="none"/>
        </w:rPr>
        <w:t>サービスの提供を継続していく上での課題について、「職員の新規の確保が困難である」が</w:t>
      </w:r>
      <w:r>
        <w:rPr>
          <w:rFonts w:hint="eastAsia"/>
          <w:color w:val="auto"/>
          <w:highlight w:val="none"/>
        </w:rPr>
        <w:t>60.6</w:t>
      </w:r>
      <w:r>
        <w:rPr>
          <w:rFonts w:hint="eastAsia"/>
          <w:color w:val="auto"/>
          <w:highlight w:val="none"/>
        </w:rPr>
        <w:t>％と最も高く、「提出する書類が多いなど事務作業が煩雑である」（</w:t>
      </w:r>
      <w:r>
        <w:rPr>
          <w:rFonts w:hint="eastAsia"/>
          <w:color w:val="auto"/>
          <w:highlight w:val="none"/>
        </w:rPr>
        <w:t>51.2</w:t>
      </w:r>
      <w:r>
        <w:rPr>
          <w:rFonts w:hint="eastAsia"/>
          <w:color w:val="auto"/>
          <w:highlight w:val="none"/>
        </w:rPr>
        <w:t>％）、「介護報酬が低い」（</w:t>
      </w:r>
      <w:r>
        <w:rPr>
          <w:rFonts w:hint="eastAsia"/>
          <w:color w:val="auto"/>
          <w:highlight w:val="none"/>
        </w:rPr>
        <w:t>48.2</w:t>
      </w:r>
      <w:r>
        <w:rPr>
          <w:rFonts w:hint="eastAsia"/>
          <w:color w:val="auto"/>
          <w:highlight w:val="none"/>
        </w:rPr>
        <w:t>％）が続いています。</w:t>
      </w:r>
    </w:p>
    <w:p>
      <w:pPr>
        <w:pStyle w:val="0"/>
        <w:numPr>
          <w:ilvl w:val="3"/>
          <w:numId w:val="1"/>
        </w:numPr>
        <w:autoSpaceDE w:val="0"/>
        <w:autoSpaceDN w:val="0"/>
        <w:spacing w:line="380" w:lineRule="exact"/>
        <w:ind w:left="882" w:leftChars="200" w:hanging="442"/>
        <w:rPr>
          <w:rFonts w:hint="default"/>
          <w:color w:val="auto"/>
          <w:highlight w:val="none"/>
        </w:rPr>
      </w:pPr>
      <w:r>
        <w:rPr>
          <w:rFonts w:hint="eastAsia"/>
          <w:color w:val="auto"/>
          <w:highlight w:val="none"/>
        </w:rPr>
        <w:t>サービス種別にみると、訪問系、施設・居住系では「職員の新規の確保が困難である」、通所系では「職員の新規の確保が困難である」とともに「介護報酬が低い」、居宅介護支援では「提出する書類が多いなど事務作業が煩雑である」が最も高くなっています。</w:t>
      </w:r>
    </w:p>
    <w:p>
      <w:pPr>
        <w:pStyle w:val="0"/>
        <w:autoSpaceDE w:val="0"/>
        <w:autoSpaceDN w:val="0"/>
        <w:spacing w:before="185" w:beforeLines="50" w:beforeAutospacing="0" w:line="380" w:lineRule="exact"/>
        <w:ind w:left="425" w:leftChars="193"/>
        <w:jc w:val="center"/>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図表　サービスの提供を継続していく上での課題（サービス別）</w:t>
      </w:r>
      <w:r>
        <w:rPr>
          <w:rFonts w:hint="eastAsia" w:ascii="BIZ UDPゴシック" w:hAnsi="BIZ UDPゴシック" w:eastAsia="BIZ UDPゴシック"/>
          <w:color w:val="auto"/>
          <w:sz w:val="21"/>
          <w:highlight w:val="none"/>
        </w:rPr>
        <w:t>/</w:t>
      </w:r>
      <w:r>
        <w:rPr>
          <w:rFonts w:hint="eastAsia" w:ascii="BIZ UDPゴシック" w:hAnsi="BIZ UDPゴシック" w:eastAsia="BIZ UDPゴシック"/>
          <w:color w:val="auto"/>
          <w:sz w:val="21"/>
          <w:highlight w:val="none"/>
        </w:rPr>
        <w:t>上位</w:t>
      </w:r>
      <w:r>
        <w:rPr>
          <w:rFonts w:hint="eastAsia" w:ascii="BIZ UDPゴシック" w:hAnsi="BIZ UDPゴシック" w:eastAsia="BIZ UDPゴシック"/>
          <w:color w:val="auto"/>
          <w:sz w:val="21"/>
          <w:highlight w:val="none"/>
        </w:rPr>
        <w:t>6</w:t>
      </w:r>
      <w:r>
        <w:rPr>
          <w:rFonts w:hint="eastAsia" w:ascii="BIZ UDPゴシック" w:hAnsi="BIZ UDPゴシック" w:eastAsia="BIZ UDPゴシック"/>
          <w:color w:val="auto"/>
          <w:sz w:val="21"/>
          <w:highlight w:val="none"/>
        </w:rPr>
        <w:t>項目</w:t>
      </w:r>
    </w:p>
    <w:p>
      <w:pPr>
        <w:pStyle w:val="0"/>
        <w:rPr>
          <w:rFonts w:hint="default"/>
          <w:color w:val="auto"/>
          <w:highlight w:val="none"/>
        </w:rPr>
      </w:pPr>
      <w:r>
        <w:rPr>
          <w:rFonts w:hint="default"/>
          <w:color w:val="auto"/>
          <w:highlight w:val="none"/>
        </w:rPr>
        <w:drawing>
          <wp:anchor distT="0" distB="0" distL="114300" distR="114300" simplePos="0" relativeHeight="42" behindDoc="0" locked="0" layoutInCell="1" hidden="0" allowOverlap="1">
            <wp:simplePos x="0" y="0"/>
            <wp:positionH relativeFrom="column">
              <wp:posOffset>-5080</wp:posOffset>
            </wp:positionH>
            <wp:positionV relativeFrom="paragraph">
              <wp:posOffset>110490</wp:posOffset>
            </wp:positionV>
            <wp:extent cx="5759450" cy="3341370"/>
            <wp:effectExtent l="0" t="0" r="0" b="0"/>
            <wp:wrapNone/>
            <wp:docPr id="1143" name="Picture 14"/>
            <a:graphic xmlns:a="http://schemas.openxmlformats.org/drawingml/2006/main">
              <a:graphicData uri="http://schemas.openxmlformats.org/drawingml/2006/picture">
                <pic:pic xmlns:pic="http://schemas.openxmlformats.org/drawingml/2006/picture">
                  <pic:nvPicPr>
                    <pic:cNvPr id="1143" name="Picture 14"/>
                    <pic:cNvPicPr>
                      <a:picLocks noChangeAspect="1" noChangeArrowheads="1"/>
                    </pic:cNvPicPr>
                  </pic:nvPicPr>
                  <pic:blipFill>
                    <a:blip r:embed="rId83"/>
                    <a:stretch>
                      <a:fillRect/>
                    </a:stretch>
                  </pic:blipFill>
                  <pic:spPr>
                    <a:xfrm>
                      <a:off x="0" y="0"/>
                      <a:ext cx="5759450" cy="3341370"/>
                    </a:xfrm>
                    <a:prstGeom prst="rect">
                      <a:avLst/>
                    </a:prstGeom>
                    <a:noFill/>
                    <a:ln>
                      <a:noFill/>
                    </a:ln>
                  </pic:spPr>
                </pic:pic>
              </a:graphicData>
            </a:graphic>
          </wp:anchor>
        </w:drawing>
      </w: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color w:val="auto"/>
          <w:highlight w:val="none"/>
        </w:rPr>
      </w:pPr>
    </w:p>
    <w:p>
      <w:pPr>
        <w:pStyle w:val="0"/>
        <w:rPr>
          <w:rFonts w:hint="default" w:ascii="ＭＳ 明朝" w:hAnsi="ＭＳ 明朝" w:eastAsia="ＭＳ 明朝"/>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r>
        <w:rPr>
          <w:rFonts w:hint="default"/>
          <w:color w:val="auto"/>
          <w:highlight w:val="none"/>
        </w:rPr>
        <mc:AlternateContent>
          <mc:Choice Requires="wps">
            <w:drawing>
              <wp:anchor distT="4294967295" distB="4294967295" distL="114300" distR="114300" simplePos="0" relativeHeight="61" behindDoc="0" locked="0" layoutInCell="1" hidden="0" allowOverlap="1">
                <wp:simplePos x="0" y="0"/>
                <wp:positionH relativeFrom="column">
                  <wp:posOffset>1409700</wp:posOffset>
                </wp:positionH>
                <wp:positionV relativeFrom="paragraph">
                  <wp:posOffset>7381240</wp:posOffset>
                </wp:positionV>
                <wp:extent cx="4899660" cy="0"/>
                <wp:effectExtent l="0" t="635" r="29210" b="10795"/>
                <wp:wrapNone/>
                <wp:docPr id="1144" name="直線コネクタ 1"/>
                <a:graphic xmlns:a="http://schemas.openxmlformats.org/drawingml/2006/main">
                  <a:graphicData uri="http://schemas.microsoft.com/office/word/2010/wordprocessingShape">
                    <wps:wsp>
                      <wps:cNvPr id="1144" name="直線コネクタ 1"/>
                      <wps:cNvSpPr/>
                      <wps:spPr>
                        <a:xfrm>
                          <a:off x="0" y="0"/>
                          <a:ext cx="489966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 style="mso-wrap-distance-top:0pt;mso-wrap-distance-right:9pt;mso-wrap-distance-bottom:0pt;mso-position-vertical-relative:text;mso-position-horizontal-relative:text;position:absolute;mso-wrap-distance-left:9pt;z-index:61;" o:spid="_x0000_s1144" o:allowincell="t" o:allowoverlap="t" filled="f" stroked="t" strokecolor="#000000 [3213]" strokeweight="0.5pt" o:spt="20" from="111pt,581.20000000000005pt" to="496.8pt,581.20000000000005pt">
                <v:fill/>
                <v:stroke linestyle="single" miterlimit="8" endcap="flat" dashstyle="dash" filltype="solid"/>
                <v:textbox style="layout-flow:horizontal;"/>
                <v:imagedata o:title=""/>
                <w10:wrap type="none" anchorx="text" anchory="text"/>
              </v:line>
            </w:pict>
          </mc:Fallback>
        </mc:AlternateContent>
      </w: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r>
        <w:rPr>
          <w:rFonts w:hint="default" w:ascii="BIZ UDPゴシック" w:hAnsi="BIZ UDPゴシック" w:eastAsia="BIZ UDPゴシック"/>
          <w:color w:val="auto"/>
          <w:highlight w:val="none"/>
        </w:rPr>
        <w:br w:type="page"/>
      </w:r>
    </w:p>
    <w:p>
      <w:pPr>
        <w:pStyle w:val="0"/>
        <w:numPr>
          <w:ilvl w:val="3"/>
          <w:numId w:val="1"/>
        </w:numPr>
        <w:autoSpaceDE w:val="0"/>
        <w:autoSpaceDN w:val="0"/>
        <w:spacing w:line="380" w:lineRule="exact"/>
        <w:ind w:left="882" w:leftChars="200" w:hanging="442"/>
        <w:rPr>
          <w:rFonts w:hint="default"/>
          <w:color w:val="auto"/>
          <w:highlight w:val="none"/>
        </w:rPr>
      </w:pPr>
      <w:r>
        <w:rPr>
          <w:rFonts w:hint="eastAsia"/>
          <w:color w:val="auto"/>
          <w:highlight w:val="none"/>
        </w:rPr>
        <w:t>現在の経営状況について、『良い』（「良い」</w:t>
      </w:r>
      <w:r>
        <w:rPr>
          <w:rFonts w:hint="eastAsia"/>
          <w:color w:val="auto"/>
          <w:highlight w:val="none"/>
        </w:rPr>
        <w:t>+</w:t>
      </w:r>
      <w:r>
        <w:rPr>
          <w:rFonts w:hint="eastAsia"/>
          <w:color w:val="auto"/>
          <w:highlight w:val="none"/>
        </w:rPr>
        <w:t>「やや良い」）と回答した事業所の割合が</w:t>
      </w:r>
      <w:r>
        <w:rPr>
          <w:rFonts w:hint="eastAsia"/>
          <w:color w:val="auto"/>
          <w:highlight w:val="none"/>
        </w:rPr>
        <w:t>7.1</w:t>
      </w:r>
      <w:r>
        <w:rPr>
          <w:rFonts w:hint="eastAsia"/>
          <w:color w:val="auto"/>
          <w:highlight w:val="none"/>
        </w:rPr>
        <w:t>％、『悪い』（「悪い」</w:t>
      </w:r>
      <w:r>
        <w:rPr>
          <w:rFonts w:hint="eastAsia"/>
          <w:color w:val="auto"/>
          <w:highlight w:val="none"/>
        </w:rPr>
        <w:t>+</w:t>
      </w:r>
      <w:r>
        <w:rPr>
          <w:rFonts w:hint="eastAsia"/>
          <w:color w:val="auto"/>
          <w:highlight w:val="none"/>
        </w:rPr>
        <w:t>「やや悪い」）と回答した事業所の割合が</w:t>
      </w:r>
      <w:r>
        <w:rPr>
          <w:rFonts w:hint="eastAsia"/>
          <w:color w:val="auto"/>
          <w:highlight w:val="none"/>
        </w:rPr>
        <w:t>47.6</w:t>
      </w:r>
      <w:r>
        <w:rPr>
          <w:rFonts w:hint="eastAsia"/>
          <w:color w:val="auto"/>
          <w:highlight w:val="none"/>
        </w:rPr>
        <w:t>％となっています。</w:t>
      </w:r>
    </w:p>
    <w:p>
      <w:pPr>
        <w:pStyle w:val="0"/>
        <w:numPr>
          <w:ilvl w:val="3"/>
          <w:numId w:val="1"/>
        </w:numPr>
        <w:autoSpaceDE w:val="0"/>
        <w:autoSpaceDN w:val="0"/>
        <w:spacing w:line="380" w:lineRule="exact"/>
        <w:ind w:left="882" w:leftChars="200" w:hanging="442"/>
        <w:rPr>
          <w:rFonts w:hint="default"/>
          <w:color w:val="auto"/>
          <w:highlight w:val="none"/>
        </w:rPr>
      </w:pPr>
      <w:r>
        <w:rPr>
          <w:rFonts w:hint="eastAsia"/>
          <w:color w:val="auto"/>
          <w:highlight w:val="none"/>
        </w:rPr>
        <w:t>サービス種別にみると、『悪い』と回答した事業所の割合は、通所系で</w:t>
      </w:r>
      <w:r>
        <w:rPr>
          <w:rFonts w:hint="eastAsia"/>
          <w:color w:val="auto"/>
          <w:highlight w:val="none"/>
        </w:rPr>
        <w:t>61.5</w:t>
      </w:r>
      <w:r>
        <w:rPr>
          <w:rFonts w:hint="eastAsia"/>
          <w:color w:val="auto"/>
          <w:highlight w:val="none"/>
        </w:rPr>
        <w:t>％、施設・居住系で</w:t>
      </w:r>
      <w:r>
        <w:rPr>
          <w:rFonts w:hint="eastAsia"/>
          <w:color w:val="auto"/>
          <w:highlight w:val="none"/>
        </w:rPr>
        <w:t>50.0</w:t>
      </w:r>
      <w:r>
        <w:rPr>
          <w:rFonts w:hint="eastAsia"/>
          <w:color w:val="auto"/>
          <w:highlight w:val="none"/>
        </w:rPr>
        <w:t>％と高くなっています。</w:t>
      </w:r>
    </w:p>
    <w:p>
      <w:pPr>
        <w:pStyle w:val="0"/>
        <w:autoSpaceDE w:val="0"/>
        <w:autoSpaceDN w:val="0"/>
        <w:spacing w:before="185" w:beforeLines="50" w:beforeAutospacing="0" w:line="380" w:lineRule="exact"/>
        <w:ind w:left="425" w:leftChars="193"/>
        <w:jc w:val="center"/>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図表　現在の経営状況（サービス別）</w:t>
      </w:r>
    </w:p>
    <w:p>
      <w:pPr>
        <w:pStyle w:val="0"/>
        <w:rPr>
          <w:rFonts w:hint="default" w:ascii="ＭＳ 明朝" w:hAnsi="ＭＳ 明朝" w:eastAsia="ＭＳ 明朝"/>
          <w:color w:val="auto"/>
          <w:highlight w:val="none"/>
        </w:rPr>
      </w:pPr>
      <w:r>
        <w:rPr>
          <w:rFonts w:hint="default"/>
          <w:color w:val="auto"/>
          <w:highlight w:val="none"/>
        </w:rPr>
        <w:drawing>
          <wp:anchor distT="0" distB="0" distL="114300" distR="114300" simplePos="0" relativeHeight="38" behindDoc="0" locked="0" layoutInCell="1" hidden="0" allowOverlap="1">
            <wp:simplePos x="0" y="0"/>
            <wp:positionH relativeFrom="column">
              <wp:posOffset>-352425</wp:posOffset>
            </wp:positionH>
            <wp:positionV relativeFrom="paragraph">
              <wp:posOffset>108585</wp:posOffset>
            </wp:positionV>
            <wp:extent cx="5829300" cy="1943100"/>
            <wp:effectExtent l="0" t="0" r="0" b="0"/>
            <wp:wrapNone/>
            <wp:docPr id="1145" name="Picture 5"/>
            <a:graphic xmlns:a="http://schemas.openxmlformats.org/drawingml/2006/main">
              <a:graphicData uri="http://schemas.openxmlformats.org/drawingml/2006/picture">
                <pic:pic xmlns:pic="http://schemas.openxmlformats.org/drawingml/2006/picture">
                  <pic:nvPicPr>
                    <pic:cNvPr id="1145" name="Picture 5"/>
                    <pic:cNvPicPr>
                      <a:picLocks noChangeAspect="1" noChangeArrowheads="1"/>
                    </pic:cNvPicPr>
                  </pic:nvPicPr>
                  <pic:blipFill>
                    <a:blip r:embed="rId84"/>
                    <a:stretch>
                      <a:fillRect/>
                    </a:stretch>
                  </pic:blipFill>
                  <pic:spPr>
                    <a:xfrm>
                      <a:off x="0" y="0"/>
                      <a:ext cx="5829300" cy="1943100"/>
                    </a:xfrm>
                    <a:prstGeom prst="rect">
                      <a:avLst/>
                    </a:prstGeom>
                    <a:noFill/>
                    <a:ln>
                      <a:noFill/>
                    </a:ln>
                  </pic:spPr>
                </pic:pic>
              </a:graphicData>
            </a:graphic>
          </wp:anchor>
        </w:drawing>
      </w: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numPr>
          <w:ilvl w:val="3"/>
          <w:numId w:val="1"/>
        </w:numPr>
        <w:autoSpaceDE w:val="0"/>
        <w:autoSpaceDN w:val="0"/>
        <w:spacing w:line="380" w:lineRule="exact"/>
        <w:ind w:left="882" w:leftChars="200" w:hanging="442"/>
        <w:rPr>
          <w:rFonts w:hint="default"/>
          <w:color w:val="auto"/>
          <w:highlight w:val="none"/>
        </w:rPr>
      </w:pPr>
      <w:r>
        <w:rPr>
          <w:rFonts w:hint="eastAsia"/>
          <w:color w:val="auto"/>
          <w:highlight w:val="none"/>
        </w:rPr>
        <w:t>居宅介護支援事業所が、不足していると感じる介護保険対象サービスについて、「訪問介護」、「定期巡回・随時対応型訪問介護看護」が最も高く、「短期入所生活介護」、「夜間対応型訪問介護」が続いています。</w:t>
      </w:r>
    </w:p>
    <w:p>
      <w:pPr>
        <w:pStyle w:val="0"/>
        <w:autoSpaceDE w:val="0"/>
        <w:autoSpaceDN w:val="0"/>
        <w:spacing w:before="185" w:beforeLines="50" w:beforeAutospacing="0" w:line="380" w:lineRule="exact"/>
        <w:ind w:left="425" w:leftChars="193"/>
        <w:jc w:val="center"/>
        <w:rPr>
          <w:rFonts w:hint="default" w:ascii="BIZ UDPゴシック" w:hAnsi="BIZ UDPゴシック" w:eastAsia="BIZ UDPゴシック"/>
          <w:color w:val="auto"/>
          <w:sz w:val="21"/>
          <w:highlight w:val="none"/>
        </w:rPr>
      </w:pPr>
      <w:r>
        <w:rPr>
          <w:rFonts w:hint="default"/>
          <w:color w:val="auto"/>
          <w:highlight w:val="none"/>
        </w:rPr>
        <w:drawing>
          <wp:anchor distT="0" distB="0" distL="114300" distR="114300" simplePos="0" relativeHeight="89" behindDoc="0" locked="0" layoutInCell="1" hidden="0" allowOverlap="1">
            <wp:simplePos x="0" y="0"/>
            <wp:positionH relativeFrom="column">
              <wp:posOffset>-90805</wp:posOffset>
            </wp:positionH>
            <wp:positionV relativeFrom="paragraph">
              <wp:posOffset>398145</wp:posOffset>
            </wp:positionV>
            <wp:extent cx="6127115" cy="4053205"/>
            <wp:effectExtent l="0" t="0" r="0" b="0"/>
            <wp:wrapNone/>
            <wp:docPr id="1146" name="Picture 7"/>
            <a:graphic xmlns:a="http://schemas.openxmlformats.org/drawingml/2006/main">
              <a:graphicData uri="http://schemas.openxmlformats.org/drawingml/2006/picture">
                <pic:pic xmlns:pic="http://schemas.openxmlformats.org/drawingml/2006/picture">
                  <pic:nvPicPr>
                    <pic:cNvPr id="1146" name="Picture 7"/>
                    <pic:cNvPicPr>
                      <a:picLocks noChangeAspect="1" noChangeArrowheads="1"/>
                    </pic:cNvPicPr>
                  </pic:nvPicPr>
                  <pic:blipFill>
                    <a:blip r:embed="rId85"/>
                    <a:stretch>
                      <a:fillRect/>
                    </a:stretch>
                  </pic:blipFill>
                  <pic:spPr>
                    <a:xfrm>
                      <a:off x="0" y="0"/>
                      <a:ext cx="6127115" cy="4053205"/>
                    </a:xfrm>
                    <a:prstGeom prst="rect">
                      <a:avLst/>
                    </a:prstGeom>
                    <a:noFill/>
                    <a:ln>
                      <a:noFill/>
                    </a:ln>
                  </pic:spPr>
                </pic:pic>
              </a:graphicData>
            </a:graphic>
          </wp:anchor>
        </w:drawing>
      </w:r>
      <w:r>
        <w:rPr>
          <w:rFonts w:hint="eastAsia" w:ascii="BIZ UDPゴシック" w:hAnsi="BIZ UDPゴシック" w:eastAsia="BIZ UDPゴシック"/>
          <w:color w:val="auto"/>
          <w:sz w:val="21"/>
          <w:highlight w:val="none"/>
        </w:rPr>
        <w:t>図表　不足していると感じる介護保険対象サービス</w:t>
      </w:r>
      <w:r>
        <w:rPr>
          <w:rFonts w:hint="eastAsia" w:ascii="BIZ UDPゴシック" w:hAnsi="BIZ UDPゴシック" w:eastAsia="BIZ UDPゴシック"/>
          <w:color w:val="auto"/>
          <w:sz w:val="21"/>
          <w:highlight w:val="none"/>
        </w:rPr>
        <w:t>/</w:t>
      </w:r>
      <w:r>
        <w:rPr>
          <w:rFonts w:hint="eastAsia" w:ascii="BIZ UDPゴシック" w:hAnsi="BIZ UDPゴシック" w:eastAsia="BIZ UDPゴシック"/>
          <w:color w:val="auto"/>
          <w:sz w:val="21"/>
          <w:highlight w:val="none"/>
        </w:rPr>
        <w:t>上位</w:t>
      </w:r>
      <w:r>
        <w:rPr>
          <w:rFonts w:hint="eastAsia" w:ascii="BIZ UDPゴシック" w:hAnsi="BIZ UDPゴシック" w:eastAsia="BIZ UDPゴシック"/>
          <w:color w:val="auto"/>
          <w:sz w:val="21"/>
          <w:highlight w:val="none"/>
        </w:rPr>
        <w:t>12</w:t>
      </w:r>
      <w:r>
        <w:rPr>
          <w:rFonts w:hint="eastAsia" w:ascii="BIZ UDPゴシック" w:hAnsi="BIZ UDPゴシック" w:eastAsia="BIZ UDPゴシック"/>
          <w:color w:val="auto"/>
          <w:sz w:val="21"/>
          <w:highlight w:val="none"/>
        </w:rPr>
        <w:t>項目</w:t>
      </w: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widowControl w:val="1"/>
        <w:jc w:val="left"/>
        <w:rPr>
          <w:rFonts w:hint="default" w:ascii="BIZ UDPゴシック" w:hAnsi="BIZ UDPゴシック" w:eastAsia="BIZ UDPゴシック"/>
          <w:color w:val="auto"/>
          <w:highlight w:val="none"/>
        </w:rPr>
      </w:pPr>
      <w:r>
        <w:rPr>
          <w:rFonts w:hint="default" w:ascii="BIZ UDPゴシック" w:hAnsi="BIZ UDPゴシック" w:eastAsia="BIZ UDPゴシック"/>
          <w:color w:val="auto"/>
          <w:highlight w:val="none"/>
        </w:rPr>
        <w:br w:type="page"/>
      </w:r>
    </w:p>
    <w:p>
      <w:pPr>
        <w:pStyle w:val="26"/>
        <w:spacing w:after="76" w:afterLines="0" w:afterAutospacing="0"/>
        <w:rPr>
          <w:rFonts w:hint="default"/>
          <w:color w:val="auto"/>
          <w:highlight w:val="none"/>
        </w:rPr>
      </w:pPr>
      <w:bookmarkStart w:id="55" w:name="_Toc152160633"/>
      <w:r>
        <w:rPr>
          <w:rFonts w:hint="eastAsia"/>
          <w:color w:val="auto"/>
          <w:highlight w:val="none"/>
        </w:rPr>
        <w:t>（７）介護人材実態調査</w:t>
      </w:r>
      <w:r>
        <w:rPr>
          <w:rFonts w:hint="eastAsia"/>
          <w:color w:val="auto"/>
          <w:sz w:val="24"/>
          <w:highlight w:val="none"/>
        </w:rPr>
        <w:t>（対象：市内介護保険サービス事業者・職員）</w:t>
      </w:r>
      <w:bookmarkEnd w:id="55"/>
    </w:p>
    <w:p>
      <w:pPr>
        <w:pStyle w:val="0"/>
        <w:numPr>
          <w:ilvl w:val="3"/>
          <w:numId w:val="1"/>
        </w:numPr>
        <w:autoSpaceDE w:val="0"/>
        <w:autoSpaceDN w:val="0"/>
        <w:spacing w:line="380" w:lineRule="exact"/>
        <w:ind w:left="882" w:leftChars="200" w:hanging="442"/>
        <w:rPr>
          <w:rFonts w:hint="default"/>
          <w:color w:val="auto"/>
          <w:highlight w:val="none"/>
        </w:rPr>
      </w:pPr>
      <w:r>
        <w:rPr>
          <w:rFonts w:hint="eastAsia"/>
          <w:color w:val="auto"/>
          <w:highlight w:val="none"/>
        </w:rPr>
        <w:t>人材確保の状況について、『不足している』（「不足している」＋「やや不足している」）と回答した事業所の割合が</w:t>
      </w:r>
      <w:r>
        <w:rPr>
          <w:rFonts w:hint="eastAsia"/>
          <w:color w:val="auto"/>
          <w:highlight w:val="none"/>
        </w:rPr>
        <w:t>44.5</w:t>
      </w:r>
      <w:r>
        <w:rPr>
          <w:rFonts w:hint="eastAsia"/>
          <w:color w:val="auto"/>
          <w:highlight w:val="none"/>
        </w:rPr>
        <w:t>％となっています。</w:t>
      </w:r>
    </w:p>
    <w:p>
      <w:pPr>
        <w:pStyle w:val="0"/>
        <w:numPr>
          <w:ilvl w:val="3"/>
          <w:numId w:val="1"/>
        </w:numPr>
        <w:autoSpaceDE w:val="0"/>
        <w:autoSpaceDN w:val="0"/>
        <w:spacing w:line="380" w:lineRule="exact"/>
        <w:ind w:left="882" w:leftChars="200" w:hanging="442"/>
        <w:rPr>
          <w:rFonts w:hint="default"/>
          <w:color w:val="auto"/>
          <w:highlight w:val="none"/>
        </w:rPr>
      </w:pPr>
      <w:r>
        <w:rPr>
          <w:rFonts w:hint="eastAsia"/>
          <w:color w:val="auto"/>
          <w:highlight w:val="none"/>
        </w:rPr>
        <w:t>サービス種別にみると、『不足している』と回答した事業所の割合が訪問系で</w:t>
      </w:r>
      <w:r>
        <w:rPr>
          <w:rFonts w:hint="eastAsia"/>
          <w:color w:val="auto"/>
          <w:highlight w:val="none"/>
        </w:rPr>
        <w:t>43.7</w:t>
      </w:r>
      <w:r>
        <w:rPr>
          <w:rFonts w:hint="eastAsia"/>
          <w:color w:val="auto"/>
          <w:highlight w:val="none"/>
        </w:rPr>
        <w:t>％、通所系で</w:t>
      </w:r>
      <w:r>
        <w:rPr>
          <w:rFonts w:hint="eastAsia"/>
          <w:color w:val="auto"/>
          <w:highlight w:val="none"/>
        </w:rPr>
        <w:t>36.4</w:t>
      </w:r>
      <w:r>
        <w:rPr>
          <w:rFonts w:hint="eastAsia"/>
          <w:color w:val="auto"/>
          <w:highlight w:val="none"/>
        </w:rPr>
        <w:t>％、施設・居住系で</w:t>
      </w:r>
      <w:r>
        <w:rPr>
          <w:rFonts w:hint="eastAsia"/>
          <w:color w:val="auto"/>
          <w:highlight w:val="none"/>
        </w:rPr>
        <w:t>57.5</w:t>
      </w:r>
      <w:r>
        <w:rPr>
          <w:rFonts w:hint="eastAsia"/>
          <w:color w:val="auto"/>
          <w:highlight w:val="none"/>
        </w:rPr>
        <w:t>％、居宅介護支援で</w:t>
      </w:r>
      <w:r>
        <w:rPr>
          <w:rFonts w:hint="eastAsia"/>
          <w:color w:val="auto"/>
          <w:highlight w:val="none"/>
        </w:rPr>
        <w:t>39.1</w:t>
      </w:r>
      <w:r>
        <w:rPr>
          <w:rFonts w:hint="eastAsia"/>
          <w:color w:val="auto"/>
          <w:highlight w:val="none"/>
        </w:rPr>
        <w:t>％となっています。</w:t>
      </w:r>
    </w:p>
    <w:p>
      <w:pPr>
        <w:pStyle w:val="0"/>
        <w:autoSpaceDE w:val="0"/>
        <w:autoSpaceDN w:val="0"/>
        <w:spacing w:before="185" w:beforeLines="50" w:beforeAutospacing="0" w:line="380" w:lineRule="exact"/>
        <w:ind w:left="425" w:leftChars="193"/>
        <w:jc w:val="center"/>
        <w:rPr>
          <w:rFonts w:hint="default" w:ascii="BIZ UDPゴシック" w:hAnsi="BIZ UDPゴシック" w:eastAsia="BIZ UDPゴシック"/>
          <w:color w:val="auto"/>
          <w:sz w:val="21"/>
          <w:highlight w:val="none"/>
        </w:rPr>
      </w:pPr>
      <w:r>
        <w:rPr>
          <w:rFonts w:hint="default"/>
          <w:color w:val="auto"/>
          <w:highlight w:val="none"/>
        </w:rPr>
        <w:drawing>
          <wp:anchor distT="0" distB="0" distL="114300" distR="114300" simplePos="0" relativeHeight="47" behindDoc="0" locked="0" layoutInCell="1" hidden="0" allowOverlap="1">
            <wp:simplePos x="0" y="0"/>
            <wp:positionH relativeFrom="column">
              <wp:posOffset>-352425</wp:posOffset>
            </wp:positionH>
            <wp:positionV relativeFrom="paragraph">
              <wp:posOffset>438150</wp:posOffset>
            </wp:positionV>
            <wp:extent cx="5829300" cy="2390775"/>
            <wp:effectExtent l="0" t="0" r="0" b="0"/>
            <wp:wrapNone/>
            <wp:docPr id="1147" name="Picture 10"/>
            <a:graphic xmlns:a="http://schemas.openxmlformats.org/drawingml/2006/main">
              <a:graphicData uri="http://schemas.openxmlformats.org/drawingml/2006/picture">
                <pic:pic xmlns:pic="http://schemas.openxmlformats.org/drawingml/2006/picture">
                  <pic:nvPicPr>
                    <pic:cNvPr id="1147" name="Picture 10"/>
                    <pic:cNvPicPr>
                      <a:picLocks noChangeAspect="1" noChangeArrowheads="1"/>
                    </pic:cNvPicPr>
                  </pic:nvPicPr>
                  <pic:blipFill>
                    <a:blip r:embed="rId86"/>
                    <a:stretch>
                      <a:fillRect/>
                    </a:stretch>
                  </pic:blipFill>
                  <pic:spPr>
                    <a:xfrm>
                      <a:off x="0" y="0"/>
                      <a:ext cx="5829300" cy="2390775"/>
                    </a:xfrm>
                    <a:prstGeom prst="rect">
                      <a:avLst/>
                    </a:prstGeom>
                    <a:noFill/>
                    <a:ln>
                      <a:noFill/>
                    </a:ln>
                  </pic:spPr>
                </pic:pic>
              </a:graphicData>
            </a:graphic>
          </wp:anchor>
        </w:drawing>
      </w:r>
      <w:r>
        <w:rPr>
          <w:rFonts w:hint="eastAsia" w:ascii="BIZ UDPゴシック" w:hAnsi="BIZ UDPゴシック" w:eastAsia="BIZ UDPゴシック"/>
          <w:color w:val="auto"/>
          <w:sz w:val="21"/>
          <w:highlight w:val="none"/>
        </w:rPr>
        <w:t>図表　人材確保の状況</w:t>
      </w:r>
      <w:r>
        <w:rPr>
          <w:rFonts w:hint="eastAsia" w:ascii="BIZ UDPゴシック" w:hAnsi="BIZ UDPゴシック" w:eastAsia="BIZ UDPゴシック"/>
          <w:color w:val="auto"/>
          <w:sz w:val="21"/>
          <w:highlight w:val="none"/>
        </w:rPr>
        <w:t>/</w:t>
      </w:r>
      <w:r>
        <w:rPr>
          <w:rFonts w:hint="eastAsia" w:ascii="BIZ UDPゴシック" w:hAnsi="BIZ UDPゴシック" w:eastAsia="BIZ UDPゴシック"/>
          <w:color w:val="auto"/>
          <w:sz w:val="21"/>
          <w:highlight w:val="none"/>
        </w:rPr>
        <w:t>事業所票（サービス別）</w:t>
      </w:r>
    </w:p>
    <w:p>
      <w:pPr>
        <w:pStyle w:val="0"/>
        <w:rPr>
          <w:rFonts w:hint="default"/>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46"/>
        <w:rPr>
          <w:rFonts w:hint="default"/>
          <w:color w:val="auto"/>
          <w:highlight w:val="none"/>
        </w:rPr>
      </w:pPr>
      <w:r>
        <w:rPr>
          <w:rFonts w:hint="eastAsia"/>
          <w:color w:val="auto"/>
          <w:highlight w:val="none"/>
        </w:rPr>
        <w:t>不足している職員は、正規職員では、介護福祉士・介護士が</w:t>
      </w:r>
      <w:r>
        <w:rPr>
          <w:rFonts w:hint="eastAsia"/>
          <w:color w:val="auto"/>
          <w:highlight w:val="none"/>
        </w:rPr>
        <w:t>18.5</w:t>
      </w:r>
      <w:r>
        <w:rPr>
          <w:rFonts w:hint="eastAsia"/>
          <w:color w:val="auto"/>
          <w:highlight w:val="none"/>
        </w:rPr>
        <w:t>％で、平均</w:t>
      </w:r>
      <w:r>
        <w:rPr>
          <w:rFonts w:hint="eastAsia"/>
          <w:color w:val="auto"/>
          <w:highlight w:val="none"/>
        </w:rPr>
        <w:t>1.8</w:t>
      </w:r>
      <w:r>
        <w:rPr>
          <w:rFonts w:hint="eastAsia"/>
          <w:color w:val="auto"/>
          <w:highlight w:val="none"/>
        </w:rPr>
        <w:t>人、看護師、准看護師が</w:t>
      </w:r>
      <w:r>
        <w:rPr>
          <w:rFonts w:hint="eastAsia"/>
          <w:color w:val="auto"/>
          <w:highlight w:val="none"/>
        </w:rPr>
        <w:t>6.2</w:t>
      </w:r>
      <w:r>
        <w:rPr>
          <w:rFonts w:hint="eastAsia"/>
          <w:color w:val="auto"/>
          <w:highlight w:val="none"/>
        </w:rPr>
        <w:t>％で、平均</w:t>
      </w:r>
      <w:r>
        <w:rPr>
          <w:rFonts w:hint="eastAsia"/>
          <w:color w:val="auto"/>
          <w:highlight w:val="none"/>
        </w:rPr>
        <w:t>1.7</w:t>
      </w:r>
      <w:r>
        <w:rPr>
          <w:rFonts w:hint="eastAsia"/>
          <w:color w:val="auto"/>
          <w:highlight w:val="none"/>
        </w:rPr>
        <w:t>人、非正規職員では、介護福祉士・介護士が</w:t>
      </w:r>
      <w:r>
        <w:rPr>
          <w:rFonts w:hint="eastAsia"/>
          <w:color w:val="auto"/>
          <w:highlight w:val="none"/>
        </w:rPr>
        <w:t>11.1</w:t>
      </w:r>
      <w:r>
        <w:rPr>
          <w:rFonts w:hint="eastAsia"/>
          <w:color w:val="auto"/>
          <w:highlight w:val="none"/>
        </w:rPr>
        <w:t>％で、平均</w:t>
      </w:r>
      <w:r>
        <w:rPr>
          <w:rFonts w:hint="eastAsia"/>
          <w:color w:val="auto"/>
          <w:highlight w:val="none"/>
        </w:rPr>
        <w:t>1.5</w:t>
      </w:r>
      <w:r>
        <w:rPr>
          <w:rFonts w:hint="eastAsia"/>
          <w:color w:val="auto"/>
          <w:highlight w:val="none"/>
        </w:rPr>
        <w:t>人、訪問介護員が</w:t>
      </w:r>
      <w:r>
        <w:rPr>
          <w:rFonts w:hint="eastAsia"/>
          <w:color w:val="auto"/>
          <w:highlight w:val="none"/>
        </w:rPr>
        <w:t>6.8</w:t>
      </w:r>
      <w:r>
        <w:rPr>
          <w:rFonts w:hint="eastAsia"/>
          <w:color w:val="auto"/>
          <w:highlight w:val="none"/>
        </w:rPr>
        <w:t>％で、平均</w:t>
      </w:r>
      <w:r>
        <w:rPr>
          <w:rFonts w:hint="eastAsia"/>
          <w:color w:val="auto"/>
          <w:highlight w:val="none"/>
        </w:rPr>
        <w:t>2.3</w:t>
      </w:r>
      <w:r>
        <w:rPr>
          <w:rFonts w:hint="eastAsia"/>
          <w:color w:val="auto"/>
          <w:highlight w:val="none"/>
        </w:rPr>
        <w:t>人となっています。</w:t>
      </w:r>
    </w:p>
    <w:p>
      <w:pPr>
        <w:pStyle w:val="79"/>
        <w:spacing w:before="190" w:beforeLines="0" w:beforeAutospacing="0"/>
        <w:rPr>
          <w:rFonts w:hint="default"/>
          <w:color w:val="auto"/>
          <w:highlight w:val="none"/>
        </w:rPr>
      </w:pPr>
      <w:r>
        <w:rPr>
          <w:rFonts w:hint="eastAsia"/>
          <w:color w:val="auto"/>
          <w:highlight w:val="none"/>
        </w:rPr>
        <w:t>図表　不足している職員数</w:t>
      </w:r>
      <w:r>
        <w:rPr>
          <w:rFonts w:hint="eastAsia"/>
          <w:color w:val="auto"/>
          <w:highlight w:val="none"/>
        </w:rPr>
        <w:t>/</w:t>
      </w:r>
      <w:r>
        <w:rPr>
          <w:rFonts w:hint="eastAsia"/>
          <w:color w:val="auto"/>
          <w:highlight w:val="none"/>
        </w:rPr>
        <w:t>事業所票</w:t>
      </w:r>
    </w:p>
    <w:p>
      <w:pPr>
        <w:pStyle w:val="41"/>
        <w:rPr>
          <w:rFonts w:hint="default"/>
          <w:color w:val="auto"/>
          <w:highlight w:val="none"/>
        </w:rPr>
      </w:pPr>
      <w:r>
        <w:rPr>
          <w:rFonts w:hint="default"/>
          <w:color w:val="auto"/>
          <w:highlight w:val="none"/>
        </w:rPr>
        <w:drawing>
          <wp:anchor distT="0" distB="0" distL="114300" distR="114300" simplePos="0" relativeHeight="93" behindDoc="0" locked="0" layoutInCell="1" hidden="0" allowOverlap="1">
            <wp:simplePos x="0" y="0"/>
            <wp:positionH relativeFrom="column">
              <wp:posOffset>947420</wp:posOffset>
            </wp:positionH>
            <wp:positionV relativeFrom="paragraph">
              <wp:posOffset>83185</wp:posOffset>
            </wp:positionV>
            <wp:extent cx="4419600" cy="2371725"/>
            <wp:effectExtent l="0" t="0" r="0" b="0"/>
            <wp:wrapNone/>
            <wp:docPr id="1148" name="Picture 1"/>
            <a:graphic xmlns:a="http://schemas.openxmlformats.org/drawingml/2006/main">
              <a:graphicData uri="http://schemas.openxmlformats.org/drawingml/2006/picture">
                <pic:pic xmlns:pic="http://schemas.openxmlformats.org/drawingml/2006/picture">
                  <pic:nvPicPr>
                    <pic:cNvPr id="1148" name="Picture 1"/>
                    <pic:cNvPicPr>
                      <a:picLocks noChangeAspect="1" noChangeArrowheads="1"/>
                    </pic:cNvPicPr>
                  </pic:nvPicPr>
                  <pic:blipFill>
                    <a:blip r:embed="rId87"/>
                    <a:stretch>
                      <a:fillRect/>
                    </a:stretch>
                  </pic:blipFill>
                  <pic:spPr>
                    <a:xfrm>
                      <a:off x="0" y="0"/>
                      <a:ext cx="4419600" cy="2371725"/>
                    </a:xfrm>
                    <a:prstGeom prst="rect">
                      <a:avLst/>
                    </a:prstGeom>
                    <a:noFill/>
                    <a:ln>
                      <a:noFill/>
                    </a:ln>
                  </pic:spPr>
                </pic:pic>
              </a:graphicData>
            </a:graphic>
          </wp:anchor>
        </w:drawing>
      </w:r>
    </w:p>
    <w:p>
      <w:pPr>
        <w:pStyle w:val="41"/>
        <w:rPr>
          <w:rFonts w:hint="default"/>
          <w:color w:val="auto"/>
          <w:highlight w:val="none"/>
        </w:rPr>
      </w:pPr>
    </w:p>
    <w:p>
      <w:pPr>
        <w:pStyle w:val="41"/>
        <w:rPr>
          <w:rFonts w:hint="default"/>
          <w:color w:val="auto"/>
          <w:highlight w:val="none"/>
        </w:rPr>
      </w:pPr>
    </w:p>
    <w:p>
      <w:pPr>
        <w:pStyle w:val="41"/>
        <w:rPr>
          <w:rFonts w:hint="default"/>
          <w:color w:val="auto"/>
          <w:highlight w:val="none"/>
        </w:rPr>
      </w:pPr>
    </w:p>
    <w:p>
      <w:pPr>
        <w:pStyle w:val="41"/>
        <w:rPr>
          <w:rFonts w:hint="default"/>
          <w:color w:val="auto"/>
          <w:highlight w:val="none"/>
        </w:rPr>
      </w:pPr>
    </w:p>
    <w:p>
      <w:pPr>
        <w:pStyle w:val="41"/>
        <w:rPr>
          <w:rFonts w:hint="default"/>
          <w:color w:val="auto"/>
          <w:highlight w:val="none"/>
        </w:rPr>
      </w:pPr>
    </w:p>
    <w:p>
      <w:pPr>
        <w:pStyle w:val="41"/>
        <w:rPr>
          <w:rFonts w:hint="default"/>
          <w:color w:val="auto"/>
          <w:highlight w:val="none"/>
        </w:rPr>
      </w:pPr>
    </w:p>
    <w:p>
      <w:pPr>
        <w:pStyle w:val="41"/>
        <w:rPr>
          <w:rFonts w:hint="default"/>
          <w:color w:val="auto"/>
          <w:highlight w:val="none"/>
        </w:rPr>
      </w:pPr>
    </w:p>
    <w:p>
      <w:pPr>
        <w:pStyle w:val="0"/>
        <w:widowControl w:val="1"/>
        <w:jc w:val="left"/>
        <w:rPr>
          <w:rFonts w:hint="default"/>
          <w:color w:val="auto"/>
          <w:highlight w:val="none"/>
        </w:rPr>
      </w:pPr>
      <w:r>
        <w:rPr>
          <w:rFonts w:hint="default"/>
          <w:color w:val="auto"/>
          <w:highlight w:val="none"/>
        </w:rPr>
        <w:br w:type="page"/>
      </w:r>
    </w:p>
    <w:p>
      <w:pPr>
        <w:pStyle w:val="46"/>
        <w:rPr>
          <w:rFonts w:hint="default"/>
          <w:color w:val="auto"/>
          <w:highlight w:val="none"/>
        </w:rPr>
      </w:pPr>
      <w:r>
        <w:rPr>
          <w:rFonts w:hint="eastAsia"/>
          <w:color w:val="auto"/>
          <w:highlight w:val="none"/>
        </w:rPr>
        <w:t>職員が不足している理由として、「採用が困難である」が</w:t>
      </w:r>
      <w:r>
        <w:rPr>
          <w:rFonts w:hint="eastAsia"/>
          <w:color w:val="auto"/>
          <w:highlight w:val="none"/>
        </w:rPr>
        <w:t>93.1</w:t>
      </w:r>
      <w:r>
        <w:rPr>
          <w:rFonts w:hint="eastAsia"/>
          <w:color w:val="auto"/>
          <w:highlight w:val="none"/>
        </w:rPr>
        <w:t>％と最も高くなっており、通所系の事業所では「離職率が高い（定着率が低い）」が</w:t>
      </w:r>
      <w:r>
        <w:rPr>
          <w:rFonts w:hint="eastAsia"/>
          <w:color w:val="auto"/>
          <w:highlight w:val="none"/>
        </w:rPr>
        <w:t>25.0</w:t>
      </w:r>
      <w:r>
        <w:rPr>
          <w:rFonts w:hint="eastAsia"/>
          <w:color w:val="auto"/>
          <w:highlight w:val="none"/>
        </w:rPr>
        <w:t>％となっています。</w:t>
      </w:r>
    </w:p>
    <w:p>
      <w:pPr>
        <w:pStyle w:val="79"/>
        <w:spacing w:before="190" w:beforeLines="0" w:beforeAutospacing="0"/>
        <w:rPr>
          <w:rFonts w:hint="default"/>
          <w:color w:val="auto"/>
          <w:highlight w:val="none"/>
        </w:rPr>
      </w:pPr>
      <w:r>
        <w:rPr>
          <w:rFonts w:hint="eastAsia"/>
          <w:color w:val="auto"/>
          <w:highlight w:val="none"/>
        </w:rPr>
        <w:drawing>
          <wp:anchor distT="0" distB="0" distL="114300" distR="114300" simplePos="0" relativeHeight="88" behindDoc="0" locked="0" layoutInCell="1" hidden="0" allowOverlap="1">
            <wp:simplePos x="0" y="0"/>
            <wp:positionH relativeFrom="column">
              <wp:posOffset>135255</wp:posOffset>
            </wp:positionH>
            <wp:positionV relativeFrom="paragraph">
              <wp:posOffset>342900</wp:posOffset>
            </wp:positionV>
            <wp:extent cx="5772150" cy="3286125"/>
            <wp:effectExtent l="0" t="0" r="0" b="0"/>
            <wp:wrapNone/>
            <wp:docPr id="1149" name="Picture 14"/>
            <a:graphic xmlns:a="http://schemas.openxmlformats.org/drawingml/2006/main">
              <a:graphicData uri="http://schemas.openxmlformats.org/drawingml/2006/picture">
                <pic:pic xmlns:pic="http://schemas.openxmlformats.org/drawingml/2006/picture">
                  <pic:nvPicPr>
                    <pic:cNvPr id="1149" name="Picture 14"/>
                    <pic:cNvPicPr>
                      <a:picLocks noChangeAspect="1" noChangeArrowheads="1"/>
                    </pic:cNvPicPr>
                  </pic:nvPicPr>
                  <pic:blipFill>
                    <a:blip r:embed="rId88"/>
                    <a:stretch>
                      <a:fillRect/>
                    </a:stretch>
                  </pic:blipFill>
                  <pic:spPr>
                    <a:xfrm>
                      <a:off x="0" y="0"/>
                      <a:ext cx="5772150" cy="3286125"/>
                    </a:xfrm>
                    <a:prstGeom prst="rect">
                      <a:avLst/>
                    </a:prstGeom>
                    <a:noFill/>
                    <a:ln>
                      <a:noFill/>
                    </a:ln>
                  </pic:spPr>
                </pic:pic>
              </a:graphicData>
            </a:graphic>
          </wp:anchor>
        </w:drawing>
      </w:r>
      <w:r>
        <w:rPr>
          <w:rFonts w:hint="eastAsia"/>
          <w:color w:val="auto"/>
          <w:highlight w:val="none"/>
        </w:rPr>
        <w:t>図表　職員が不足している理由</w:t>
      </w:r>
      <w:r>
        <w:rPr>
          <w:rFonts w:hint="eastAsia"/>
          <w:color w:val="auto"/>
          <w:highlight w:val="none"/>
        </w:rPr>
        <w:t>/</w:t>
      </w:r>
      <w:r>
        <w:rPr>
          <w:rFonts w:hint="eastAsia"/>
          <w:color w:val="auto"/>
          <w:highlight w:val="none"/>
        </w:rPr>
        <w:t>事業所票（サービス別）</w:t>
      </w:r>
    </w:p>
    <w:p>
      <w:pPr>
        <w:pStyle w:val="0"/>
        <w:rPr>
          <w:rFonts w:hint="default"/>
          <w:color w:val="auto"/>
          <w:highlight w:val="none"/>
        </w:rPr>
      </w:pPr>
    </w:p>
    <w:p>
      <w:pPr>
        <w:pStyle w:val="0"/>
        <w:rPr>
          <w:rFonts w:hint="default"/>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0"/>
        <w:rPr>
          <w:rFonts w:hint="default" w:ascii="ＭＳ 明朝" w:hAnsi="ＭＳ 明朝" w:eastAsia="ＭＳ 明朝"/>
          <w:color w:val="auto"/>
          <w:highlight w:val="none"/>
        </w:rPr>
      </w:pPr>
    </w:p>
    <w:p>
      <w:pPr>
        <w:pStyle w:val="41"/>
        <w:rPr>
          <w:rFonts w:hint="default"/>
          <w:color w:val="auto"/>
          <w:highlight w:val="none"/>
        </w:rPr>
      </w:pPr>
    </w:p>
    <w:p>
      <w:pPr>
        <w:pStyle w:val="0"/>
        <w:numPr>
          <w:ilvl w:val="3"/>
          <w:numId w:val="1"/>
        </w:numPr>
        <w:autoSpaceDE w:val="0"/>
        <w:autoSpaceDN w:val="0"/>
        <w:spacing w:line="380" w:lineRule="exact"/>
        <w:ind w:left="882" w:leftChars="200" w:hanging="442"/>
        <w:rPr>
          <w:rFonts w:hint="default"/>
          <w:color w:val="auto"/>
          <w:highlight w:val="none"/>
        </w:rPr>
      </w:pPr>
      <w:r>
        <w:rPr>
          <w:rFonts w:hint="eastAsia"/>
          <w:color w:val="auto"/>
          <w:highlight w:val="none"/>
        </w:rPr>
        <w:t>介護人材の確保に必要と思われることについて、「介護報酬の見直し」が</w:t>
      </w:r>
      <w:r>
        <w:rPr>
          <w:rFonts w:hint="eastAsia"/>
          <w:color w:val="auto"/>
          <w:highlight w:val="none"/>
        </w:rPr>
        <w:t>77.8</w:t>
      </w:r>
      <w:r>
        <w:rPr>
          <w:rFonts w:hint="eastAsia"/>
          <w:color w:val="auto"/>
          <w:highlight w:val="none"/>
        </w:rPr>
        <w:t>％と最も高く、次いで「事務負担の軽減」（</w:t>
      </w:r>
      <w:r>
        <w:rPr>
          <w:rFonts w:hint="eastAsia"/>
          <w:color w:val="auto"/>
          <w:highlight w:val="none"/>
        </w:rPr>
        <w:t>65.4</w:t>
      </w:r>
      <w:r>
        <w:rPr>
          <w:rFonts w:hint="eastAsia"/>
          <w:color w:val="auto"/>
          <w:highlight w:val="none"/>
        </w:rPr>
        <w:t>％）となっています。</w:t>
      </w:r>
    </w:p>
    <w:p>
      <w:pPr>
        <w:pStyle w:val="0"/>
        <w:autoSpaceDE w:val="0"/>
        <w:autoSpaceDN w:val="0"/>
        <w:spacing w:before="185" w:beforeLines="50" w:beforeAutospacing="0" w:line="380" w:lineRule="exact"/>
        <w:ind w:left="425" w:leftChars="193"/>
        <w:jc w:val="center"/>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図表　介護人材の確保に必要と思われること</w:t>
      </w:r>
      <w:r>
        <w:rPr>
          <w:rFonts w:hint="eastAsia" w:ascii="BIZ UDPゴシック" w:hAnsi="BIZ UDPゴシック" w:eastAsia="BIZ UDPゴシック"/>
          <w:color w:val="auto"/>
          <w:sz w:val="21"/>
          <w:highlight w:val="none"/>
        </w:rPr>
        <w:t>/</w:t>
      </w:r>
      <w:r>
        <w:rPr>
          <w:rFonts w:hint="eastAsia" w:ascii="BIZ UDPゴシック" w:hAnsi="BIZ UDPゴシック" w:eastAsia="BIZ UDPゴシック"/>
          <w:color w:val="auto"/>
          <w:sz w:val="21"/>
          <w:highlight w:val="none"/>
        </w:rPr>
        <w:t>事業所票</w:t>
      </w:r>
    </w:p>
    <w:p>
      <w:pPr>
        <w:pStyle w:val="0"/>
        <w:rPr>
          <w:rFonts w:hint="default"/>
          <w:color w:val="auto"/>
          <w:highlight w:val="none"/>
        </w:rPr>
      </w:pPr>
      <w:r>
        <w:rPr>
          <w:rFonts w:hint="default"/>
          <w:color w:val="auto"/>
          <w:highlight w:val="none"/>
        </w:rPr>
        <w:drawing>
          <wp:anchor distT="0" distB="0" distL="114300" distR="114300" simplePos="0" relativeHeight="49" behindDoc="0" locked="0" layoutInCell="1" hidden="0" allowOverlap="1">
            <wp:simplePos x="0" y="0"/>
            <wp:positionH relativeFrom="column">
              <wp:posOffset>-266700</wp:posOffset>
            </wp:positionH>
            <wp:positionV relativeFrom="paragraph">
              <wp:posOffset>104775</wp:posOffset>
            </wp:positionV>
            <wp:extent cx="6105525" cy="2924175"/>
            <wp:effectExtent l="0" t="0" r="0" b="0"/>
            <wp:wrapNone/>
            <wp:docPr id="1150" name="Picture 26"/>
            <a:graphic xmlns:a="http://schemas.openxmlformats.org/drawingml/2006/main">
              <a:graphicData uri="http://schemas.openxmlformats.org/drawingml/2006/picture">
                <pic:pic xmlns:pic="http://schemas.openxmlformats.org/drawingml/2006/picture">
                  <pic:nvPicPr>
                    <pic:cNvPr id="1150" name="Picture 26"/>
                    <pic:cNvPicPr>
                      <a:picLocks noChangeAspect="1" noChangeArrowheads="1"/>
                    </pic:cNvPicPr>
                  </pic:nvPicPr>
                  <pic:blipFill>
                    <a:blip r:embed="rId89"/>
                    <a:stretch>
                      <a:fillRect/>
                    </a:stretch>
                  </pic:blipFill>
                  <pic:spPr>
                    <a:xfrm>
                      <a:off x="0" y="0"/>
                      <a:ext cx="6105525" cy="2924175"/>
                    </a:xfrm>
                    <a:prstGeom prst="rect">
                      <a:avLst/>
                    </a:prstGeom>
                    <a:noFill/>
                    <a:ln>
                      <a:noFill/>
                    </a:ln>
                  </pic:spPr>
                </pic:pic>
              </a:graphicData>
            </a:graphic>
          </wp:anchor>
        </w:drawing>
      </w: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r>
        <w:rPr>
          <w:rFonts w:hint="default" w:ascii="BIZ UDPゴシック" w:hAnsi="BIZ UDPゴシック" w:eastAsia="BIZ UDPゴシック"/>
          <w:color w:val="auto"/>
          <w:highlight w:val="none"/>
        </w:rPr>
        <w:br w:type="page"/>
      </w:r>
    </w:p>
    <w:p>
      <w:pPr>
        <w:pStyle w:val="0"/>
        <w:numPr>
          <w:ilvl w:val="3"/>
          <w:numId w:val="1"/>
        </w:numPr>
        <w:autoSpaceDE w:val="0"/>
        <w:autoSpaceDN w:val="0"/>
        <w:spacing w:line="380" w:lineRule="exact"/>
        <w:ind w:left="882" w:leftChars="200" w:hanging="442"/>
        <w:rPr>
          <w:rFonts w:hint="default"/>
          <w:color w:val="auto"/>
          <w:highlight w:val="none"/>
        </w:rPr>
      </w:pPr>
      <w:r>
        <w:rPr>
          <w:rFonts w:hint="eastAsia"/>
          <w:color w:val="auto"/>
          <w:highlight w:val="none"/>
        </w:rPr>
        <w:t>職員の離職防止・定着促進のために行っている取組について、「休暇を取りやすい体制をとっている」が</w:t>
      </w:r>
      <w:r>
        <w:rPr>
          <w:rFonts w:hint="eastAsia"/>
          <w:color w:val="auto"/>
          <w:highlight w:val="none"/>
        </w:rPr>
        <w:t>63.0</w:t>
      </w:r>
      <w:r>
        <w:rPr>
          <w:rFonts w:hint="eastAsia"/>
          <w:color w:val="auto"/>
          <w:highlight w:val="none"/>
        </w:rPr>
        <w:t>％と最も高く、「採用時に業務内容、勤務条件等について丁寧に説明している」（</w:t>
      </w:r>
      <w:r>
        <w:rPr>
          <w:rFonts w:hint="eastAsia"/>
          <w:color w:val="auto"/>
          <w:highlight w:val="none"/>
        </w:rPr>
        <w:t>56.8</w:t>
      </w:r>
      <w:r>
        <w:rPr>
          <w:rFonts w:hint="eastAsia"/>
          <w:color w:val="auto"/>
          <w:highlight w:val="none"/>
        </w:rPr>
        <w:t>％）、「労働時間（時間帯・総労働時間）の希望をきいている」（</w:t>
      </w:r>
      <w:r>
        <w:rPr>
          <w:rFonts w:hint="eastAsia"/>
          <w:color w:val="auto"/>
          <w:highlight w:val="none"/>
        </w:rPr>
        <w:t>52.5</w:t>
      </w:r>
      <w:r>
        <w:rPr>
          <w:rFonts w:hint="eastAsia"/>
          <w:color w:val="auto"/>
          <w:highlight w:val="none"/>
        </w:rPr>
        <w:t>％）、「非正規職員から正規職員への転換の機会を設けている」（</w:t>
      </w:r>
      <w:r>
        <w:rPr>
          <w:rFonts w:hint="eastAsia"/>
          <w:color w:val="auto"/>
          <w:highlight w:val="none"/>
        </w:rPr>
        <w:t>50.0</w:t>
      </w:r>
      <w:r>
        <w:rPr>
          <w:rFonts w:hint="eastAsia"/>
          <w:color w:val="auto"/>
          <w:highlight w:val="none"/>
        </w:rPr>
        <w:t>％）、「業務改善や効率化等による働きやすい職場づくり」（</w:t>
      </w:r>
      <w:r>
        <w:rPr>
          <w:rFonts w:hint="eastAsia"/>
          <w:color w:val="auto"/>
          <w:highlight w:val="none"/>
        </w:rPr>
        <w:t>48.8</w:t>
      </w:r>
      <w:r>
        <w:rPr>
          <w:rFonts w:hint="eastAsia"/>
          <w:color w:val="auto"/>
          <w:highlight w:val="none"/>
        </w:rPr>
        <w:t>％）が続いています。</w:t>
      </w:r>
    </w:p>
    <w:p>
      <w:pPr>
        <w:pStyle w:val="0"/>
        <w:autoSpaceDE w:val="0"/>
        <w:autoSpaceDN w:val="0"/>
        <w:spacing w:before="185" w:beforeLines="50" w:beforeAutospacing="0" w:line="380" w:lineRule="exact"/>
        <w:ind w:left="425" w:leftChars="193"/>
        <w:jc w:val="center"/>
        <w:rPr>
          <w:rFonts w:hint="default" w:ascii="BIZ UDPゴシック" w:hAnsi="BIZ UDPゴシック" w:eastAsia="BIZ UDPゴシック"/>
          <w:color w:val="auto"/>
          <w:sz w:val="21"/>
          <w:highlight w:val="none"/>
        </w:rPr>
      </w:pPr>
      <w:bookmarkStart w:id="56" w:name="_Hlk142574106"/>
      <w:r>
        <w:rPr>
          <w:rFonts w:hint="eastAsia" w:ascii="BIZ UDPゴシック" w:hAnsi="BIZ UDPゴシック" w:eastAsia="BIZ UDPゴシック"/>
          <w:color w:val="auto"/>
          <w:sz w:val="21"/>
          <w:highlight w:val="none"/>
        </w:rPr>
        <w:t>図表　職員の離職防止・定着促進のために行っている取組</w:t>
      </w:r>
      <w:bookmarkEnd w:id="56"/>
      <w:r>
        <w:rPr>
          <w:rFonts w:hint="eastAsia" w:ascii="BIZ UDPゴシック" w:hAnsi="BIZ UDPゴシック" w:eastAsia="BIZ UDPゴシック"/>
          <w:color w:val="auto"/>
          <w:sz w:val="21"/>
          <w:highlight w:val="none"/>
        </w:rPr>
        <w:t>/</w:t>
      </w:r>
      <w:r>
        <w:rPr>
          <w:rFonts w:hint="eastAsia" w:ascii="BIZ UDPゴシック" w:hAnsi="BIZ UDPゴシック" w:eastAsia="BIZ UDPゴシック"/>
          <w:color w:val="auto"/>
          <w:sz w:val="21"/>
          <w:highlight w:val="none"/>
        </w:rPr>
        <w:t>事業所票</w:t>
      </w:r>
    </w:p>
    <w:p>
      <w:pPr>
        <w:pStyle w:val="0"/>
        <w:rPr>
          <w:rFonts w:hint="default"/>
          <w:color w:val="auto"/>
          <w:highlight w:val="none"/>
        </w:rPr>
      </w:pPr>
      <w:r>
        <w:rPr>
          <w:rFonts w:hint="default"/>
          <w:color w:val="auto"/>
          <w:highlight w:val="none"/>
        </w:rPr>
        <w:drawing>
          <wp:anchor distT="0" distB="0" distL="114300" distR="114300" simplePos="0" relativeHeight="48" behindDoc="0" locked="0" layoutInCell="1" hidden="0" allowOverlap="1">
            <wp:simplePos x="0" y="0"/>
            <wp:positionH relativeFrom="column">
              <wp:posOffset>-257175</wp:posOffset>
            </wp:positionH>
            <wp:positionV relativeFrom="paragraph">
              <wp:posOffset>114300</wp:posOffset>
            </wp:positionV>
            <wp:extent cx="6105525" cy="4933950"/>
            <wp:effectExtent l="0" t="0" r="0" b="0"/>
            <wp:wrapNone/>
            <wp:docPr id="1151" name="Picture 20"/>
            <a:graphic xmlns:a="http://schemas.openxmlformats.org/drawingml/2006/main">
              <a:graphicData uri="http://schemas.openxmlformats.org/drawingml/2006/picture">
                <pic:pic xmlns:pic="http://schemas.openxmlformats.org/drawingml/2006/picture">
                  <pic:nvPicPr>
                    <pic:cNvPr id="1151" name="Picture 20"/>
                    <pic:cNvPicPr>
                      <a:picLocks noChangeAspect="1" noChangeArrowheads="1"/>
                    </pic:cNvPicPr>
                  </pic:nvPicPr>
                  <pic:blipFill>
                    <a:blip r:embed="rId90"/>
                    <a:stretch>
                      <a:fillRect/>
                    </a:stretch>
                  </pic:blipFill>
                  <pic:spPr>
                    <a:xfrm>
                      <a:off x="0" y="0"/>
                      <a:ext cx="6105525" cy="4933950"/>
                    </a:xfrm>
                    <a:prstGeom prst="rect">
                      <a:avLst/>
                    </a:prstGeom>
                    <a:noFill/>
                    <a:ln>
                      <a:noFill/>
                    </a:ln>
                  </pic:spPr>
                </pic:pic>
              </a:graphicData>
            </a:graphic>
          </wp:anchor>
        </w:drawing>
      </w: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r>
        <w:rPr>
          <w:rFonts w:hint="default" w:ascii="BIZ UDPゴシック" w:hAnsi="BIZ UDPゴシック" w:eastAsia="BIZ UDPゴシック"/>
          <w:color w:val="auto"/>
          <w:highlight w:val="none"/>
        </w:rPr>
        <w:br w:type="page"/>
      </w:r>
    </w:p>
    <w:p>
      <w:pPr>
        <w:pStyle w:val="0"/>
        <w:numPr>
          <w:ilvl w:val="3"/>
          <w:numId w:val="1"/>
        </w:numPr>
        <w:autoSpaceDE w:val="0"/>
        <w:autoSpaceDN w:val="0"/>
        <w:spacing w:line="380" w:lineRule="exact"/>
        <w:ind w:left="882" w:leftChars="200" w:hanging="442"/>
        <w:rPr>
          <w:rFonts w:hint="default"/>
          <w:color w:val="auto"/>
          <w:highlight w:val="none"/>
        </w:rPr>
      </w:pPr>
      <w:r>
        <w:rPr>
          <w:rFonts w:hint="eastAsia"/>
          <w:color w:val="auto"/>
          <w:highlight w:val="none"/>
        </w:rPr>
        <w:t>職員が介護関係の仕事を選んだ理由について、「働きがいのある仕事だと思ったから」が</w:t>
      </w:r>
      <w:r>
        <w:rPr>
          <w:rFonts w:hint="eastAsia"/>
          <w:color w:val="auto"/>
          <w:highlight w:val="none"/>
        </w:rPr>
        <w:t>46.4</w:t>
      </w:r>
      <w:r>
        <w:rPr>
          <w:rFonts w:hint="eastAsia"/>
          <w:color w:val="auto"/>
          <w:highlight w:val="none"/>
        </w:rPr>
        <w:t>％と最も高く、「資格・技能が活かせるから」（</w:t>
      </w:r>
      <w:r>
        <w:rPr>
          <w:rFonts w:hint="eastAsia"/>
          <w:color w:val="auto"/>
          <w:highlight w:val="none"/>
        </w:rPr>
        <w:t>37.2</w:t>
      </w:r>
      <w:r>
        <w:rPr>
          <w:rFonts w:hint="eastAsia"/>
          <w:color w:val="auto"/>
          <w:highlight w:val="none"/>
        </w:rPr>
        <w:t>％）、「人や社会の役に立ちたいから」（</w:t>
      </w:r>
      <w:r>
        <w:rPr>
          <w:rFonts w:hint="eastAsia"/>
          <w:color w:val="auto"/>
          <w:highlight w:val="none"/>
        </w:rPr>
        <w:t>27.4</w:t>
      </w:r>
      <w:r>
        <w:rPr>
          <w:rFonts w:hint="eastAsia"/>
          <w:color w:val="auto"/>
          <w:highlight w:val="none"/>
        </w:rPr>
        <w:t>％）、「今後もニーズが高まる仕事だから」（</w:t>
      </w:r>
      <w:r>
        <w:rPr>
          <w:rFonts w:hint="eastAsia"/>
          <w:color w:val="auto"/>
          <w:highlight w:val="none"/>
        </w:rPr>
        <w:t>25.3</w:t>
      </w:r>
      <w:r>
        <w:rPr>
          <w:rFonts w:hint="eastAsia"/>
          <w:color w:val="auto"/>
          <w:highlight w:val="none"/>
        </w:rPr>
        <w:t>％）が続いています。</w:t>
      </w:r>
    </w:p>
    <w:p>
      <w:pPr>
        <w:pStyle w:val="0"/>
        <w:autoSpaceDE w:val="0"/>
        <w:autoSpaceDN w:val="0"/>
        <w:spacing w:before="185" w:beforeLines="50" w:beforeAutospacing="0" w:line="380" w:lineRule="exact"/>
        <w:ind w:left="425" w:leftChars="193"/>
        <w:jc w:val="center"/>
        <w:rPr>
          <w:rFonts w:hint="default" w:ascii="BIZ UDPゴシック" w:hAnsi="BIZ UDPゴシック" w:eastAsia="BIZ UDPゴシック"/>
          <w:color w:val="auto"/>
          <w:sz w:val="21"/>
          <w:highlight w:val="none"/>
        </w:rPr>
      </w:pPr>
      <w:r>
        <w:rPr>
          <w:rFonts w:hint="default"/>
          <w:color w:val="auto"/>
          <w:highlight w:val="none"/>
        </w:rPr>
        <w:drawing>
          <wp:anchor distT="0" distB="0" distL="114300" distR="114300" simplePos="0" relativeHeight="91" behindDoc="0" locked="0" layoutInCell="1" hidden="0" allowOverlap="1">
            <wp:simplePos x="0" y="0"/>
            <wp:positionH relativeFrom="column">
              <wp:posOffset>-281305</wp:posOffset>
            </wp:positionH>
            <wp:positionV relativeFrom="paragraph">
              <wp:posOffset>410845</wp:posOffset>
            </wp:positionV>
            <wp:extent cx="6127115" cy="3747135"/>
            <wp:effectExtent l="0" t="0" r="0" b="0"/>
            <wp:wrapNone/>
            <wp:docPr id="1152" name="Picture 13"/>
            <a:graphic xmlns:a="http://schemas.openxmlformats.org/drawingml/2006/main">
              <a:graphicData uri="http://schemas.openxmlformats.org/drawingml/2006/picture">
                <pic:pic xmlns:pic="http://schemas.openxmlformats.org/drawingml/2006/picture">
                  <pic:nvPicPr>
                    <pic:cNvPr id="1152" name="Picture 13"/>
                    <pic:cNvPicPr>
                      <a:picLocks noChangeAspect="1" noChangeArrowheads="1"/>
                    </pic:cNvPicPr>
                  </pic:nvPicPr>
                  <pic:blipFill>
                    <a:blip r:embed="rId91"/>
                    <a:stretch>
                      <a:fillRect/>
                    </a:stretch>
                  </pic:blipFill>
                  <pic:spPr>
                    <a:xfrm>
                      <a:off x="0" y="0"/>
                      <a:ext cx="6127115" cy="3747135"/>
                    </a:xfrm>
                    <a:prstGeom prst="rect">
                      <a:avLst/>
                    </a:prstGeom>
                    <a:noFill/>
                    <a:ln>
                      <a:noFill/>
                    </a:ln>
                  </pic:spPr>
                </pic:pic>
              </a:graphicData>
            </a:graphic>
          </wp:anchor>
        </w:drawing>
      </w:r>
      <w:r>
        <w:rPr>
          <w:rFonts w:hint="eastAsia" w:ascii="BIZ UDPゴシック" w:hAnsi="BIZ UDPゴシック" w:eastAsia="BIZ UDPゴシック"/>
          <w:color w:val="auto"/>
          <w:sz w:val="21"/>
          <w:highlight w:val="none"/>
        </w:rPr>
        <w:t>図表　介護関係の仕事を選んだ理由</w:t>
      </w:r>
      <w:r>
        <w:rPr>
          <w:rFonts w:hint="eastAsia" w:ascii="BIZ UDPゴシック" w:hAnsi="BIZ UDPゴシック" w:eastAsia="BIZ UDPゴシック"/>
          <w:color w:val="auto"/>
          <w:sz w:val="21"/>
          <w:highlight w:val="none"/>
        </w:rPr>
        <w:t>/</w:t>
      </w:r>
      <w:r>
        <w:rPr>
          <w:rFonts w:hint="eastAsia" w:ascii="BIZ UDPゴシック" w:hAnsi="BIZ UDPゴシック" w:eastAsia="BIZ UDPゴシック"/>
          <w:color w:val="auto"/>
          <w:sz w:val="21"/>
          <w:highlight w:val="none"/>
        </w:rPr>
        <w:t>職員票</w:t>
      </w:r>
    </w:p>
    <w:p>
      <w:pPr>
        <w:pStyle w:val="0"/>
        <w:rPr>
          <w:rFonts w:hint="default"/>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46"/>
        <w:rPr>
          <w:rFonts w:hint="default"/>
          <w:color w:val="auto"/>
          <w:highlight w:val="none"/>
        </w:rPr>
      </w:pPr>
      <w:r>
        <w:rPr>
          <w:rFonts w:hint="eastAsia"/>
          <w:color w:val="auto"/>
          <w:highlight w:val="none"/>
        </w:rPr>
        <w:t>転職した経験があり、直前の職場が介護関連の職場であった場合の離職理由は、「職場の人間関係のため」、「収入が少なかった」、「法人や事業所の理念や運営のあり方に不満があった」が上位となっています。</w:t>
      </w:r>
    </w:p>
    <w:p>
      <w:pPr>
        <w:pStyle w:val="79"/>
        <w:spacing w:before="190" w:beforeLines="0" w:beforeAutospacing="0"/>
        <w:rPr>
          <w:rFonts w:hint="default"/>
          <w:color w:val="auto"/>
          <w:highlight w:val="none"/>
        </w:rPr>
      </w:pPr>
      <w:r>
        <w:rPr>
          <w:rFonts w:hint="eastAsia"/>
          <w:color w:val="auto"/>
          <w:highlight w:val="none"/>
        </w:rPr>
        <w:t>図表　直前の介護関連の職場を離職した理由</w:t>
      </w:r>
      <w:r>
        <w:rPr>
          <w:rFonts w:hint="eastAsia"/>
          <w:color w:val="auto"/>
          <w:highlight w:val="none"/>
        </w:rPr>
        <w:t>/</w:t>
      </w:r>
      <w:r>
        <w:rPr>
          <w:rFonts w:hint="eastAsia"/>
          <w:color w:val="auto"/>
          <w:highlight w:val="none"/>
        </w:rPr>
        <w:t>職員票（上位</w:t>
      </w:r>
      <w:r>
        <w:rPr>
          <w:rFonts w:hint="eastAsia"/>
          <w:color w:val="auto"/>
          <w:highlight w:val="none"/>
        </w:rPr>
        <w:t>10</w:t>
      </w:r>
      <w:r>
        <w:rPr>
          <w:rFonts w:hint="eastAsia"/>
          <w:color w:val="auto"/>
          <w:highlight w:val="none"/>
        </w:rPr>
        <w:t>項目）</w:t>
      </w:r>
    </w:p>
    <w:p>
      <w:pPr>
        <w:pStyle w:val="0"/>
        <w:spacing w:line="380" w:lineRule="exact"/>
        <w:rPr>
          <w:rFonts w:hint="default" w:ascii="BIZ UDPゴシック" w:hAnsi="BIZ UDPゴシック" w:eastAsia="BIZ UDPゴシック"/>
          <w:color w:val="auto"/>
          <w:highlight w:val="none"/>
        </w:rPr>
      </w:pPr>
      <w:r>
        <w:rPr>
          <w:rFonts w:hint="default"/>
          <w:color w:val="auto"/>
          <w:highlight w:val="none"/>
        </w:rPr>
        <w:drawing>
          <wp:anchor distT="0" distB="0" distL="114300" distR="114300" simplePos="0" relativeHeight="94" behindDoc="0" locked="0" layoutInCell="1" hidden="0" allowOverlap="1">
            <wp:simplePos x="0" y="0"/>
            <wp:positionH relativeFrom="column">
              <wp:posOffset>-280035</wp:posOffset>
            </wp:positionH>
            <wp:positionV relativeFrom="paragraph">
              <wp:posOffset>102870</wp:posOffset>
            </wp:positionV>
            <wp:extent cx="6127115" cy="2609215"/>
            <wp:effectExtent l="0" t="0" r="0" b="0"/>
            <wp:wrapNone/>
            <wp:docPr id="1153" name="Picture 2"/>
            <a:graphic xmlns:a="http://schemas.openxmlformats.org/drawingml/2006/main">
              <a:graphicData uri="http://schemas.openxmlformats.org/drawingml/2006/picture">
                <pic:pic xmlns:pic="http://schemas.openxmlformats.org/drawingml/2006/picture">
                  <pic:nvPicPr>
                    <pic:cNvPr id="1153" name="Picture 2"/>
                    <pic:cNvPicPr>
                      <a:picLocks noChangeAspect="1" noChangeArrowheads="1"/>
                    </pic:cNvPicPr>
                  </pic:nvPicPr>
                  <pic:blipFill>
                    <a:blip r:embed="rId92"/>
                    <a:stretch>
                      <a:fillRect/>
                    </a:stretch>
                  </pic:blipFill>
                  <pic:spPr>
                    <a:xfrm>
                      <a:off x="0" y="0"/>
                      <a:ext cx="6127115" cy="2609215"/>
                    </a:xfrm>
                    <a:prstGeom prst="rect">
                      <a:avLst/>
                    </a:prstGeom>
                    <a:noFill/>
                    <a:ln>
                      <a:noFill/>
                    </a:ln>
                  </pic:spPr>
                </pic:pic>
              </a:graphicData>
            </a:graphic>
          </wp:anchor>
        </w:drawing>
      </w: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widowControl w:val="1"/>
        <w:jc w:val="left"/>
        <w:rPr>
          <w:rFonts w:hint="default" w:ascii="BIZ UDPゴシック" w:hAnsi="BIZ UDPゴシック" w:eastAsia="BIZ UDPゴシック"/>
          <w:color w:val="auto"/>
          <w:highlight w:val="none"/>
        </w:rPr>
      </w:pPr>
      <w:r>
        <w:rPr>
          <w:rFonts w:hint="default" w:ascii="BIZ UDPゴシック" w:hAnsi="BIZ UDPゴシック" w:eastAsia="BIZ UDPゴシック"/>
          <w:color w:val="auto"/>
          <w:highlight w:val="none"/>
        </w:rPr>
        <w:br w:type="page"/>
      </w:r>
    </w:p>
    <w:p>
      <w:pPr>
        <w:pStyle w:val="0"/>
        <w:numPr>
          <w:ilvl w:val="3"/>
          <w:numId w:val="1"/>
        </w:numPr>
        <w:autoSpaceDE w:val="0"/>
        <w:autoSpaceDN w:val="0"/>
        <w:spacing w:after="185" w:afterLines="50" w:afterAutospacing="0" w:line="380" w:lineRule="exact"/>
        <w:ind w:left="882" w:leftChars="200" w:hanging="442"/>
        <w:rPr>
          <w:rFonts w:hint="default"/>
          <w:color w:val="auto"/>
          <w:highlight w:val="none"/>
        </w:rPr>
      </w:pPr>
      <w:r>
        <w:rPr>
          <w:rFonts w:hint="eastAsia"/>
          <w:color w:val="auto"/>
          <w:highlight w:val="none"/>
        </w:rPr>
        <w:t>職員が現在の事業所で働き続けるために必要と感じることについて、「給与面の改善」が</w:t>
      </w:r>
      <w:r>
        <w:rPr>
          <w:rFonts w:hint="eastAsia"/>
          <w:color w:val="auto"/>
          <w:highlight w:val="none"/>
        </w:rPr>
        <w:t>58.1</w:t>
      </w:r>
      <w:r>
        <w:rPr>
          <w:rFonts w:hint="eastAsia"/>
          <w:color w:val="auto"/>
          <w:highlight w:val="none"/>
        </w:rPr>
        <w:t>％と最も高く、「有給休暇を取りやすい環境」（</w:t>
      </w:r>
      <w:r>
        <w:rPr>
          <w:rFonts w:hint="eastAsia"/>
          <w:color w:val="auto"/>
          <w:highlight w:val="none"/>
        </w:rPr>
        <w:t>29.1</w:t>
      </w:r>
      <w:r>
        <w:rPr>
          <w:rFonts w:hint="eastAsia"/>
          <w:color w:val="auto"/>
          <w:highlight w:val="none"/>
        </w:rPr>
        <w:t>％）、「福利厚生制度の充実」（</w:t>
      </w:r>
      <w:r>
        <w:rPr>
          <w:rFonts w:hint="eastAsia"/>
          <w:color w:val="auto"/>
          <w:highlight w:val="none"/>
        </w:rPr>
        <w:t>28.1</w:t>
      </w:r>
      <w:r>
        <w:rPr>
          <w:rFonts w:hint="eastAsia"/>
          <w:color w:val="auto"/>
          <w:highlight w:val="none"/>
        </w:rPr>
        <w:t>％）が続いています。</w:t>
      </w:r>
    </w:p>
    <w:p>
      <w:pPr>
        <w:pStyle w:val="0"/>
        <w:autoSpaceDE w:val="0"/>
        <w:autoSpaceDN w:val="0"/>
        <w:spacing w:before="185" w:beforeLines="50" w:beforeAutospacing="0" w:line="380" w:lineRule="exact"/>
        <w:ind w:left="425" w:leftChars="193"/>
        <w:jc w:val="center"/>
        <w:rPr>
          <w:rFonts w:hint="default" w:ascii="BIZ UDPゴシック" w:hAnsi="BIZ UDPゴシック" w:eastAsia="BIZ UDPゴシック"/>
          <w:color w:val="auto"/>
          <w:sz w:val="21"/>
          <w:highlight w:val="none"/>
        </w:rPr>
      </w:pPr>
      <w:r>
        <w:rPr>
          <w:rFonts w:hint="default"/>
          <w:color w:val="auto"/>
          <w:highlight w:val="none"/>
        </w:rPr>
        <w:drawing>
          <wp:anchor distT="0" distB="0" distL="114300" distR="114300" simplePos="0" relativeHeight="90" behindDoc="0" locked="0" layoutInCell="1" hidden="0" allowOverlap="1">
            <wp:simplePos x="0" y="0"/>
            <wp:positionH relativeFrom="column">
              <wp:posOffset>-262255</wp:posOffset>
            </wp:positionH>
            <wp:positionV relativeFrom="paragraph">
              <wp:posOffset>312420</wp:posOffset>
            </wp:positionV>
            <wp:extent cx="6127115" cy="4339590"/>
            <wp:effectExtent l="0" t="0" r="0" b="0"/>
            <wp:wrapNone/>
            <wp:docPr id="1154" name="Picture 11"/>
            <a:graphic xmlns:a="http://schemas.openxmlformats.org/drawingml/2006/main">
              <a:graphicData uri="http://schemas.openxmlformats.org/drawingml/2006/picture">
                <pic:pic xmlns:pic="http://schemas.openxmlformats.org/drawingml/2006/picture">
                  <pic:nvPicPr>
                    <pic:cNvPr id="1154" name="Picture 11"/>
                    <pic:cNvPicPr>
                      <a:picLocks noChangeAspect="1" noChangeArrowheads="1"/>
                    </pic:cNvPicPr>
                  </pic:nvPicPr>
                  <pic:blipFill>
                    <a:blip r:embed="rId93"/>
                    <a:stretch>
                      <a:fillRect/>
                    </a:stretch>
                  </pic:blipFill>
                  <pic:spPr>
                    <a:xfrm>
                      <a:off x="0" y="0"/>
                      <a:ext cx="6127115" cy="4339590"/>
                    </a:xfrm>
                    <a:prstGeom prst="rect">
                      <a:avLst/>
                    </a:prstGeom>
                    <a:noFill/>
                    <a:ln>
                      <a:noFill/>
                    </a:ln>
                  </pic:spPr>
                </pic:pic>
              </a:graphicData>
            </a:graphic>
          </wp:anchor>
        </w:drawing>
      </w:r>
      <w:r>
        <w:rPr>
          <w:rFonts w:hint="eastAsia" w:ascii="BIZ UDPゴシック" w:hAnsi="BIZ UDPゴシック" w:eastAsia="BIZ UDPゴシック"/>
          <w:color w:val="auto"/>
          <w:sz w:val="21"/>
          <w:highlight w:val="none"/>
        </w:rPr>
        <w:t>図表　現在の事業所で働き続けるために必要と感じること</w:t>
      </w:r>
      <w:r>
        <w:rPr>
          <w:rFonts w:hint="eastAsia" w:ascii="BIZ UDPゴシック" w:hAnsi="BIZ UDPゴシック" w:eastAsia="BIZ UDPゴシック"/>
          <w:color w:val="auto"/>
          <w:sz w:val="21"/>
          <w:highlight w:val="none"/>
        </w:rPr>
        <w:t>/</w:t>
      </w:r>
      <w:r>
        <w:rPr>
          <w:rFonts w:hint="eastAsia" w:ascii="BIZ UDPゴシック" w:hAnsi="BIZ UDPゴシック" w:eastAsia="BIZ UDPゴシック"/>
          <w:color w:val="auto"/>
          <w:sz w:val="21"/>
          <w:highlight w:val="none"/>
        </w:rPr>
        <w:t>職員票</w:t>
      </w:r>
    </w:p>
    <w:p>
      <w:pPr>
        <w:pStyle w:val="0"/>
        <w:rPr>
          <w:rFonts w:hint="default"/>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spacing w:line="380" w:lineRule="exact"/>
        <w:rPr>
          <w:rFonts w:hint="default" w:ascii="BIZ UDPゴシック" w:hAnsi="BIZ UDPゴシック" w:eastAsia="BIZ UDPゴシック"/>
          <w:color w:val="auto"/>
          <w:highlight w:val="none"/>
        </w:rPr>
      </w:pPr>
    </w:p>
    <w:p>
      <w:pPr>
        <w:pStyle w:val="0"/>
        <w:widowControl w:val="1"/>
        <w:jc w:val="left"/>
        <w:rPr>
          <w:rFonts w:hint="default" w:ascii="BIZ UDPゴシック" w:hAnsi="BIZ UDPゴシック" w:eastAsia="BIZ UDPゴシック"/>
          <w:color w:val="auto"/>
          <w:highlight w:val="none"/>
        </w:rPr>
      </w:pPr>
      <w:r>
        <w:rPr>
          <w:rFonts w:hint="default" w:ascii="BIZ UDPゴシック" w:hAnsi="BIZ UDPゴシック" w:eastAsia="BIZ UDPゴシック"/>
          <w:color w:val="auto"/>
          <w:highlight w:val="none"/>
        </w:rPr>
        <w:br w:type="page"/>
      </w:r>
    </w:p>
    <w:p>
      <w:pPr>
        <w:pStyle w:val="22"/>
        <w:spacing w:after="76" w:afterLines="0" w:afterAutospacing="0"/>
        <w:rPr>
          <w:rFonts w:hint="default"/>
          <w:color w:val="auto"/>
          <w:highlight w:val="none"/>
        </w:rPr>
      </w:pPr>
      <w:bookmarkStart w:id="57" w:name="_Toc152160634"/>
      <w:r>
        <w:rPr>
          <w:rFonts w:hint="eastAsia"/>
          <w:color w:val="auto"/>
          <w:highlight w:val="none"/>
        </w:rPr>
        <w:t>９　国の動向（社会保障審議会介護保険部会）</w:t>
      </w:r>
      <w:bookmarkEnd w:id="57"/>
    </w:p>
    <w:p>
      <w:pPr>
        <w:pStyle w:val="0"/>
        <w:spacing w:after="185" w:afterLines="50" w:afterAutospacing="0"/>
        <w:ind w:left="440" w:leftChars="200"/>
        <w:rPr>
          <w:rFonts w:hint="default"/>
          <w:color w:val="auto"/>
          <w:sz w:val="28"/>
          <w:highlight w:val="none"/>
        </w:rPr>
      </w:pPr>
      <w:r>
        <w:rPr>
          <w:rFonts w:hint="eastAsia"/>
          <w:color w:val="auto"/>
          <w:sz w:val="28"/>
          <w:highlight w:val="none"/>
        </w:rPr>
        <w:t>基本指針の構成について（見直しのポイント）</w:t>
      </w:r>
    </w:p>
    <w:p>
      <w:pPr>
        <w:pStyle w:val="24"/>
        <w:spacing w:after="185" w:afterLines="50" w:afterAutospacing="0"/>
        <w:rPr>
          <w:rFonts w:hint="default"/>
          <w:color w:val="auto"/>
          <w:highlight w:val="none"/>
        </w:rPr>
      </w:pPr>
      <w:r>
        <w:rPr>
          <w:rFonts w:hint="eastAsia"/>
          <w:color w:val="auto"/>
          <w:highlight w:val="none"/>
        </w:rPr>
        <w:t>第９期介護保険事業計画の作成に向けた検討を踏まえ、国は主に次のとおり見直しをポイントを示しています。</w:t>
      </w:r>
    </w:p>
    <w:p>
      <w:pPr>
        <w:pStyle w:val="26"/>
        <w:spacing w:after="76" w:afterLines="0" w:afterAutospacing="0"/>
        <w:rPr>
          <w:rFonts w:hint="default"/>
          <w:color w:val="auto"/>
          <w:highlight w:val="none"/>
        </w:rPr>
      </w:pPr>
      <w:bookmarkStart w:id="58" w:name="_Toc152155832"/>
      <w:bookmarkStart w:id="59" w:name="_Toc152160635"/>
      <w:r>
        <w:rPr>
          <w:rFonts w:hint="default"/>
          <w:color w:val="auto"/>
          <w:highlight w:val="none"/>
        </w:rPr>
        <w:t>（</w:t>
      </w:r>
      <w:r>
        <w:rPr>
          <w:rFonts w:hint="eastAsia"/>
          <w:color w:val="auto"/>
          <w:highlight w:val="none"/>
        </w:rPr>
        <w:t>１</w:t>
      </w:r>
      <w:r>
        <w:rPr>
          <w:rFonts w:hint="default"/>
          <w:color w:val="auto"/>
          <w:highlight w:val="none"/>
        </w:rPr>
        <w:t>）</w:t>
      </w:r>
      <w:r>
        <w:rPr>
          <w:rFonts w:hint="eastAsia"/>
          <w:color w:val="auto"/>
          <w:highlight w:val="none"/>
        </w:rPr>
        <w:t>介護サービス基盤の計画的な整備</w:t>
      </w:r>
      <w:bookmarkEnd w:id="58"/>
      <w:bookmarkEnd w:id="59"/>
    </w:p>
    <w:p>
      <w:pPr>
        <w:pStyle w:val="30"/>
        <w:spacing w:after="76" w:afterLines="0" w:afterAutospacing="0"/>
        <w:rPr>
          <w:rFonts w:hint="default"/>
          <w:color w:val="auto"/>
          <w:highlight w:val="none"/>
        </w:rPr>
      </w:pPr>
      <w:r>
        <w:rPr>
          <w:rFonts w:hint="eastAsia"/>
          <w:color w:val="auto"/>
          <w:highlight w:val="none"/>
        </w:rPr>
        <w:t>ア　地域の実情に応じたサービス基盤の整備</w:t>
      </w:r>
    </w:p>
    <w:p>
      <w:pPr>
        <w:pStyle w:val="44"/>
        <w:rPr>
          <w:rFonts w:hint="default"/>
          <w:color w:val="auto"/>
          <w:highlight w:val="none"/>
        </w:rPr>
      </w:pPr>
      <w:r>
        <w:rPr>
          <w:rFonts w:hint="eastAsia"/>
          <w:color w:val="auto"/>
          <w:highlight w:val="none"/>
        </w:rPr>
        <w:t>地域の人口動態や介護ニーズの見込等を適切に捉え、既存施設・事業所のあり方も含め検討し、地域の実情に応じて介護サービス基盤を計画的に確保していくことが必要</w:t>
      </w:r>
    </w:p>
    <w:p>
      <w:pPr>
        <w:pStyle w:val="44"/>
        <w:rPr>
          <w:rFonts w:hint="default"/>
          <w:color w:val="auto"/>
          <w:highlight w:val="none"/>
        </w:rPr>
      </w:pPr>
      <w:r>
        <w:rPr>
          <w:rFonts w:hint="eastAsia"/>
          <w:color w:val="auto"/>
          <w:highlight w:val="none"/>
        </w:rPr>
        <w:t>医療・介護双方のニーズを有する高齢者の増加を踏まえ、医療・介護を効率的かつ効果的に提供する体制を確保することが重要</w:t>
      </w:r>
    </w:p>
    <w:p>
      <w:pPr>
        <w:pStyle w:val="30"/>
        <w:spacing w:after="76" w:afterLines="0" w:afterAutospacing="0"/>
        <w:rPr>
          <w:rFonts w:hint="default"/>
          <w:color w:val="auto"/>
          <w:highlight w:val="none"/>
        </w:rPr>
      </w:pPr>
      <w:r>
        <w:rPr>
          <w:rFonts w:hint="eastAsia"/>
          <w:color w:val="auto"/>
          <w:highlight w:val="none"/>
        </w:rPr>
        <w:t>イ　在宅サービスの充実</w:t>
      </w:r>
    </w:p>
    <w:p>
      <w:pPr>
        <w:pStyle w:val="44"/>
        <w:rPr>
          <w:rFonts w:hint="default"/>
          <w:color w:val="auto"/>
          <w:highlight w:val="none"/>
        </w:rPr>
      </w:pPr>
      <w:r>
        <w:rPr>
          <w:rFonts w:hint="eastAsia"/>
          <w:color w:val="auto"/>
          <w:highlight w:val="none"/>
        </w:rPr>
        <w:t>居宅要介護者の在宅生活を支えるための定期巡回・随時対応型訪問介護看護、小規模多機能型居宅介護、看護小規模多機能型居宅介護などの地域密着型サービスの更なる普及や複合的な在宅サービスの整備を推進することが重要</w:t>
      </w:r>
    </w:p>
    <w:p>
      <w:pPr>
        <w:pStyle w:val="26"/>
        <w:spacing w:before="185" w:beforeLines="50" w:beforeAutospacing="0" w:after="76" w:afterLines="0" w:afterAutospacing="0"/>
        <w:rPr>
          <w:rFonts w:hint="default"/>
          <w:color w:val="auto"/>
          <w:highlight w:val="none"/>
        </w:rPr>
      </w:pPr>
      <w:bookmarkStart w:id="60" w:name="_Toc152155833"/>
      <w:bookmarkStart w:id="61" w:name="_Toc152160636"/>
      <w:r>
        <w:rPr>
          <w:rFonts w:hint="default"/>
          <w:color w:val="auto"/>
          <w:highlight w:val="none"/>
        </w:rPr>
        <w:t>（</w:t>
      </w:r>
      <w:r>
        <w:rPr>
          <w:rFonts w:hint="eastAsia"/>
          <w:color w:val="auto"/>
          <w:highlight w:val="none"/>
        </w:rPr>
        <w:t>２</w:t>
      </w:r>
      <w:r>
        <w:rPr>
          <w:rFonts w:hint="default"/>
          <w:color w:val="auto"/>
          <w:highlight w:val="none"/>
        </w:rPr>
        <w:t>）</w:t>
      </w:r>
      <w:r>
        <w:rPr>
          <w:rFonts w:hint="eastAsia"/>
          <w:color w:val="auto"/>
          <w:highlight w:val="none"/>
        </w:rPr>
        <w:t>地域包括ケアシステムの深化・推進に向けた取組</w:t>
      </w:r>
      <w:bookmarkEnd w:id="60"/>
      <w:bookmarkEnd w:id="61"/>
    </w:p>
    <w:p>
      <w:pPr>
        <w:pStyle w:val="30"/>
        <w:spacing w:after="76" w:afterLines="0" w:afterAutospacing="0"/>
        <w:rPr>
          <w:rFonts w:hint="default"/>
          <w:color w:val="auto"/>
          <w:highlight w:val="none"/>
        </w:rPr>
      </w:pPr>
      <w:r>
        <w:rPr>
          <w:rFonts w:hint="eastAsia"/>
          <w:color w:val="auto"/>
          <w:highlight w:val="none"/>
        </w:rPr>
        <w:t>ア　地域共生社会の実現</w:t>
      </w:r>
    </w:p>
    <w:p>
      <w:pPr>
        <w:pStyle w:val="44"/>
        <w:rPr>
          <w:rFonts w:hint="default"/>
          <w:color w:val="auto"/>
          <w:highlight w:val="none"/>
        </w:rPr>
      </w:pPr>
      <w:r>
        <w:rPr>
          <w:rFonts w:hint="eastAsia"/>
          <w:color w:val="auto"/>
          <w:highlight w:val="none"/>
        </w:rPr>
        <w:t>地域共生社会の実現に向けて、制度・分野の枠や「支える側」「支えられる側」という関係を越えた介護予防や日常生活支援の取組を促進</w:t>
      </w:r>
    </w:p>
    <w:p>
      <w:pPr>
        <w:pStyle w:val="44"/>
        <w:rPr>
          <w:rFonts w:hint="default"/>
          <w:color w:val="auto"/>
          <w:highlight w:val="none"/>
        </w:rPr>
      </w:pPr>
      <w:r>
        <w:rPr>
          <w:rFonts w:hint="eastAsia"/>
          <w:color w:val="auto"/>
          <w:highlight w:val="none"/>
        </w:rPr>
        <w:t>地域包括支援センターの体制整備を図り、重層的支援体制整備事業において属性や世代を問わない包括的な相談支援などを担うことを期待</w:t>
      </w:r>
    </w:p>
    <w:p>
      <w:pPr>
        <w:pStyle w:val="44"/>
        <w:rPr>
          <w:rFonts w:hint="default"/>
          <w:color w:val="auto"/>
          <w:highlight w:val="none"/>
        </w:rPr>
      </w:pPr>
      <w:r>
        <w:rPr>
          <w:rFonts w:hint="eastAsia"/>
          <w:color w:val="auto"/>
          <w:highlight w:val="none"/>
        </w:rPr>
        <w:t>認知症に関する正しい知識の普及啓発により、認知症への社会の理解を深めることが重要</w:t>
      </w:r>
    </w:p>
    <w:p>
      <w:pPr>
        <w:pStyle w:val="30"/>
        <w:spacing w:after="76" w:afterLines="0" w:afterAutospacing="0"/>
        <w:rPr>
          <w:rFonts w:hint="default"/>
          <w:color w:val="auto"/>
          <w:highlight w:val="none"/>
        </w:rPr>
      </w:pPr>
      <w:r>
        <w:rPr>
          <w:rFonts w:hint="eastAsia"/>
          <w:color w:val="auto"/>
          <w:highlight w:val="none"/>
        </w:rPr>
        <w:t>イ　デジタル技術の活用</w:t>
      </w:r>
    </w:p>
    <w:p>
      <w:pPr>
        <w:pStyle w:val="44"/>
        <w:rPr>
          <w:rFonts w:hint="default"/>
          <w:color w:val="auto"/>
          <w:highlight w:val="none"/>
        </w:rPr>
      </w:pPr>
      <w:r>
        <w:rPr>
          <w:rStyle w:val="45"/>
          <w:rFonts w:hint="eastAsia"/>
          <w:color w:val="auto"/>
          <w:highlight w:val="none"/>
        </w:rPr>
        <w:t>デジタル技術を活用し、介護事業者間、医療・介護間での連携を円滑に進める</w:t>
      </w:r>
      <w:r>
        <w:rPr>
          <w:rFonts w:hint="eastAsia"/>
          <w:color w:val="auto"/>
          <w:highlight w:val="none"/>
        </w:rPr>
        <w:t>ための医療・介護情報基盤を整備</w:t>
      </w:r>
    </w:p>
    <w:p>
      <w:pPr>
        <w:pStyle w:val="30"/>
        <w:spacing w:after="76" w:afterLines="0" w:afterAutospacing="0"/>
        <w:rPr>
          <w:rFonts w:hint="default"/>
          <w:color w:val="auto"/>
          <w:highlight w:val="none"/>
        </w:rPr>
      </w:pPr>
      <w:r>
        <w:rPr>
          <w:rFonts w:hint="eastAsia"/>
          <w:color w:val="auto"/>
          <w:highlight w:val="none"/>
        </w:rPr>
        <w:t>ウ　保険者機能の強化</w:t>
      </w:r>
    </w:p>
    <w:p>
      <w:pPr>
        <w:pStyle w:val="44"/>
        <w:rPr>
          <w:rFonts w:hint="default"/>
          <w:color w:val="auto"/>
          <w:highlight w:val="none"/>
        </w:rPr>
      </w:pPr>
      <w:r>
        <w:rPr>
          <w:rFonts w:hint="eastAsia"/>
          <w:color w:val="auto"/>
          <w:highlight w:val="none"/>
        </w:rPr>
        <w:t>給付適正化事業の取組の重点化・内容の充実・見える化</w:t>
      </w:r>
    </w:p>
    <w:p>
      <w:pPr>
        <w:pStyle w:val="26"/>
        <w:spacing w:before="185" w:beforeLines="50" w:beforeAutospacing="0" w:after="76" w:afterLines="0" w:afterAutospacing="0"/>
        <w:rPr>
          <w:rFonts w:hint="default"/>
          <w:color w:val="auto"/>
          <w:highlight w:val="none"/>
        </w:rPr>
      </w:pPr>
      <w:bookmarkStart w:id="62" w:name="_Toc152155834"/>
      <w:bookmarkStart w:id="63" w:name="_Toc152160637"/>
      <w:r>
        <w:rPr>
          <w:rFonts w:hint="default"/>
          <w:color w:val="auto"/>
          <w:spacing w:val="0"/>
          <w:w w:val="83"/>
          <w:highlight w:val="none"/>
          <w:fitText w:val="8400" w:id="4"/>
        </w:rPr>
        <w:t>（</w:t>
      </w:r>
      <w:r>
        <w:rPr>
          <w:rFonts w:hint="eastAsia"/>
          <w:color w:val="auto"/>
          <w:spacing w:val="0"/>
          <w:w w:val="83"/>
          <w:highlight w:val="none"/>
          <w:fitText w:val="8400" w:id="4"/>
        </w:rPr>
        <w:t>３</w:t>
      </w:r>
      <w:r>
        <w:rPr>
          <w:rFonts w:hint="default"/>
          <w:color w:val="auto"/>
          <w:spacing w:val="0"/>
          <w:w w:val="83"/>
          <w:highlight w:val="none"/>
          <w:fitText w:val="8400" w:id="4"/>
        </w:rPr>
        <w:t>）</w:t>
      </w:r>
      <w:r>
        <w:rPr>
          <w:rFonts w:hint="eastAsia"/>
          <w:color w:val="auto"/>
          <w:spacing w:val="0"/>
          <w:w w:val="83"/>
          <w:highlight w:val="none"/>
          <w:fitText w:val="8400" w:id="4"/>
        </w:rPr>
        <w:t>地域包括ケアシステムを支える介護人材確保及び介護現場の生産性の向</w:t>
      </w:r>
      <w:r>
        <w:rPr>
          <w:rFonts w:hint="eastAsia"/>
          <w:color w:val="auto"/>
          <w:spacing w:val="13"/>
          <w:w w:val="83"/>
          <w:highlight w:val="none"/>
          <w:fitText w:val="8400" w:id="4"/>
        </w:rPr>
        <w:t>上</w:t>
      </w:r>
      <w:bookmarkEnd w:id="62"/>
      <w:bookmarkEnd w:id="63"/>
    </w:p>
    <w:p>
      <w:pPr>
        <w:pStyle w:val="46"/>
        <w:rPr>
          <w:rFonts w:hint="default"/>
          <w:color w:val="auto"/>
          <w:highlight w:val="none"/>
        </w:rPr>
      </w:pPr>
      <w:r>
        <w:rPr>
          <w:rFonts w:hint="eastAsia"/>
          <w:color w:val="auto"/>
          <w:highlight w:val="none"/>
        </w:rPr>
        <w:t>介護人材を確保するため、処遇の改善、人材育成への支援、職場環境の改善による離職防止、外国人人材の受入環境整備などの取組を総合的に実施</w:t>
      </w:r>
    </w:p>
    <w:p>
      <w:pPr>
        <w:pStyle w:val="20"/>
        <w:rPr>
          <w:rFonts w:hint="default"/>
          <w:color w:val="auto"/>
          <w:highlight w:val="none"/>
        </w:rPr>
      </w:pPr>
      <w:bookmarkStart w:id="64" w:name="_Toc152160638"/>
      <w:r>
        <w:rPr>
          <w:rFonts w:hint="eastAsia"/>
          <w:color w:val="auto"/>
          <w:highlight w:val="none"/>
        </w:rPr>
        <w:t>第３章　第８期計画の振り返り</w:t>
      </w:r>
      <w:bookmarkEnd w:id="64"/>
    </w:p>
    <w:p>
      <w:pPr>
        <w:pStyle w:val="22"/>
        <w:spacing w:after="76" w:afterLines="0" w:afterAutospacing="0"/>
        <w:rPr>
          <w:rFonts w:hint="default"/>
          <w:color w:val="auto"/>
          <w:highlight w:val="none"/>
        </w:rPr>
      </w:pPr>
      <w:bookmarkStart w:id="65" w:name="_Toc152160639"/>
      <w:r>
        <w:rPr>
          <w:rFonts w:hint="eastAsia"/>
          <w:color w:val="auto"/>
          <w:highlight w:val="none"/>
        </w:rPr>
        <w:t>１　介護保険事業の計画値と実績</w:t>
      </w:r>
      <w:bookmarkEnd w:id="65"/>
    </w:p>
    <w:p>
      <w:pPr>
        <w:pStyle w:val="26"/>
        <w:spacing w:after="76" w:afterLines="0" w:afterAutospacing="0"/>
        <w:rPr>
          <w:rFonts w:hint="default"/>
          <w:color w:val="auto"/>
          <w:highlight w:val="none"/>
        </w:rPr>
      </w:pPr>
      <w:bookmarkStart w:id="66" w:name="_Toc152155837"/>
      <w:bookmarkStart w:id="67" w:name="_Toc152160640"/>
      <w:r>
        <w:rPr>
          <w:rFonts w:hint="default"/>
          <w:color w:val="auto"/>
          <w:highlight w:val="none"/>
        </w:rPr>
        <w:t>（</w:t>
      </w:r>
      <w:r>
        <w:rPr>
          <w:rFonts w:hint="eastAsia"/>
          <w:color w:val="auto"/>
          <w:highlight w:val="none"/>
        </w:rPr>
        <w:t>１</w:t>
      </w:r>
      <w:r>
        <w:rPr>
          <w:rFonts w:hint="default"/>
          <w:color w:val="auto"/>
          <w:highlight w:val="none"/>
        </w:rPr>
        <w:t>）</w:t>
      </w:r>
      <w:r>
        <w:rPr>
          <w:rFonts w:hint="eastAsia"/>
          <w:color w:val="auto"/>
          <w:highlight w:val="none"/>
        </w:rPr>
        <w:t>人口</w:t>
      </w:r>
      <w:bookmarkEnd w:id="66"/>
      <w:bookmarkEnd w:id="67"/>
    </w:p>
    <w:p>
      <w:pPr>
        <w:pStyle w:val="0"/>
        <w:autoSpaceDE w:val="0"/>
        <w:autoSpaceDN w:val="0"/>
        <w:spacing w:before="185" w:beforeLines="50" w:beforeAutospacing="0" w:line="380" w:lineRule="exact"/>
        <w:ind w:left="284" w:leftChars="129"/>
        <w:jc w:val="center"/>
        <w:rPr>
          <w:rFonts w:hint="default" w:ascii="BIZ UDPゴシック" w:hAnsi="BIZ UDPゴシック" w:eastAsia="BIZ UDPゴシック"/>
          <w:color w:val="auto"/>
          <w:sz w:val="20"/>
          <w:highlight w:val="none"/>
        </w:rPr>
      </w:pPr>
      <w:r>
        <w:rPr>
          <w:rFonts w:hint="eastAsia" w:ascii="BIZ UDPゴシック" w:hAnsi="BIZ UDPゴシック" w:eastAsia="BIZ UDPゴシック"/>
          <w:color w:val="auto"/>
          <w:sz w:val="20"/>
          <w:highlight w:val="none"/>
        </w:rPr>
        <w:t>図表　総人口、高齢者人口の計画値と実績</w:t>
      </w:r>
    </w:p>
    <w:p>
      <w:pPr>
        <w:pStyle w:val="0"/>
        <w:autoSpaceDE w:val="0"/>
        <w:autoSpaceDN w:val="0"/>
        <w:spacing w:line="240" w:lineRule="exact"/>
        <w:ind w:left="284" w:leftChars="129" w:right="-220" w:rightChars="-10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18"/>
          <w:highlight w:val="none"/>
        </w:rPr>
        <w:t>（単位：人）</w:t>
      </w:r>
    </w:p>
    <w:tbl>
      <w:tblPr>
        <w:tblStyle w:val="90"/>
        <w:tblW w:w="9072" w:type="dxa"/>
        <w:tblInd w:w="284" w:type="dxa"/>
        <w:tblLayout w:type="fixed"/>
        <w:tblCellMar>
          <w:left w:w="96" w:type="dxa"/>
          <w:right w:w="96" w:type="dxa"/>
        </w:tblCellMar>
        <w:tblLook w:firstRow="1" w:lastRow="0" w:firstColumn="1" w:lastColumn="0" w:noHBand="0" w:noVBand="1" w:val="04A0"/>
      </w:tblPr>
      <w:tblGrid>
        <w:gridCol w:w="215"/>
        <w:gridCol w:w="1414"/>
        <w:gridCol w:w="827"/>
        <w:gridCol w:w="827"/>
        <w:gridCol w:w="827"/>
        <w:gridCol w:w="827"/>
        <w:gridCol w:w="827"/>
        <w:gridCol w:w="827"/>
        <w:gridCol w:w="827"/>
        <w:gridCol w:w="827"/>
        <w:gridCol w:w="827"/>
      </w:tblGrid>
      <w:tr>
        <w:trPr>
          <w:trHeight w:val="283" w:hRule="atLeast"/>
        </w:trPr>
        <w:tc>
          <w:tcPr>
            <w:tcW w:w="1629" w:type="dxa"/>
            <w:gridSpan w:val="2"/>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CCECFF"/>
            <w:vAlign w:val="center"/>
          </w:tcPr>
          <w:p>
            <w:pPr>
              <w:pStyle w:val="0"/>
              <w:autoSpaceDE w:val="0"/>
              <w:autoSpaceDN w:val="0"/>
              <w:spacing w:line="200" w:lineRule="exact"/>
              <w:rPr>
                <w:rFonts w:hint="default" w:ascii="ＭＳ Ｐゴシック" w:hAnsi="ＭＳ Ｐゴシック" w:eastAsia="ＭＳ Ｐゴシック"/>
                <w:color w:val="auto"/>
                <w:sz w:val="21"/>
                <w:highlight w:val="none"/>
              </w:rPr>
            </w:pPr>
          </w:p>
        </w:tc>
        <w:tc>
          <w:tcPr>
            <w:tcW w:w="2481" w:type="dxa"/>
            <w:gridSpan w:val="3"/>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CCECFF"/>
            <w:vAlign w:val="center"/>
          </w:tcPr>
          <w:p>
            <w:pPr>
              <w:pStyle w:val="0"/>
              <w:autoSpaceDE w:val="0"/>
              <w:autoSpaceDN w:val="0"/>
              <w:spacing w:line="26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kern w:val="0"/>
                <w:sz w:val="20"/>
                <w:highlight w:val="none"/>
              </w:rPr>
              <w:t>令和３（</w:t>
            </w:r>
            <w:r>
              <w:rPr>
                <w:rFonts w:hint="eastAsia" w:ascii="ＭＳ Ｐゴシック" w:hAnsi="ＭＳ Ｐゴシック" w:eastAsia="ＭＳ Ｐゴシック"/>
                <w:color w:val="auto"/>
                <w:kern w:val="0"/>
                <w:sz w:val="20"/>
                <w:highlight w:val="none"/>
              </w:rPr>
              <w:t>2021</w:t>
            </w:r>
            <w:r>
              <w:rPr>
                <w:rFonts w:hint="eastAsia" w:ascii="ＭＳ Ｐゴシック" w:hAnsi="ＭＳ Ｐゴシック" w:eastAsia="ＭＳ Ｐゴシック"/>
                <w:color w:val="auto"/>
                <w:kern w:val="0"/>
                <w:sz w:val="20"/>
                <w:highlight w:val="none"/>
              </w:rPr>
              <w:t>）年度</w:t>
            </w:r>
          </w:p>
        </w:tc>
        <w:tc>
          <w:tcPr>
            <w:tcW w:w="2481" w:type="dxa"/>
            <w:gridSpan w:val="3"/>
            <w:shd w:val="clear" w:color="auto" w:fill="CCECFF"/>
            <w:vAlign w:val="center"/>
          </w:tcPr>
          <w:p>
            <w:pPr>
              <w:pStyle w:val="0"/>
              <w:autoSpaceDE w:val="0"/>
              <w:autoSpaceDN w:val="0"/>
              <w:spacing w:line="26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kern w:val="0"/>
                <w:sz w:val="20"/>
                <w:highlight w:val="none"/>
              </w:rPr>
              <w:t>令和４（</w:t>
            </w:r>
            <w:r>
              <w:rPr>
                <w:rFonts w:hint="eastAsia" w:ascii="ＭＳ Ｐゴシック" w:hAnsi="ＭＳ Ｐゴシック" w:eastAsia="ＭＳ Ｐゴシック"/>
                <w:color w:val="auto"/>
                <w:kern w:val="0"/>
                <w:sz w:val="20"/>
                <w:highlight w:val="none"/>
              </w:rPr>
              <w:t>2022</w:t>
            </w:r>
            <w:r>
              <w:rPr>
                <w:rFonts w:hint="eastAsia" w:ascii="ＭＳ Ｐゴシック" w:hAnsi="ＭＳ Ｐゴシック" w:eastAsia="ＭＳ Ｐゴシック"/>
                <w:color w:val="auto"/>
                <w:kern w:val="0"/>
                <w:sz w:val="20"/>
                <w:highlight w:val="none"/>
              </w:rPr>
              <w:t>）年度</w:t>
            </w:r>
          </w:p>
        </w:tc>
        <w:tc>
          <w:tcPr>
            <w:tcW w:w="2481" w:type="dxa"/>
            <w:gridSpan w:val="3"/>
            <w:shd w:val="clear" w:color="auto" w:fill="CCECFF"/>
            <w:vAlign w:val="center"/>
          </w:tcPr>
          <w:p>
            <w:pPr>
              <w:pStyle w:val="0"/>
              <w:autoSpaceDE w:val="0"/>
              <w:autoSpaceDN w:val="0"/>
              <w:spacing w:line="26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kern w:val="0"/>
                <w:sz w:val="20"/>
                <w:highlight w:val="none"/>
              </w:rPr>
              <w:t>令和５（</w:t>
            </w:r>
            <w:r>
              <w:rPr>
                <w:rFonts w:hint="eastAsia" w:ascii="ＭＳ Ｐゴシック" w:hAnsi="ＭＳ Ｐゴシック" w:eastAsia="ＭＳ Ｐゴシック"/>
                <w:color w:val="auto"/>
                <w:kern w:val="0"/>
                <w:sz w:val="20"/>
                <w:highlight w:val="none"/>
              </w:rPr>
              <w:t>2023</w:t>
            </w:r>
            <w:r>
              <w:rPr>
                <w:rFonts w:hint="eastAsia" w:ascii="ＭＳ Ｐゴシック" w:hAnsi="ＭＳ Ｐゴシック" w:eastAsia="ＭＳ Ｐゴシック"/>
                <w:color w:val="auto"/>
                <w:kern w:val="0"/>
                <w:sz w:val="20"/>
                <w:highlight w:val="none"/>
              </w:rPr>
              <w:t>）年度</w:t>
            </w:r>
          </w:p>
        </w:tc>
      </w:tr>
      <w:tr>
        <w:trPr>
          <w:trHeight w:val="515" w:hRule="atLeast"/>
        </w:trPr>
        <w:tc>
          <w:tcPr>
            <w:tcW w:w="1629" w:type="dxa"/>
            <w:gridSpan w:val="2"/>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CCECFF"/>
            <w:vAlign w:val="center"/>
          </w:tcPr>
          <w:p>
            <w:pPr>
              <w:pStyle w:val="0"/>
              <w:autoSpaceDE w:val="0"/>
              <w:autoSpaceDN w:val="0"/>
              <w:spacing w:line="200" w:lineRule="exact"/>
              <w:rPr>
                <w:rFonts w:hint="default" w:ascii="ＭＳ Ｐゴシック" w:hAnsi="ＭＳ Ｐゴシック" w:eastAsia="ＭＳ Ｐゴシック"/>
                <w:color w:val="000000" w:themeColor="text1"/>
                <w:sz w:val="21"/>
              </w:rPr>
            </w:pPr>
          </w:p>
        </w:tc>
        <w:tc>
          <w:tcPr>
            <w:tcW w:w="827"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18"/>
                <w:highlight w:val="none"/>
              </w:rPr>
            </w:pPr>
            <w:r>
              <w:rPr>
                <w:rFonts w:hint="eastAsia" w:ascii="ＭＳ Ｐゴシック" w:hAnsi="ＭＳ Ｐゴシック" w:eastAsia="ＭＳ Ｐゴシック"/>
                <w:color w:val="auto"/>
                <w:kern w:val="0"/>
                <w:sz w:val="18"/>
                <w:highlight w:val="none"/>
              </w:rPr>
              <w:t>第</w:t>
            </w:r>
            <w:r>
              <w:rPr>
                <w:rFonts w:hint="eastAsia" w:ascii="ＭＳ Ｐゴシック" w:hAnsi="ＭＳ Ｐゴシック" w:eastAsia="ＭＳ Ｐゴシック"/>
                <w:color w:val="auto"/>
                <w:kern w:val="0"/>
                <w:sz w:val="18"/>
                <w:highlight w:val="none"/>
              </w:rPr>
              <w:t>8</w:t>
            </w:r>
            <w:r>
              <w:rPr>
                <w:rFonts w:hint="eastAsia" w:ascii="ＭＳ Ｐゴシック" w:hAnsi="ＭＳ Ｐゴシック" w:eastAsia="ＭＳ Ｐゴシック"/>
                <w:color w:val="auto"/>
                <w:kern w:val="0"/>
                <w:sz w:val="18"/>
                <w:highlight w:val="none"/>
              </w:rPr>
              <w:t>期</w:t>
            </w:r>
          </w:p>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18"/>
                <w:highlight w:val="none"/>
              </w:rPr>
            </w:pPr>
            <w:r>
              <w:rPr>
                <w:rFonts w:hint="eastAsia" w:ascii="ＭＳ Ｐゴシック" w:hAnsi="ＭＳ Ｐゴシック" w:eastAsia="ＭＳ Ｐゴシック"/>
                <w:color w:val="auto"/>
                <w:kern w:val="0"/>
                <w:sz w:val="18"/>
                <w:highlight w:val="none"/>
              </w:rPr>
              <w:t>計画値</w:t>
            </w:r>
          </w:p>
        </w:tc>
        <w:tc>
          <w:tcPr>
            <w:tcW w:w="827" w:type="dxa"/>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18"/>
                <w:highlight w:val="none"/>
              </w:rPr>
            </w:pPr>
            <w:r>
              <w:rPr>
                <w:rFonts w:hint="eastAsia" w:ascii="ＭＳ Ｐゴシック" w:hAnsi="ＭＳ Ｐゴシック" w:eastAsia="ＭＳ Ｐゴシック"/>
                <w:color w:val="auto"/>
                <w:kern w:val="0"/>
                <w:sz w:val="18"/>
                <w:highlight w:val="none"/>
              </w:rPr>
              <w:t>実績値</w:t>
            </w:r>
          </w:p>
        </w:tc>
        <w:tc>
          <w:tcPr>
            <w:tcW w:w="827" w:type="dxa"/>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spacing w:val="-12"/>
                <w:kern w:val="0"/>
                <w:sz w:val="18"/>
                <w:highlight w:val="none"/>
              </w:rPr>
            </w:pPr>
            <w:r>
              <w:rPr>
                <w:rFonts w:hint="eastAsia" w:ascii="ＭＳ Ｐゴシック" w:hAnsi="ＭＳ Ｐゴシック" w:eastAsia="ＭＳ Ｐゴシック"/>
                <w:color w:val="auto"/>
                <w:spacing w:val="-12"/>
                <w:kern w:val="0"/>
                <w:sz w:val="18"/>
                <w:highlight w:val="none"/>
              </w:rPr>
              <w:t>対計画値</w:t>
            </w:r>
          </w:p>
        </w:tc>
        <w:tc>
          <w:tcPr>
            <w:tcW w:w="827" w:type="dxa"/>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18"/>
                <w:highlight w:val="none"/>
              </w:rPr>
            </w:pPr>
            <w:r>
              <w:rPr>
                <w:rFonts w:hint="eastAsia" w:ascii="ＭＳ Ｐゴシック" w:hAnsi="ＭＳ Ｐゴシック" w:eastAsia="ＭＳ Ｐゴシック"/>
                <w:color w:val="auto"/>
                <w:kern w:val="0"/>
                <w:sz w:val="18"/>
                <w:highlight w:val="none"/>
              </w:rPr>
              <w:t>第</w:t>
            </w:r>
            <w:r>
              <w:rPr>
                <w:rFonts w:hint="eastAsia" w:ascii="ＭＳ Ｐゴシック" w:hAnsi="ＭＳ Ｐゴシック" w:eastAsia="ＭＳ Ｐゴシック"/>
                <w:color w:val="auto"/>
                <w:kern w:val="0"/>
                <w:sz w:val="18"/>
                <w:highlight w:val="none"/>
              </w:rPr>
              <w:t>8</w:t>
            </w:r>
            <w:r>
              <w:rPr>
                <w:rFonts w:hint="eastAsia" w:ascii="ＭＳ Ｐゴシック" w:hAnsi="ＭＳ Ｐゴシック" w:eastAsia="ＭＳ Ｐゴシック"/>
                <w:color w:val="auto"/>
                <w:kern w:val="0"/>
                <w:sz w:val="18"/>
                <w:highlight w:val="none"/>
              </w:rPr>
              <w:t>期</w:t>
            </w:r>
          </w:p>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18"/>
                <w:highlight w:val="none"/>
              </w:rPr>
            </w:pPr>
            <w:r>
              <w:rPr>
                <w:rFonts w:hint="eastAsia" w:ascii="ＭＳ Ｐゴシック" w:hAnsi="ＭＳ Ｐゴシック" w:eastAsia="ＭＳ Ｐゴシック"/>
                <w:color w:val="auto"/>
                <w:kern w:val="0"/>
                <w:sz w:val="18"/>
                <w:highlight w:val="none"/>
              </w:rPr>
              <w:t>計画値</w:t>
            </w:r>
          </w:p>
        </w:tc>
        <w:tc>
          <w:tcPr>
            <w:tcW w:w="827" w:type="dxa"/>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18"/>
                <w:highlight w:val="none"/>
              </w:rPr>
            </w:pPr>
            <w:r>
              <w:rPr>
                <w:rFonts w:hint="eastAsia" w:ascii="ＭＳ Ｐゴシック" w:hAnsi="ＭＳ Ｐゴシック" w:eastAsia="ＭＳ Ｐゴシック"/>
                <w:color w:val="auto"/>
                <w:kern w:val="0"/>
                <w:sz w:val="18"/>
                <w:highlight w:val="none"/>
              </w:rPr>
              <w:t>実績値</w:t>
            </w:r>
          </w:p>
        </w:tc>
        <w:tc>
          <w:tcPr>
            <w:tcW w:w="827" w:type="dxa"/>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spacing w:val="-12"/>
                <w:kern w:val="0"/>
                <w:sz w:val="18"/>
                <w:highlight w:val="none"/>
              </w:rPr>
            </w:pPr>
            <w:r>
              <w:rPr>
                <w:rFonts w:hint="eastAsia" w:ascii="ＭＳ Ｐゴシック" w:hAnsi="ＭＳ Ｐゴシック" w:eastAsia="ＭＳ Ｐゴシック"/>
                <w:color w:val="auto"/>
                <w:spacing w:val="-12"/>
                <w:kern w:val="0"/>
                <w:sz w:val="18"/>
                <w:highlight w:val="none"/>
              </w:rPr>
              <w:t>対計画値</w:t>
            </w:r>
          </w:p>
        </w:tc>
        <w:tc>
          <w:tcPr>
            <w:tcW w:w="827" w:type="dxa"/>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18"/>
                <w:highlight w:val="none"/>
              </w:rPr>
            </w:pPr>
            <w:r>
              <w:rPr>
                <w:rFonts w:hint="eastAsia" w:ascii="ＭＳ Ｐゴシック" w:hAnsi="ＭＳ Ｐゴシック" w:eastAsia="ＭＳ Ｐゴシック"/>
                <w:color w:val="auto"/>
                <w:kern w:val="0"/>
                <w:sz w:val="18"/>
                <w:highlight w:val="none"/>
              </w:rPr>
              <w:t>第</w:t>
            </w:r>
            <w:r>
              <w:rPr>
                <w:rFonts w:hint="eastAsia" w:ascii="ＭＳ Ｐゴシック" w:hAnsi="ＭＳ Ｐゴシック" w:eastAsia="ＭＳ Ｐゴシック"/>
                <w:color w:val="auto"/>
                <w:kern w:val="0"/>
                <w:sz w:val="18"/>
                <w:highlight w:val="none"/>
              </w:rPr>
              <w:t>8</w:t>
            </w:r>
            <w:r>
              <w:rPr>
                <w:rFonts w:hint="eastAsia" w:ascii="ＭＳ Ｐゴシック" w:hAnsi="ＭＳ Ｐゴシック" w:eastAsia="ＭＳ Ｐゴシック"/>
                <w:color w:val="auto"/>
                <w:kern w:val="0"/>
                <w:sz w:val="18"/>
                <w:highlight w:val="none"/>
              </w:rPr>
              <w:t>期</w:t>
            </w:r>
          </w:p>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18"/>
                <w:highlight w:val="none"/>
              </w:rPr>
            </w:pPr>
            <w:r>
              <w:rPr>
                <w:rFonts w:hint="eastAsia" w:ascii="ＭＳ Ｐゴシック" w:hAnsi="ＭＳ Ｐゴシック" w:eastAsia="ＭＳ Ｐゴシック"/>
                <w:color w:val="auto"/>
                <w:kern w:val="0"/>
                <w:sz w:val="18"/>
                <w:highlight w:val="none"/>
              </w:rPr>
              <w:t>計画値</w:t>
            </w:r>
          </w:p>
        </w:tc>
        <w:tc>
          <w:tcPr>
            <w:tcW w:w="827" w:type="dxa"/>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18"/>
                <w:highlight w:val="none"/>
              </w:rPr>
            </w:pPr>
            <w:r>
              <w:rPr>
                <w:rFonts w:hint="eastAsia" w:ascii="ＭＳ Ｐゴシック" w:hAnsi="ＭＳ Ｐゴシック" w:eastAsia="ＭＳ Ｐゴシック"/>
                <w:color w:val="auto"/>
                <w:kern w:val="0"/>
                <w:sz w:val="18"/>
                <w:highlight w:val="none"/>
              </w:rPr>
              <w:t>実績値</w:t>
            </w:r>
          </w:p>
        </w:tc>
        <w:tc>
          <w:tcPr>
            <w:tcW w:w="827" w:type="dxa"/>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spacing w:val="-12"/>
                <w:kern w:val="0"/>
                <w:sz w:val="18"/>
                <w:highlight w:val="none"/>
              </w:rPr>
            </w:pPr>
            <w:r>
              <w:rPr>
                <w:rFonts w:hint="eastAsia" w:ascii="ＭＳ Ｐゴシック" w:hAnsi="ＭＳ Ｐゴシック" w:eastAsia="ＭＳ Ｐゴシック"/>
                <w:color w:val="auto"/>
                <w:spacing w:val="-12"/>
                <w:kern w:val="0"/>
                <w:sz w:val="18"/>
                <w:highlight w:val="none"/>
              </w:rPr>
              <w:t>対計画値</w:t>
            </w:r>
          </w:p>
        </w:tc>
      </w:tr>
      <w:tr>
        <w:trPr>
          <w:trHeight w:val="312" w:hRule="atLeast"/>
        </w:trPr>
        <w:tc>
          <w:tcPr>
            <w:tcW w:w="1629" w:type="dxa"/>
            <w:gridSpan w:val="2"/>
            <w:tcBorders>
              <w:top w:val="single" w:color="auto" w:sz="4" w:space="0"/>
              <w:left w:val="single" w:color="auto" w:sz="4" w:space="0"/>
              <w:bottom w:val="nil"/>
              <w:right w:val="single" w:color="auto" w:sz="4" w:space="0"/>
              <w:tl2br w:val="none" w:color="auto" w:sz="0" w:space="0"/>
              <w:tr2bl w:val="none" w:color="auto" w:sz="0" w:space="0"/>
            </w:tcBorders>
            <w:vAlign w:val="center"/>
          </w:tcPr>
          <w:p>
            <w:pPr>
              <w:pStyle w:val="0"/>
              <w:autoSpaceDE w:val="0"/>
              <w:autoSpaceDN w:val="0"/>
              <w:spacing w:line="200" w:lineRule="exac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総人口</w:t>
            </w:r>
          </w:p>
        </w:tc>
        <w:tc>
          <w:tcPr>
            <w:tcW w:w="827"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116,912</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116,788</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9</w:t>
            </w:r>
            <w:r>
              <w:rPr>
                <w:rFonts w:hint="default" w:ascii="ＭＳ Ｐゴシック" w:hAnsi="ＭＳ Ｐゴシック" w:eastAsia="ＭＳ Ｐゴシック"/>
                <w:color w:val="auto"/>
                <w:sz w:val="18"/>
                <w:highlight w:val="none"/>
              </w:rPr>
              <w:t>9.9%</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116,710</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116,360</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9</w:t>
            </w:r>
            <w:r>
              <w:rPr>
                <w:rFonts w:hint="default" w:ascii="ＭＳ Ｐゴシック" w:hAnsi="ＭＳ Ｐゴシック" w:eastAsia="ＭＳ Ｐゴシック"/>
                <w:color w:val="auto"/>
                <w:sz w:val="18"/>
                <w:highlight w:val="none"/>
              </w:rPr>
              <w:t>9.7%</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116,466</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116,062</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9</w:t>
            </w:r>
            <w:r>
              <w:rPr>
                <w:rFonts w:hint="default" w:ascii="ＭＳ Ｐゴシック" w:hAnsi="ＭＳ Ｐゴシック" w:eastAsia="ＭＳ Ｐゴシック"/>
                <w:color w:val="auto"/>
                <w:sz w:val="18"/>
                <w:highlight w:val="none"/>
              </w:rPr>
              <w:t>9.7%</w:t>
            </w:r>
          </w:p>
        </w:tc>
      </w:tr>
      <w:tr>
        <w:trPr>
          <w:trHeight w:val="312" w:hRule="atLeast"/>
        </w:trPr>
        <w:tc>
          <w:tcPr>
            <w:tcW w:w="215" w:type="dxa"/>
            <w:tcBorders>
              <w:top w:val="nil"/>
              <w:left w:val="none" w:color="auto" w:sz="0" w:space="0"/>
              <w:bottom w:val="nil"/>
              <w:right w:val="none" w:color="auto" w:sz="0" w:space="0"/>
              <w:tl2br w:val="none" w:color="auto" w:sz="0" w:space="0"/>
              <w:tr2bl w:val="none" w:color="auto" w:sz="0" w:space="0"/>
            </w:tcBorders>
            <w:vAlign w:val="center"/>
          </w:tcPr>
          <w:p>
            <w:pPr>
              <w:pStyle w:val="0"/>
              <w:autoSpaceDE w:val="0"/>
              <w:autoSpaceDN w:val="0"/>
              <w:spacing w:line="200" w:lineRule="exact"/>
              <w:rPr>
                <w:rFonts w:hint="default" w:ascii="ＭＳ Ｐゴシック" w:hAnsi="ＭＳ Ｐゴシック" w:eastAsia="ＭＳ Ｐゴシック"/>
                <w:color w:val="auto"/>
                <w:sz w:val="21"/>
                <w:highlight w:val="none"/>
              </w:rPr>
            </w:pPr>
          </w:p>
        </w:tc>
        <w:tc>
          <w:tcPr>
            <w:tcW w:w="1414"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autoSpaceDE w:val="0"/>
              <w:autoSpaceDN w:val="0"/>
              <w:spacing w:line="200" w:lineRule="exac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65</w:t>
            </w:r>
            <w:r>
              <w:rPr>
                <w:rFonts w:hint="eastAsia" w:ascii="ＭＳ Ｐゴシック" w:hAnsi="ＭＳ Ｐゴシック" w:eastAsia="ＭＳ Ｐゴシック"/>
                <w:color w:val="auto"/>
                <w:sz w:val="20"/>
                <w:highlight w:val="none"/>
              </w:rPr>
              <w:t>歳以上人口</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35,777</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35,863</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100.2%</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36,098</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36,208</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100.1%</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36,416</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36,453</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100.1%</w:t>
            </w:r>
          </w:p>
        </w:tc>
      </w:tr>
      <w:tr>
        <w:trPr>
          <w:trHeight w:val="312" w:hRule="atLeast"/>
        </w:trPr>
        <w:tc>
          <w:tcPr>
            <w:tcW w:w="215"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autoSpaceDE w:val="0"/>
              <w:autoSpaceDN w:val="0"/>
              <w:spacing w:line="200" w:lineRule="exact"/>
              <w:rPr>
                <w:rFonts w:hint="default" w:ascii="ＭＳ Ｐゴシック" w:hAnsi="ＭＳ Ｐゴシック" w:eastAsia="ＭＳ Ｐゴシック"/>
                <w:color w:val="auto"/>
                <w:sz w:val="21"/>
                <w:highlight w:val="none"/>
              </w:rPr>
            </w:pPr>
          </w:p>
        </w:tc>
        <w:tc>
          <w:tcPr>
            <w:tcW w:w="1414"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autoSpaceDE w:val="0"/>
              <w:autoSpaceDN w:val="0"/>
              <w:spacing w:line="200" w:lineRule="exac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75</w:t>
            </w:r>
            <w:r>
              <w:rPr>
                <w:rFonts w:hint="eastAsia" w:ascii="ＭＳ Ｐゴシック" w:hAnsi="ＭＳ Ｐゴシック" w:eastAsia="ＭＳ Ｐゴシック"/>
                <w:color w:val="auto"/>
                <w:sz w:val="20"/>
                <w:highlight w:val="none"/>
              </w:rPr>
              <w:t>歳以上人口</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17,461</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17,536</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100.4%</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18,451</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18,509</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100.3%</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19,415</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19,361</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9</w:t>
            </w:r>
            <w:r>
              <w:rPr>
                <w:rFonts w:hint="default" w:ascii="ＭＳ Ｐゴシック" w:hAnsi="ＭＳ Ｐゴシック" w:eastAsia="ＭＳ Ｐゴシック"/>
                <w:color w:val="auto"/>
                <w:sz w:val="18"/>
                <w:highlight w:val="none"/>
              </w:rPr>
              <w:t>9.7%</w:t>
            </w:r>
          </w:p>
        </w:tc>
      </w:tr>
    </w:tbl>
    <w:p>
      <w:pPr>
        <w:pStyle w:val="0"/>
        <w:autoSpaceDE w:val="0"/>
        <w:autoSpaceDN w:val="0"/>
        <w:snapToGrid w:val="0"/>
        <w:spacing w:before="74" w:beforeLines="20" w:beforeAutospacing="0" w:line="240" w:lineRule="exact"/>
        <w:ind w:right="-220" w:rightChars="-100"/>
        <w:jc w:val="right"/>
        <w:rPr>
          <w:rFonts w:hint="default"/>
          <w:color w:val="auto"/>
          <w:sz w:val="18"/>
          <w:highlight w:val="none"/>
        </w:rPr>
      </w:pPr>
      <w:r>
        <w:rPr>
          <w:rFonts w:hint="eastAsia"/>
          <w:color w:val="auto"/>
          <w:sz w:val="18"/>
          <w:highlight w:val="none"/>
        </w:rPr>
        <w:t>資料：住民基本台帳人口（各年度</w:t>
      </w:r>
      <w:r>
        <w:rPr>
          <w:rFonts w:hint="eastAsia"/>
          <w:color w:val="auto"/>
          <w:sz w:val="18"/>
          <w:highlight w:val="none"/>
        </w:rPr>
        <w:t>10</w:t>
      </w:r>
      <w:r>
        <w:rPr>
          <w:rFonts w:hint="eastAsia"/>
          <w:color w:val="auto"/>
          <w:sz w:val="18"/>
          <w:highlight w:val="none"/>
        </w:rPr>
        <w:t>月</w:t>
      </w:r>
      <w:r>
        <w:rPr>
          <w:rFonts w:hint="eastAsia"/>
          <w:color w:val="auto"/>
          <w:sz w:val="18"/>
          <w:highlight w:val="none"/>
        </w:rPr>
        <w:t>1</w:t>
      </w:r>
      <w:r>
        <w:rPr>
          <w:rFonts w:hint="eastAsia"/>
          <w:color w:val="auto"/>
          <w:sz w:val="18"/>
          <w:highlight w:val="none"/>
        </w:rPr>
        <w:t>日現在）</w:t>
      </w:r>
    </w:p>
    <w:p>
      <w:pPr>
        <w:pStyle w:val="41"/>
        <w:rPr>
          <w:rFonts w:hint="default"/>
          <w:color w:val="auto"/>
          <w:highlight w:val="none"/>
        </w:rPr>
      </w:pPr>
    </w:p>
    <w:p>
      <w:pPr>
        <w:pStyle w:val="26"/>
        <w:spacing w:after="76" w:afterLines="0" w:afterAutospacing="0"/>
        <w:rPr>
          <w:rFonts w:hint="default"/>
          <w:color w:val="auto"/>
          <w:highlight w:val="none"/>
        </w:rPr>
      </w:pPr>
      <w:bookmarkStart w:id="68" w:name="_Toc152155838"/>
      <w:bookmarkStart w:id="69" w:name="_Toc152160641"/>
      <w:r>
        <w:rPr>
          <w:rFonts w:hint="default"/>
          <w:color w:val="auto"/>
          <w:highlight w:val="none"/>
        </w:rPr>
        <w:t>（</w:t>
      </w:r>
      <w:r>
        <w:rPr>
          <w:rFonts w:hint="eastAsia"/>
          <w:color w:val="auto"/>
          <w:highlight w:val="none"/>
        </w:rPr>
        <w:t>２</w:t>
      </w:r>
      <w:r>
        <w:rPr>
          <w:rFonts w:hint="default"/>
          <w:color w:val="auto"/>
          <w:highlight w:val="none"/>
        </w:rPr>
        <w:t>）</w:t>
      </w:r>
      <w:r>
        <w:rPr>
          <w:rFonts w:hint="eastAsia"/>
          <w:color w:val="auto"/>
          <w:highlight w:val="none"/>
        </w:rPr>
        <w:t>介護保険事業の状況</w:t>
      </w:r>
      <w:bookmarkEnd w:id="68"/>
      <w:bookmarkEnd w:id="69"/>
    </w:p>
    <w:p>
      <w:pPr>
        <w:pStyle w:val="30"/>
        <w:spacing w:after="76" w:afterLines="0" w:afterAutospacing="0"/>
        <w:rPr>
          <w:rFonts w:hint="default"/>
          <w:color w:val="auto"/>
          <w:highlight w:val="none"/>
        </w:rPr>
      </w:pPr>
      <w:r>
        <w:rPr>
          <w:rFonts w:hint="eastAsia"/>
          <w:color w:val="auto"/>
          <w:highlight w:val="none"/>
        </w:rPr>
        <w:t>ア　第１号被保険者数</w:t>
      </w:r>
    </w:p>
    <w:p>
      <w:pPr>
        <w:pStyle w:val="0"/>
        <w:autoSpaceDE w:val="0"/>
        <w:autoSpaceDN w:val="0"/>
        <w:spacing w:line="380" w:lineRule="exact"/>
        <w:ind w:left="284" w:leftChars="129"/>
        <w:jc w:val="center"/>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図表　第１号被保険者数の計画値と実績</w:t>
      </w:r>
    </w:p>
    <w:p>
      <w:pPr>
        <w:pStyle w:val="0"/>
        <w:autoSpaceDE w:val="0"/>
        <w:autoSpaceDN w:val="0"/>
        <w:spacing w:line="220" w:lineRule="exact"/>
        <w:ind w:left="284" w:leftChars="129" w:right="-220" w:rightChars="-10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18"/>
          <w:highlight w:val="none"/>
        </w:rPr>
        <w:t>（単位：人）</w:t>
      </w:r>
    </w:p>
    <w:tbl>
      <w:tblPr>
        <w:tblStyle w:val="90"/>
        <w:tblW w:w="9072" w:type="dxa"/>
        <w:tblInd w:w="284" w:type="dxa"/>
        <w:tblLayout w:type="fixed"/>
        <w:tblCellMar>
          <w:left w:w="96" w:type="dxa"/>
          <w:right w:w="96" w:type="dxa"/>
        </w:tblCellMar>
        <w:tblLook w:firstRow="1" w:lastRow="0" w:firstColumn="1" w:lastColumn="0" w:noHBand="0" w:noVBand="1" w:val="04A0"/>
      </w:tblPr>
      <w:tblGrid>
        <w:gridCol w:w="1629"/>
        <w:gridCol w:w="827"/>
        <w:gridCol w:w="827"/>
        <w:gridCol w:w="827"/>
        <w:gridCol w:w="827"/>
        <w:gridCol w:w="827"/>
        <w:gridCol w:w="827"/>
        <w:gridCol w:w="827"/>
        <w:gridCol w:w="827"/>
        <w:gridCol w:w="827"/>
      </w:tblGrid>
      <w:tr>
        <w:trPr>
          <w:trHeight w:val="283" w:hRule="atLeast"/>
        </w:trPr>
        <w:tc>
          <w:tcPr>
            <w:tcW w:w="1629"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CCECFF"/>
            <w:vAlign w:val="center"/>
          </w:tcPr>
          <w:p>
            <w:pPr>
              <w:pStyle w:val="0"/>
              <w:autoSpaceDE w:val="0"/>
              <w:autoSpaceDN w:val="0"/>
              <w:spacing w:line="200" w:lineRule="exact"/>
              <w:rPr>
                <w:rFonts w:hint="default" w:ascii="ＭＳ Ｐゴシック" w:hAnsi="ＭＳ Ｐゴシック" w:eastAsia="ＭＳ Ｐゴシック"/>
                <w:color w:val="auto"/>
                <w:sz w:val="21"/>
                <w:highlight w:val="none"/>
              </w:rPr>
            </w:pPr>
          </w:p>
        </w:tc>
        <w:tc>
          <w:tcPr>
            <w:tcW w:w="2481" w:type="dxa"/>
            <w:gridSpan w:val="3"/>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CCECFF"/>
            <w:vAlign w:val="center"/>
          </w:tcPr>
          <w:p>
            <w:pPr>
              <w:pStyle w:val="0"/>
              <w:autoSpaceDE w:val="0"/>
              <w:autoSpaceDN w:val="0"/>
              <w:spacing w:line="26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kern w:val="0"/>
                <w:sz w:val="20"/>
                <w:highlight w:val="none"/>
              </w:rPr>
              <w:t>令和３（</w:t>
            </w:r>
            <w:r>
              <w:rPr>
                <w:rFonts w:hint="eastAsia" w:ascii="ＭＳ Ｐゴシック" w:hAnsi="ＭＳ Ｐゴシック" w:eastAsia="ＭＳ Ｐゴシック"/>
                <w:color w:val="auto"/>
                <w:kern w:val="0"/>
                <w:sz w:val="20"/>
                <w:highlight w:val="none"/>
              </w:rPr>
              <w:t>2021</w:t>
            </w:r>
            <w:r>
              <w:rPr>
                <w:rFonts w:hint="eastAsia" w:ascii="ＭＳ Ｐゴシック" w:hAnsi="ＭＳ Ｐゴシック" w:eastAsia="ＭＳ Ｐゴシック"/>
                <w:color w:val="auto"/>
                <w:kern w:val="0"/>
                <w:sz w:val="20"/>
                <w:highlight w:val="none"/>
              </w:rPr>
              <w:t>）年度</w:t>
            </w:r>
          </w:p>
        </w:tc>
        <w:tc>
          <w:tcPr>
            <w:tcW w:w="2481" w:type="dxa"/>
            <w:gridSpan w:val="3"/>
            <w:shd w:val="clear" w:color="auto" w:fill="CCECFF"/>
            <w:vAlign w:val="center"/>
          </w:tcPr>
          <w:p>
            <w:pPr>
              <w:pStyle w:val="0"/>
              <w:autoSpaceDE w:val="0"/>
              <w:autoSpaceDN w:val="0"/>
              <w:spacing w:line="26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kern w:val="0"/>
                <w:sz w:val="20"/>
                <w:highlight w:val="none"/>
              </w:rPr>
              <w:t>令和４（</w:t>
            </w:r>
            <w:r>
              <w:rPr>
                <w:rFonts w:hint="eastAsia" w:ascii="ＭＳ Ｐゴシック" w:hAnsi="ＭＳ Ｐゴシック" w:eastAsia="ＭＳ Ｐゴシック"/>
                <w:color w:val="auto"/>
                <w:kern w:val="0"/>
                <w:sz w:val="20"/>
                <w:highlight w:val="none"/>
              </w:rPr>
              <w:t>2022</w:t>
            </w:r>
            <w:r>
              <w:rPr>
                <w:rFonts w:hint="eastAsia" w:ascii="ＭＳ Ｐゴシック" w:hAnsi="ＭＳ Ｐゴシック" w:eastAsia="ＭＳ Ｐゴシック"/>
                <w:color w:val="auto"/>
                <w:kern w:val="0"/>
                <w:sz w:val="20"/>
                <w:highlight w:val="none"/>
              </w:rPr>
              <w:t>）年度</w:t>
            </w:r>
          </w:p>
        </w:tc>
        <w:tc>
          <w:tcPr>
            <w:tcW w:w="2481" w:type="dxa"/>
            <w:gridSpan w:val="3"/>
            <w:shd w:val="clear" w:color="auto" w:fill="CCECFF"/>
            <w:vAlign w:val="center"/>
          </w:tcPr>
          <w:p>
            <w:pPr>
              <w:pStyle w:val="0"/>
              <w:autoSpaceDE w:val="0"/>
              <w:autoSpaceDN w:val="0"/>
              <w:spacing w:line="26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kern w:val="0"/>
                <w:sz w:val="20"/>
                <w:highlight w:val="none"/>
              </w:rPr>
              <w:t>令和５（</w:t>
            </w:r>
            <w:r>
              <w:rPr>
                <w:rFonts w:hint="eastAsia" w:ascii="ＭＳ Ｐゴシック" w:hAnsi="ＭＳ Ｐゴシック" w:eastAsia="ＭＳ Ｐゴシック"/>
                <w:color w:val="auto"/>
                <w:kern w:val="0"/>
                <w:sz w:val="20"/>
                <w:highlight w:val="none"/>
              </w:rPr>
              <w:t>2023</w:t>
            </w:r>
            <w:r>
              <w:rPr>
                <w:rFonts w:hint="eastAsia" w:ascii="ＭＳ Ｐゴシック" w:hAnsi="ＭＳ Ｐゴシック" w:eastAsia="ＭＳ Ｐゴシック"/>
                <w:color w:val="auto"/>
                <w:kern w:val="0"/>
                <w:sz w:val="20"/>
                <w:highlight w:val="none"/>
              </w:rPr>
              <w:t>）年度</w:t>
            </w:r>
          </w:p>
        </w:tc>
      </w:tr>
      <w:tr>
        <w:trPr>
          <w:trHeight w:val="515" w:hRule="atLeast"/>
        </w:trPr>
        <w:tc>
          <w:tcPr>
            <w:tcW w:w="1629"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CCECFF"/>
            <w:vAlign w:val="center"/>
          </w:tcPr>
          <w:p>
            <w:pPr>
              <w:pStyle w:val="0"/>
              <w:autoSpaceDE w:val="0"/>
              <w:autoSpaceDN w:val="0"/>
              <w:spacing w:line="200" w:lineRule="exact"/>
              <w:rPr>
                <w:rFonts w:hint="default" w:ascii="ＭＳ Ｐゴシック" w:hAnsi="ＭＳ Ｐゴシック" w:eastAsia="ＭＳ Ｐゴシック"/>
                <w:color w:val="000000" w:themeColor="text1"/>
                <w:sz w:val="21"/>
              </w:rPr>
            </w:pPr>
          </w:p>
        </w:tc>
        <w:tc>
          <w:tcPr>
            <w:tcW w:w="827"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18"/>
                <w:highlight w:val="none"/>
              </w:rPr>
            </w:pPr>
            <w:r>
              <w:rPr>
                <w:rFonts w:hint="eastAsia" w:ascii="ＭＳ Ｐゴシック" w:hAnsi="ＭＳ Ｐゴシック" w:eastAsia="ＭＳ Ｐゴシック"/>
                <w:color w:val="auto"/>
                <w:kern w:val="0"/>
                <w:sz w:val="18"/>
                <w:highlight w:val="none"/>
              </w:rPr>
              <w:t>第</w:t>
            </w:r>
            <w:r>
              <w:rPr>
                <w:rFonts w:hint="eastAsia" w:ascii="ＭＳ Ｐゴシック" w:hAnsi="ＭＳ Ｐゴシック" w:eastAsia="ＭＳ Ｐゴシック"/>
                <w:color w:val="auto"/>
                <w:kern w:val="0"/>
                <w:sz w:val="18"/>
                <w:highlight w:val="none"/>
              </w:rPr>
              <w:t>8</w:t>
            </w:r>
            <w:r>
              <w:rPr>
                <w:rFonts w:hint="eastAsia" w:ascii="ＭＳ Ｐゴシック" w:hAnsi="ＭＳ Ｐゴシック" w:eastAsia="ＭＳ Ｐゴシック"/>
                <w:color w:val="auto"/>
                <w:kern w:val="0"/>
                <w:sz w:val="18"/>
                <w:highlight w:val="none"/>
              </w:rPr>
              <w:t>期</w:t>
            </w:r>
          </w:p>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18"/>
                <w:highlight w:val="none"/>
              </w:rPr>
            </w:pPr>
            <w:r>
              <w:rPr>
                <w:rFonts w:hint="eastAsia" w:ascii="ＭＳ Ｐゴシック" w:hAnsi="ＭＳ Ｐゴシック" w:eastAsia="ＭＳ Ｐゴシック"/>
                <w:color w:val="auto"/>
                <w:kern w:val="0"/>
                <w:sz w:val="18"/>
                <w:highlight w:val="none"/>
              </w:rPr>
              <w:t>計画値</w:t>
            </w:r>
          </w:p>
        </w:tc>
        <w:tc>
          <w:tcPr>
            <w:tcW w:w="827" w:type="dxa"/>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18"/>
                <w:highlight w:val="none"/>
              </w:rPr>
            </w:pPr>
            <w:r>
              <w:rPr>
                <w:rFonts w:hint="eastAsia" w:ascii="ＭＳ Ｐゴシック" w:hAnsi="ＭＳ Ｐゴシック" w:eastAsia="ＭＳ Ｐゴシック"/>
                <w:color w:val="auto"/>
                <w:kern w:val="0"/>
                <w:sz w:val="18"/>
                <w:highlight w:val="none"/>
              </w:rPr>
              <w:t>実績値</w:t>
            </w:r>
          </w:p>
        </w:tc>
        <w:tc>
          <w:tcPr>
            <w:tcW w:w="827" w:type="dxa"/>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spacing w:val="-12"/>
                <w:kern w:val="0"/>
                <w:sz w:val="18"/>
                <w:highlight w:val="none"/>
              </w:rPr>
            </w:pPr>
            <w:r>
              <w:rPr>
                <w:rFonts w:hint="eastAsia" w:ascii="ＭＳ Ｐゴシック" w:hAnsi="ＭＳ Ｐゴシック" w:eastAsia="ＭＳ Ｐゴシック"/>
                <w:color w:val="auto"/>
                <w:spacing w:val="-12"/>
                <w:kern w:val="0"/>
                <w:sz w:val="18"/>
                <w:highlight w:val="none"/>
              </w:rPr>
              <w:t>対計画値</w:t>
            </w:r>
          </w:p>
        </w:tc>
        <w:tc>
          <w:tcPr>
            <w:tcW w:w="827" w:type="dxa"/>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18"/>
                <w:highlight w:val="none"/>
              </w:rPr>
            </w:pPr>
            <w:r>
              <w:rPr>
                <w:rFonts w:hint="eastAsia" w:ascii="ＭＳ Ｐゴシック" w:hAnsi="ＭＳ Ｐゴシック" w:eastAsia="ＭＳ Ｐゴシック"/>
                <w:color w:val="auto"/>
                <w:kern w:val="0"/>
                <w:sz w:val="18"/>
                <w:highlight w:val="none"/>
              </w:rPr>
              <w:t>第</w:t>
            </w:r>
            <w:r>
              <w:rPr>
                <w:rFonts w:hint="eastAsia" w:ascii="ＭＳ Ｐゴシック" w:hAnsi="ＭＳ Ｐゴシック" w:eastAsia="ＭＳ Ｐゴシック"/>
                <w:color w:val="auto"/>
                <w:kern w:val="0"/>
                <w:sz w:val="18"/>
                <w:highlight w:val="none"/>
              </w:rPr>
              <w:t>8</w:t>
            </w:r>
            <w:r>
              <w:rPr>
                <w:rFonts w:hint="eastAsia" w:ascii="ＭＳ Ｐゴシック" w:hAnsi="ＭＳ Ｐゴシック" w:eastAsia="ＭＳ Ｐゴシック"/>
                <w:color w:val="auto"/>
                <w:kern w:val="0"/>
                <w:sz w:val="18"/>
                <w:highlight w:val="none"/>
              </w:rPr>
              <w:t>期</w:t>
            </w:r>
          </w:p>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18"/>
                <w:highlight w:val="none"/>
              </w:rPr>
            </w:pPr>
            <w:r>
              <w:rPr>
                <w:rFonts w:hint="eastAsia" w:ascii="ＭＳ Ｐゴシック" w:hAnsi="ＭＳ Ｐゴシック" w:eastAsia="ＭＳ Ｐゴシック"/>
                <w:color w:val="auto"/>
                <w:kern w:val="0"/>
                <w:sz w:val="18"/>
                <w:highlight w:val="none"/>
              </w:rPr>
              <w:t>計画値</w:t>
            </w:r>
          </w:p>
        </w:tc>
        <w:tc>
          <w:tcPr>
            <w:tcW w:w="827" w:type="dxa"/>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18"/>
                <w:highlight w:val="none"/>
              </w:rPr>
            </w:pPr>
            <w:r>
              <w:rPr>
                <w:rFonts w:hint="eastAsia" w:ascii="ＭＳ Ｐゴシック" w:hAnsi="ＭＳ Ｐゴシック" w:eastAsia="ＭＳ Ｐゴシック"/>
                <w:color w:val="auto"/>
                <w:kern w:val="0"/>
                <w:sz w:val="18"/>
                <w:highlight w:val="none"/>
              </w:rPr>
              <w:t>実績値</w:t>
            </w:r>
          </w:p>
        </w:tc>
        <w:tc>
          <w:tcPr>
            <w:tcW w:w="827" w:type="dxa"/>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spacing w:val="-12"/>
                <w:kern w:val="0"/>
                <w:sz w:val="18"/>
                <w:highlight w:val="none"/>
              </w:rPr>
            </w:pPr>
            <w:r>
              <w:rPr>
                <w:rFonts w:hint="eastAsia" w:ascii="ＭＳ Ｐゴシック" w:hAnsi="ＭＳ Ｐゴシック" w:eastAsia="ＭＳ Ｐゴシック"/>
                <w:color w:val="auto"/>
                <w:spacing w:val="-12"/>
                <w:kern w:val="0"/>
                <w:sz w:val="18"/>
                <w:highlight w:val="none"/>
              </w:rPr>
              <w:t>対計画値</w:t>
            </w:r>
          </w:p>
        </w:tc>
        <w:tc>
          <w:tcPr>
            <w:tcW w:w="827" w:type="dxa"/>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18"/>
                <w:highlight w:val="none"/>
              </w:rPr>
            </w:pPr>
            <w:r>
              <w:rPr>
                <w:rFonts w:hint="eastAsia" w:ascii="ＭＳ Ｐゴシック" w:hAnsi="ＭＳ Ｐゴシック" w:eastAsia="ＭＳ Ｐゴシック"/>
                <w:color w:val="auto"/>
                <w:kern w:val="0"/>
                <w:sz w:val="18"/>
                <w:highlight w:val="none"/>
              </w:rPr>
              <w:t>第</w:t>
            </w:r>
            <w:r>
              <w:rPr>
                <w:rFonts w:hint="eastAsia" w:ascii="ＭＳ Ｐゴシック" w:hAnsi="ＭＳ Ｐゴシック" w:eastAsia="ＭＳ Ｐゴシック"/>
                <w:color w:val="auto"/>
                <w:kern w:val="0"/>
                <w:sz w:val="18"/>
                <w:highlight w:val="none"/>
              </w:rPr>
              <w:t>8</w:t>
            </w:r>
            <w:r>
              <w:rPr>
                <w:rFonts w:hint="eastAsia" w:ascii="ＭＳ Ｐゴシック" w:hAnsi="ＭＳ Ｐゴシック" w:eastAsia="ＭＳ Ｐゴシック"/>
                <w:color w:val="auto"/>
                <w:kern w:val="0"/>
                <w:sz w:val="18"/>
                <w:highlight w:val="none"/>
              </w:rPr>
              <w:t>期</w:t>
            </w:r>
          </w:p>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18"/>
                <w:highlight w:val="none"/>
              </w:rPr>
            </w:pPr>
            <w:r>
              <w:rPr>
                <w:rFonts w:hint="eastAsia" w:ascii="ＭＳ Ｐゴシック" w:hAnsi="ＭＳ Ｐゴシック" w:eastAsia="ＭＳ Ｐゴシック"/>
                <w:color w:val="auto"/>
                <w:kern w:val="0"/>
                <w:sz w:val="18"/>
                <w:highlight w:val="none"/>
              </w:rPr>
              <w:t>計画値</w:t>
            </w:r>
          </w:p>
        </w:tc>
        <w:tc>
          <w:tcPr>
            <w:tcW w:w="827" w:type="dxa"/>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18"/>
                <w:highlight w:val="none"/>
              </w:rPr>
            </w:pPr>
            <w:r>
              <w:rPr>
                <w:rFonts w:hint="eastAsia" w:ascii="ＭＳ Ｐゴシック" w:hAnsi="ＭＳ Ｐゴシック" w:eastAsia="ＭＳ Ｐゴシック"/>
                <w:color w:val="auto"/>
                <w:kern w:val="0"/>
                <w:sz w:val="18"/>
                <w:highlight w:val="none"/>
              </w:rPr>
              <w:t>実績値</w:t>
            </w:r>
          </w:p>
        </w:tc>
        <w:tc>
          <w:tcPr>
            <w:tcW w:w="827" w:type="dxa"/>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spacing w:val="-12"/>
                <w:kern w:val="0"/>
                <w:sz w:val="18"/>
                <w:highlight w:val="none"/>
              </w:rPr>
            </w:pPr>
            <w:r>
              <w:rPr>
                <w:rFonts w:hint="eastAsia" w:ascii="ＭＳ Ｐゴシック" w:hAnsi="ＭＳ Ｐゴシック" w:eastAsia="ＭＳ Ｐゴシック"/>
                <w:color w:val="auto"/>
                <w:spacing w:val="-12"/>
                <w:kern w:val="0"/>
                <w:sz w:val="18"/>
                <w:highlight w:val="none"/>
              </w:rPr>
              <w:t>対計画値</w:t>
            </w:r>
          </w:p>
        </w:tc>
      </w:tr>
      <w:tr>
        <w:trPr>
          <w:trHeight w:val="397" w:hRule="atLeast"/>
        </w:trPr>
        <w:tc>
          <w:tcPr>
            <w:tcW w:w="162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autoSpaceDE w:val="0"/>
              <w:autoSpaceDN w:val="0"/>
              <w:spacing w:line="200" w:lineRule="exact"/>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総　数</w:t>
            </w:r>
          </w:p>
        </w:tc>
        <w:tc>
          <w:tcPr>
            <w:tcW w:w="827"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35,777</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35,810</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100.1%</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36,098</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36,139</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100.1%</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36,</w:t>
            </w:r>
            <w:r>
              <w:rPr>
                <w:rFonts w:hint="eastAsia" w:ascii="ＭＳ Ｐゴシック" w:hAnsi="ＭＳ Ｐゴシック" w:eastAsia="ＭＳ Ｐゴシック"/>
                <w:color w:val="auto"/>
                <w:sz w:val="18"/>
                <w:highlight w:val="none"/>
              </w:rPr>
              <w:t>416</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p>
        </w:tc>
      </w:tr>
      <w:tr>
        <w:trPr>
          <w:trHeight w:val="454" w:hRule="atLeast"/>
        </w:trPr>
        <w:tc>
          <w:tcPr>
            <w:tcW w:w="162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spacing w:line="200" w:lineRule="exact"/>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前期高齢者</w:t>
            </w:r>
          </w:p>
          <w:p>
            <w:pPr>
              <w:pStyle w:val="0"/>
              <w:autoSpaceDE w:val="0"/>
              <w:autoSpaceDN w:val="0"/>
              <w:spacing w:line="200" w:lineRule="exact"/>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65</w:t>
            </w: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74</w:t>
            </w:r>
            <w:r>
              <w:rPr>
                <w:rFonts w:hint="eastAsia" w:ascii="ＭＳ Ｐゴシック" w:hAnsi="ＭＳ Ｐゴシック" w:eastAsia="ＭＳ Ｐゴシック"/>
                <w:color w:val="auto"/>
                <w:sz w:val="20"/>
                <w:highlight w:val="none"/>
              </w:rPr>
              <w:t>歳）</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18,316</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18,279</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99.8%</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17,647</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17</w:t>
            </w:r>
            <w:r>
              <w:rPr>
                <w:rFonts w:hint="eastAsia" w:ascii="ＭＳ Ｐゴシック" w:hAnsi="ＭＳ Ｐゴシック" w:eastAsia="ＭＳ Ｐゴシック"/>
                <w:color w:val="auto"/>
                <w:sz w:val="18"/>
                <w:highlight w:val="none"/>
              </w:rPr>
              <w:t>,</w:t>
            </w:r>
            <w:r>
              <w:rPr>
                <w:rFonts w:hint="default" w:ascii="ＭＳ Ｐゴシック" w:hAnsi="ＭＳ Ｐゴシック" w:eastAsia="ＭＳ Ｐゴシック"/>
                <w:color w:val="auto"/>
                <w:sz w:val="18"/>
                <w:highlight w:val="none"/>
              </w:rPr>
              <w:t>653</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100.</w:t>
            </w:r>
            <w:r>
              <w:rPr>
                <w:rFonts w:hint="eastAsia" w:ascii="ＭＳ Ｐゴシック" w:hAnsi="ＭＳ Ｐゴシック" w:eastAsia="ＭＳ Ｐゴシック"/>
                <w:color w:val="auto"/>
                <w:sz w:val="18"/>
                <w:highlight w:val="none"/>
              </w:rPr>
              <w:t>0</w:t>
            </w:r>
            <w:r>
              <w:rPr>
                <w:rFonts w:hint="default" w:ascii="ＭＳ Ｐゴシック" w:hAnsi="ＭＳ Ｐゴシック" w:eastAsia="ＭＳ Ｐゴシック"/>
                <w:color w:val="auto"/>
                <w:sz w:val="18"/>
                <w:highlight w:val="none"/>
              </w:rPr>
              <w:t>%</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17,</w:t>
            </w:r>
            <w:r>
              <w:rPr>
                <w:rFonts w:hint="eastAsia" w:ascii="ＭＳ Ｐゴシック" w:hAnsi="ＭＳ Ｐゴシック" w:eastAsia="ＭＳ Ｐゴシック"/>
                <w:color w:val="auto"/>
                <w:sz w:val="18"/>
                <w:highlight w:val="none"/>
              </w:rPr>
              <w:t>001</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p>
        </w:tc>
      </w:tr>
      <w:tr>
        <w:trPr>
          <w:trHeight w:val="454" w:hRule="atLeast"/>
        </w:trPr>
        <w:tc>
          <w:tcPr>
            <w:tcW w:w="162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0"/>
              <w:autoSpaceDN w:val="0"/>
              <w:spacing w:line="200" w:lineRule="exact"/>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後期高齢者</w:t>
            </w:r>
          </w:p>
          <w:p>
            <w:pPr>
              <w:pStyle w:val="0"/>
              <w:autoSpaceDE w:val="0"/>
              <w:autoSpaceDN w:val="0"/>
              <w:spacing w:line="200" w:lineRule="exact"/>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75</w:t>
            </w:r>
            <w:r>
              <w:rPr>
                <w:rFonts w:hint="eastAsia" w:ascii="ＭＳ Ｐゴシック" w:hAnsi="ＭＳ Ｐゴシック" w:eastAsia="ＭＳ Ｐゴシック"/>
                <w:color w:val="auto"/>
                <w:sz w:val="20"/>
                <w:highlight w:val="none"/>
              </w:rPr>
              <w:t>歳以上）</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17,461</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17,531</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100.4%</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18,451</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18,486</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100.</w:t>
            </w:r>
            <w:r>
              <w:rPr>
                <w:rFonts w:hint="eastAsia" w:ascii="ＭＳ Ｐゴシック" w:hAnsi="ＭＳ Ｐゴシック" w:eastAsia="ＭＳ Ｐゴシック"/>
                <w:color w:val="auto"/>
                <w:sz w:val="18"/>
                <w:highlight w:val="none"/>
              </w:rPr>
              <w:t>2</w:t>
            </w:r>
            <w:r>
              <w:rPr>
                <w:rFonts w:hint="default" w:ascii="ＭＳ Ｐゴシック" w:hAnsi="ＭＳ Ｐゴシック" w:eastAsia="ＭＳ Ｐゴシック"/>
                <w:color w:val="auto"/>
                <w:sz w:val="18"/>
                <w:highlight w:val="none"/>
              </w:rPr>
              <w:t>%</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w:t>
            </w:r>
            <w:r>
              <w:rPr>
                <w:rFonts w:hint="eastAsia" w:ascii="ＭＳ Ｐゴシック" w:hAnsi="ＭＳ Ｐゴシック" w:eastAsia="ＭＳ Ｐゴシック"/>
                <w:color w:val="auto"/>
                <w:sz w:val="18"/>
                <w:highlight w:val="none"/>
              </w:rPr>
              <w:t>9</w:t>
            </w:r>
            <w:r>
              <w:rPr>
                <w:rFonts w:hint="default" w:ascii="ＭＳ Ｐゴシック" w:hAnsi="ＭＳ Ｐゴシック" w:eastAsia="ＭＳ Ｐゴシック"/>
                <w:color w:val="auto"/>
                <w:sz w:val="18"/>
                <w:highlight w:val="none"/>
              </w:rPr>
              <w:t>,</w:t>
            </w:r>
            <w:r>
              <w:rPr>
                <w:rFonts w:hint="eastAsia" w:ascii="ＭＳ Ｐゴシック" w:hAnsi="ＭＳ Ｐゴシック" w:eastAsia="ＭＳ Ｐゴシック"/>
                <w:color w:val="auto"/>
                <w:sz w:val="18"/>
                <w:highlight w:val="none"/>
              </w:rPr>
              <w:t>415</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p>
        </w:tc>
      </w:tr>
    </w:tbl>
    <w:p>
      <w:pPr>
        <w:pStyle w:val="0"/>
        <w:autoSpaceDE w:val="0"/>
        <w:autoSpaceDN w:val="0"/>
        <w:spacing w:before="74" w:beforeLines="20" w:beforeAutospacing="0" w:line="240" w:lineRule="exact"/>
        <w:ind w:left="284" w:leftChars="129" w:right="-220" w:rightChars="-100"/>
        <w:jc w:val="right"/>
        <w:rPr>
          <w:rFonts w:hint="default"/>
          <w:color w:val="auto"/>
          <w:sz w:val="18"/>
          <w:highlight w:val="none"/>
        </w:rPr>
      </w:pPr>
      <w:r>
        <w:rPr>
          <w:rFonts w:hint="eastAsia"/>
          <w:color w:val="auto"/>
          <w:sz w:val="18"/>
          <w:highlight w:val="none"/>
        </w:rPr>
        <w:t>資料：介護保険事業状況報告９月月報（各年度９月末現在）</w:t>
      </w:r>
    </w:p>
    <w:p>
      <w:pPr>
        <w:pStyle w:val="41"/>
        <w:rPr>
          <w:rFonts w:hint="default"/>
          <w:color w:val="auto"/>
          <w:highlight w:val="none"/>
        </w:rPr>
      </w:pPr>
    </w:p>
    <w:p>
      <w:pPr>
        <w:pStyle w:val="41"/>
        <w:rPr>
          <w:rFonts w:hint="default"/>
          <w:color w:val="auto"/>
          <w:highlight w:val="none"/>
        </w:rPr>
      </w:pPr>
      <w:r>
        <w:rPr>
          <w:rFonts w:hint="default"/>
          <w:color w:val="auto"/>
          <w:highlight w:val="none"/>
        </w:rPr>
        <w:br w:type="page"/>
      </w:r>
    </w:p>
    <w:p>
      <w:pPr>
        <w:pStyle w:val="30"/>
        <w:autoSpaceDE w:val="0"/>
        <w:autoSpaceDN w:val="0"/>
        <w:spacing w:after="76" w:afterLines="0" w:afterAutospacing="0"/>
        <w:rPr>
          <w:rFonts w:hint="default"/>
          <w:color w:val="auto"/>
          <w:highlight w:val="none"/>
        </w:rPr>
      </w:pPr>
      <w:r>
        <w:rPr>
          <w:rFonts w:hint="eastAsia"/>
          <w:color w:val="auto"/>
          <w:highlight w:val="none"/>
        </w:rPr>
        <w:t>イ　要支援・要介護認定者数</w:t>
      </w:r>
    </w:p>
    <w:p>
      <w:pPr>
        <w:pStyle w:val="0"/>
        <w:autoSpaceDE w:val="0"/>
        <w:autoSpaceDN w:val="0"/>
        <w:spacing w:line="380" w:lineRule="exact"/>
        <w:ind w:left="660" w:leftChars="300" w:firstLine="220" w:firstLineChars="100"/>
        <w:rPr>
          <w:rFonts w:hint="default"/>
          <w:color w:val="auto"/>
          <w:highlight w:val="none"/>
        </w:rPr>
      </w:pPr>
      <w:r>
        <w:rPr>
          <w:rFonts w:hint="eastAsia"/>
          <w:color w:val="auto"/>
          <w:highlight w:val="none"/>
        </w:rPr>
        <w:t>要支援・要介護認定者数の状況を第８期計画値と比較すると、全体は、令和３（</w:t>
      </w:r>
      <w:r>
        <w:rPr>
          <w:rFonts w:hint="eastAsia"/>
          <w:color w:val="auto"/>
          <w:highlight w:val="none"/>
        </w:rPr>
        <w:t>2021</w:t>
      </w:r>
      <w:r>
        <w:rPr>
          <w:rFonts w:hint="eastAsia"/>
          <w:color w:val="auto"/>
          <w:highlight w:val="none"/>
        </w:rPr>
        <w:t>）年度は計画値を上回り、令和４（</w:t>
      </w:r>
      <w:r>
        <w:rPr>
          <w:rFonts w:hint="eastAsia"/>
          <w:color w:val="auto"/>
          <w:highlight w:val="none"/>
        </w:rPr>
        <w:t>2022</w:t>
      </w:r>
      <w:r>
        <w:rPr>
          <w:rFonts w:hint="eastAsia"/>
          <w:color w:val="auto"/>
          <w:highlight w:val="none"/>
        </w:rPr>
        <w:t>）年度・令和５（</w:t>
      </w:r>
      <w:r>
        <w:rPr>
          <w:rFonts w:hint="eastAsia"/>
          <w:color w:val="auto"/>
          <w:highlight w:val="none"/>
        </w:rPr>
        <w:t>2023</w:t>
      </w:r>
      <w:r>
        <w:rPr>
          <w:rFonts w:hint="eastAsia"/>
          <w:color w:val="auto"/>
          <w:highlight w:val="none"/>
        </w:rPr>
        <w:t>）年度は計画値を下回っています。</w:t>
      </w:r>
    </w:p>
    <w:p>
      <w:pPr>
        <w:pStyle w:val="0"/>
        <w:autoSpaceDE w:val="0"/>
        <w:autoSpaceDN w:val="0"/>
        <w:spacing w:before="185" w:beforeLines="50" w:beforeAutospacing="0" w:line="380" w:lineRule="exact"/>
        <w:ind w:left="284" w:leftChars="129"/>
        <w:jc w:val="center"/>
        <w:rPr>
          <w:rFonts w:hint="default" w:ascii="BIZ UDPゴシック" w:hAnsi="BIZ UDPゴシック" w:eastAsia="BIZ UDPゴシック"/>
          <w:color w:val="auto"/>
          <w:sz w:val="20"/>
          <w:highlight w:val="none"/>
        </w:rPr>
      </w:pPr>
      <w:r>
        <w:rPr>
          <w:rFonts w:hint="eastAsia" w:ascii="BIZ UDPゴシック" w:hAnsi="BIZ UDPゴシック" w:eastAsia="BIZ UDPゴシック"/>
          <w:color w:val="auto"/>
          <w:sz w:val="20"/>
          <w:highlight w:val="none"/>
        </w:rPr>
        <w:t>図表　要支援・要介護認定者数の計画値と実績</w:t>
      </w:r>
    </w:p>
    <w:p>
      <w:pPr>
        <w:pStyle w:val="0"/>
        <w:autoSpaceDE w:val="0"/>
        <w:autoSpaceDN w:val="0"/>
        <w:spacing w:line="220" w:lineRule="exact"/>
        <w:ind w:left="284" w:leftChars="129" w:right="-220" w:rightChars="-10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18"/>
          <w:highlight w:val="none"/>
        </w:rPr>
        <w:t>（単位：人）</w:t>
      </w:r>
    </w:p>
    <w:tbl>
      <w:tblPr>
        <w:tblStyle w:val="90"/>
        <w:tblW w:w="9072" w:type="dxa"/>
        <w:tblInd w:w="284" w:type="dxa"/>
        <w:tblLayout w:type="fixed"/>
        <w:tblCellMar>
          <w:left w:w="96" w:type="dxa"/>
          <w:right w:w="96" w:type="dxa"/>
        </w:tblCellMar>
        <w:tblLook w:firstRow="1" w:lastRow="0" w:firstColumn="1" w:lastColumn="0" w:noHBand="0" w:noVBand="1" w:val="04A0"/>
      </w:tblPr>
      <w:tblGrid>
        <w:gridCol w:w="1629"/>
        <w:gridCol w:w="827"/>
        <w:gridCol w:w="827"/>
        <w:gridCol w:w="827"/>
        <w:gridCol w:w="827"/>
        <w:gridCol w:w="827"/>
        <w:gridCol w:w="827"/>
        <w:gridCol w:w="827"/>
        <w:gridCol w:w="827"/>
        <w:gridCol w:w="827"/>
      </w:tblGrid>
      <w:tr>
        <w:trPr>
          <w:trHeight w:val="283" w:hRule="atLeast"/>
        </w:trPr>
        <w:tc>
          <w:tcPr>
            <w:tcW w:w="1629"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CCECFF"/>
            <w:vAlign w:val="center"/>
          </w:tcPr>
          <w:p>
            <w:pPr>
              <w:pStyle w:val="0"/>
              <w:autoSpaceDE w:val="0"/>
              <w:autoSpaceDN w:val="0"/>
              <w:spacing w:line="200" w:lineRule="exact"/>
              <w:rPr>
                <w:rFonts w:hint="default" w:ascii="ＭＳ Ｐゴシック" w:hAnsi="ＭＳ Ｐゴシック" w:eastAsia="ＭＳ Ｐゴシック"/>
                <w:color w:val="auto"/>
                <w:sz w:val="21"/>
                <w:highlight w:val="none"/>
              </w:rPr>
            </w:pPr>
          </w:p>
        </w:tc>
        <w:tc>
          <w:tcPr>
            <w:tcW w:w="2481" w:type="dxa"/>
            <w:gridSpan w:val="3"/>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CCECFF"/>
            <w:vAlign w:val="center"/>
          </w:tcPr>
          <w:p>
            <w:pPr>
              <w:pStyle w:val="0"/>
              <w:autoSpaceDE w:val="0"/>
              <w:autoSpaceDN w:val="0"/>
              <w:spacing w:line="26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kern w:val="0"/>
                <w:sz w:val="20"/>
                <w:highlight w:val="none"/>
              </w:rPr>
              <w:t>令和３（</w:t>
            </w:r>
            <w:r>
              <w:rPr>
                <w:rFonts w:hint="eastAsia" w:ascii="ＭＳ Ｐゴシック" w:hAnsi="ＭＳ Ｐゴシック" w:eastAsia="ＭＳ Ｐゴシック"/>
                <w:color w:val="auto"/>
                <w:kern w:val="0"/>
                <w:sz w:val="20"/>
                <w:highlight w:val="none"/>
              </w:rPr>
              <w:t>2021</w:t>
            </w:r>
            <w:r>
              <w:rPr>
                <w:rFonts w:hint="eastAsia" w:ascii="ＭＳ Ｐゴシック" w:hAnsi="ＭＳ Ｐゴシック" w:eastAsia="ＭＳ Ｐゴシック"/>
                <w:color w:val="auto"/>
                <w:kern w:val="0"/>
                <w:sz w:val="20"/>
                <w:highlight w:val="none"/>
              </w:rPr>
              <w:t>）年度</w:t>
            </w:r>
          </w:p>
        </w:tc>
        <w:tc>
          <w:tcPr>
            <w:tcW w:w="2481" w:type="dxa"/>
            <w:gridSpan w:val="3"/>
            <w:shd w:val="clear" w:color="auto" w:fill="CCECFF"/>
            <w:vAlign w:val="center"/>
          </w:tcPr>
          <w:p>
            <w:pPr>
              <w:pStyle w:val="0"/>
              <w:autoSpaceDE w:val="0"/>
              <w:autoSpaceDN w:val="0"/>
              <w:spacing w:line="26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kern w:val="0"/>
                <w:sz w:val="20"/>
                <w:highlight w:val="none"/>
              </w:rPr>
              <w:t>令和４（</w:t>
            </w:r>
            <w:r>
              <w:rPr>
                <w:rFonts w:hint="eastAsia" w:ascii="ＭＳ Ｐゴシック" w:hAnsi="ＭＳ Ｐゴシック" w:eastAsia="ＭＳ Ｐゴシック"/>
                <w:color w:val="auto"/>
                <w:kern w:val="0"/>
                <w:sz w:val="20"/>
                <w:highlight w:val="none"/>
              </w:rPr>
              <w:t>2022</w:t>
            </w:r>
            <w:r>
              <w:rPr>
                <w:rFonts w:hint="eastAsia" w:ascii="ＭＳ Ｐゴシック" w:hAnsi="ＭＳ Ｐゴシック" w:eastAsia="ＭＳ Ｐゴシック"/>
                <w:color w:val="auto"/>
                <w:kern w:val="0"/>
                <w:sz w:val="20"/>
                <w:highlight w:val="none"/>
              </w:rPr>
              <w:t>）年度</w:t>
            </w:r>
          </w:p>
        </w:tc>
        <w:tc>
          <w:tcPr>
            <w:tcW w:w="2481" w:type="dxa"/>
            <w:gridSpan w:val="3"/>
            <w:shd w:val="clear" w:color="auto" w:fill="CCECFF"/>
            <w:vAlign w:val="center"/>
          </w:tcPr>
          <w:p>
            <w:pPr>
              <w:pStyle w:val="0"/>
              <w:autoSpaceDE w:val="0"/>
              <w:autoSpaceDN w:val="0"/>
              <w:spacing w:line="26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kern w:val="0"/>
                <w:sz w:val="20"/>
                <w:highlight w:val="none"/>
              </w:rPr>
              <w:t>令和５（</w:t>
            </w:r>
            <w:r>
              <w:rPr>
                <w:rFonts w:hint="eastAsia" w:ascii="ＭＳ Ｐゴシック" w:hAnsi="ＭＳ Ｐゴシック" w:eastAsia="ＭＳ Ｐゴシック"/>
                <w:color w:val="auto"/>
                <w:kern w:val="0"/>
                <w:sz w:val="20"/>
                <w:highlight w:val="none"/>
              </w:rPr>
              <w:t>2023</w:t>
            </w:r>
            <w:r>
              <w:rPr>
                <w:rFonts w:hint="eastAsia" w:ascii="ＭＳ Ｐゴシック" w:hAnsi="ＭＳ Ｐゴシック" w:eastAsia="ＭＳ Ｐゴシック"/>
                <w:color w:val="auto"/>
                <w:kern w:val="0"/>
                <w:sz w:val="20"/>
                <w:highlight w:val="none"/>
              </w:rPr>
              <w:t>）年度</w:t>
            </w:r>
          </w:p>
        </w:tc>
      </w:tr>
      <w:tr>
        <w:trPr>
          <w:trHeight w:val="515" w:hRule="atLeast"/>
        </w:trPr>
        <w:tc>
          <w:tcPr>
            <w:tcW w:w="1629"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CCECFF"/>
            <w:vAlign w:val="center"/>
          </w:tcPr>
          <w:p>
            <w:pPr>
              <w:pStyle w:val="0"/>
              <w:autoSpaceDE w:val="0"/>
              <w:autoSpaceDN w:val="0"/>
              <w:spacing w:line="200" w:lineRule="exact"/>
              <w:rPr>
                <w:rFonts w:hint="default" w:ascii="ＭＳ Ｐゴシック" w:hAnsi="ＭＳ Ｐゴシック" w:eastAsia="ＭＳ Ｐゴシック"/>
                <w:color w:val="000000" w:themeColor="text1"/>
                <w:sz w:val="21"/>
              </w:rPr>
            </w:pPr>
          </w:p>
        </w:tc>
        <w:tc>
          <w:tcPr>
            <w:tcW w:w="827"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18"/>
                <w:highlight w:val="none"/>
              </w:rPr>
            </w:pPr>
            <w:r>
              <w:rPr>
                <w:rFonts w:hint="eastAsia" w:ascii="ＭＳ Ｐゴシック" w:hAnsi="ＭＳ Ｐゴシック" w:eastAsia="ＭＳ Ｐゴシック"/>
                <w:color w:val="auto"/>
                <w:kern w:val="0"/>
                <w:sz w:val="18"/>
                <w:highlight w:val="none"/>
              </w:rPr>
              <w:t>第</w:t>
            </w:r>
            <w:r>
              <w:rPr>
                <w:rFonts w:hint="eastAsia" w:ascii="ＭＳ Ｐゴシック" w:hAnsi="ＭＳ Ｐゴシック" w:eastAsia="ＭＳ Ｐゴシック"/>
                <w:color w:val="auto"/>
                <w:kern w:val="0"/>
                <w:sz w:val="18"/>
                <w:highlight w:val="none"/>
              </w:rPr>
              <w:t>8</w:t>
            </w:r>
            <w:r>
              <w:rPr>
                <w:rFonts w:hint="eastAsia" w:ascii="ＭＳ Ｐゴシック" w:hAnsi="ＭＳ Ｐゴシック" w:eastAsia="ＭＳ Ｐゴシック"/>
                <w:color w:val="auto"/>
                <w:kern w:val="0"/>
                <w:sz w:val="18"/>
                <w:highlight w:val="none"/>
              </w:rPr>
              <w:t>期</w:t>
            </w:r>
          </w:p>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18"/>
                <w:highlight w:val="none"/>
              </w:rPr>
            </w:pPr>
            <w:r>
              <w:rPr>
                <w:rFonts w:hint="eastAsia" w:ascii="ＭＳ Ｐゴシック" w:hAnsi="ＭＳ Ｐゴシック" w:eastAsia="ＭＳ Ｐゴシック"/>
                <w:color w:val="auto"/>
                <w:kern w:val="0"/>
                <w:sz w:val="18"/>
                <w:highlight w:val="none"/>
              </w:rPr>
              <w:t>計画値</w:t>
            </w:r>
          </w:p>
        </w:tc>
        <w:tc>
          <w:tcPr>
            <w:tcW w:w="827" w:type="dxa"/>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18"/>
                <w:highlight w:val="none"/>
              </w:rPr>
            </w:pPr>
            <w:r>
              <w:rPr>
                <w:rFonts w:hint="eastAsia" w:ascii="ＭＳ Ｐゴシック" w:hAnsi="ＭＳ Ｐゴシック" w:eastAsia="ＭＳ Ｐゴシック"/>
                <w:color w:val="auto"/>
                <w:kern w:val="0"/>
                <w:sz w:val="18"/>
                <w:highlight w:val="none"/>
              </w:rPr>
              <w:t>実績値</w:t>
            </w:r>
          </w:p>
        </w:tc>
        <w:tc>
          <w:tcPr>
            <w:tcW w:w="827" w:type="dxa"/>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spacing w:val="-12"/>
                <w:kern w:val="0"/>
                <w:sz w:val="18"/>
                <w:highlight w:val="none"/>
              </w:rPr>
            </w:pPr>
            <w:r>
              <w:rPr>
                <w:rFonts w:hint="eastAsia" w:ascii="ＭＳ Ｐゴシック" w:hAnsi="ＭＳ Ｐゴシック" w:eastAsia="ＭＳ Ｐゴシック"/>
                <w:color w:val="auto"/>
                <w:spacing w:val="-12"/>
                <w:kern w:val="0"/>
                <w:sz w:val="18"/>
                <w:highlight w:val="none"/>
              </w:rPr>
              <w:t>対計画値</w:t>
            </w:r>
          </w:p>
        </w:tc>
        <w:tc>
          <w:tcPr>
            <w:tcW w:w="827" w:type="dxa"/>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18"/>
                <w:highlight w:val="none"/>
              </w:rPr>
            </w:pPr>
            <w:r>
              <w:rPr>
                <w:rFonts w:hint="eastAsia" w:ascii="ＭＳ Ｐゴシック" w:hAnsi="ＭＳ Ｐゴシック" w:eastAsia="ＭＳ Ｐゴシック"/>
                <w:color w:val="auto"/>
                <w:kern w:val="0"/>
                <w:sz w:val="18"/>
                <w:highlight w:val="none"/>
              </w:rPr>
              <w:t>第</w:t>
            </w:r>
            <w:r>
              <w:rPr>
                <w:rFonts w:hint="eastAsia" w:ascii="ＭＳ Ｐゴシック" w:hAnsi="ＭＳ Ｐゴシック" w:eastAsia="ＭＳ Ｐゴシック"/>
                <w:color w:val="auto"/>
                <w:kern w:val="0"/>
                <w:sz w:val="18"/>
                <w:highlight w:val="none"/>
              </w:rPr>
              <w:t>8</w:t>
            </w:r>
            <w:r>
              <w:rPr>
                <w:rFonts w:hint="eastAsia" w:ascii="ＭＳ Ｐゴシック" w:hAnsi="ＭＳ Ｐゴシック" w:eastAsia="ＭＳ Ｐゴシック"/>
                <w:color w:val="auto"/>
                <w:kern w:val="0"/>
                <w:sz w:val="18"/>
                <w:highlight w:val="none"/>
              </w:rPr>
              <w:t>期</w:t>
            </w:r>
          </w:p>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18"/>
                <w:highlight w:val="none"/>
              </w:rPr>
            </w:pPr>
            <w:r>
              <w:rPr>
                <w:rFonts w:hint="eastAsia" w:ascii="ＭＳ Ｐゴシック" w:hAnsi="ＭＳ Ｐゴシック" w:eastAsia="ＭＳ Ｐゴシック"/>
                <w:color w:val="auto"/>
                <w:kern w:val="0"/>
                <w:sz w:val="18"/>
                <w:highlight w:val="none"/>
              </w:rPr>
              <w:t>計画値</w:t>
            </w:r>
          </w:p>
        </w:tc>
        <w:tc>
          <w:tcPr>
            <w:tcW w:w="827" w:type="dxa"/>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18"/>
                <w:highlight w:val="none"/>
              </w:rPr>
            </w:pPr>
            <w:r>
              <w:rPr>
                <w:rFonts w:hint="eastAsia" w:ascii="ＭＳ Ｐゴシック" w:hAnsi="ＭＳ Ｐゴシック" w:eastAsia="ＭＳ Ｐゴシック"/>
                <w:color w:val="auto"/>
                <w:kern w:val="0"/>
                <w:sz w:val="18"/>
                <w:highlight w:val="none"/>
              </w:rPr>
              <w:t>実績値</w:t>
            </w:r>
          </w:p>
        </w:tc>
        <w:tc>
          <w:tcPr>
            <w:tcW w:w="827" w:type="dxa"/>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spacing w:val="-12"/>
                <w:kern w:val="0"/>
                <w:sz w:val="18"/>
                <w:highlight w:val="none"/>
              </w:rPr>
            </w:pPr>
            <w:r>
              <w:rPr>
                <w:rFonts w:hint="eastAsia" w:ascii="ＭＳ Ｐゴシック" w:hAnsi="ＭＳ Ｐゴシック" w:eastAsia="ＭＳ Ｐゴシック"/>
                <w:color w:val="auto"/>
                <w:spacing w:val="-12"/>
                <w:kern w:val="0"/>
                <w:sz w:val="18"/>
                <w:highlight w:val="none"/>
              </w:rPr>
              <w:t>対計画値</w:t>
            </w:r>
          </w:p>
        </w:tc>
        <w:tc>
          <w:tcPr>
            <w:tcW w:w="827" w:type="dxa"/>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18"/>
                <w:highlight w:val="none"/>
              </w:rPr>
            </w:pPr>
            <w:r>
              <w:rPr>
                <w:rFonts w:hint="eastAsia" w:ascii="ＭＳ Ｐゴシック" w:hAnsi="ＭＳ Ｐゴシック" w:eastAsia="ＭＳ Ｐゴシック"/>
                <w:color w:val="auto"/>
                <w:kern w:val="0"/>
                <w:sz w:val="18"/>
                <w:highlight w:val="none"/>
              </w:rPr>
              <w:t>第</w:t>
            </w:r>
            <w:r>
              <w:rPr>
                <w:rFonts w:hint="eastAsia" w:ascii="ＭＳ Ｐゴシック" w:hAnsi="ＭＳ Ｐゴシック" w:eastAsia="ＭＳ Ｐゴシック"/>
                <w:color w:val="auto"/>
                <w:kern w:val="0"/>
                <w:sz w:val="18"/>
                <w:highlight w:val="none"/>
              </w:rPr>
              <w:t>8</w:t>
            </w:r>
            <w:r>
              <w:rPr>
                <w:rFonts w:hint="eastAsia" w:ascii="ＭＳ Ｐゴシック" w:hAnsi="ＭＳ Ｐゴシック" w:eastAsia="ＭＳ Ｐゴシック"/>
                <w:color w:val="auto"/>
                <w:kern w:val="0"/>
                <w:sz w:val="18"/>
                <w:highlight w:val="none"/>
              </w:rPr>
              <w:t>期</w:t>
            </w:r>
          </w:p>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18"/>
                <w:highlight w:val="none"/>
              </w:rPr>
            </w:pPr>
            <w:r>
              <w:rPr>
                <w:rFonts w:hint="eastAsia" w:ascii="ＭＳ Ｐゴシック" w:hAnsi="ＭＳ Ｐゴシック" w:eastAsia="ＭＳ Ｐゴシック"/>
                <w:color w:val="auto"/>
                <w:kern w:val="0"/>
                <w:sz w:val="18"/>
                <w:highlight w:val="none"/>
              </w:rPr>
              <w:t>計画値</w:t>
            </w:r>
          </w:p>
        </w:tc>
        <w:tc>
          <w:tcPr>
            <w:tcW w:w="827" w:type="dxa"/>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18"/>
                <w:highlight w:val="none"/>
              </w:rPr>
            </w:pPr>
            <w:r>
              <w:rPr>
                <w:rFonts w:hint="eastAsia" w:ascii="ＭＳ Ｐゴシック" w:hAnsi="ＭＳ Ｐゴシック" w:eastAsia="ＭＳ Ｐゴシック"/>
                <w:color w:val="auto"/>
                <w:kern w:val="0"/>
                <w:sz w:val="18"/>
                <w:highlight w:val="none"/>
              </w:rPr>
              <w:t>実績値</w:t>
            </w:r>
          </w:p>
        </w:tc>
        <w:tc>
          <w:tcPr>
            <w:tcW w:w="827" w:type="dxa"/>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spacing w:val="-12"/>
                <w:kern w:val="0"/>
                <w:sz w:val="18"/>
                <w:highlight w:val="none"/>
              </w:rPr>
            </w:pPr>
            <w:r>
              <w:rPr>
                <w:rFonts w:hint="eastAsia" w:ascii="ＭＳ Ｐゴシック" w:hAnsi="ＭＳ Ｐゴシック" w:eastAsia="ＭＳ Ｐゴシック"/>
                <w:color w:val="auto"/>
                <w:spacing w:val="-12"/>
                <w:kern w:val="0"/>
                <w:sz w:val="18"/>
                <w:highlight w:val="none"/>
              </w:rPr>
              <w:t>対計画値</w:t>
            </w:r>
          </w:p>
        </w:tc>
      </w:tr>
      <w:tr>
        <w:trPr>
          <w:trHeight w:val="312" w:hRule="exact"/>
        </w:trPr>
        <w:tc>
          <w:tcPr>
            <w:tcW w:w="162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60" w:lineRule="exact"/>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要支援１</w:t>
            </w:r>
          </w:p>
        </w:tc>
        <w:tc>
          <w:tcPr>
            <w:tcW w:w="827"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1,121</w:t>
            </w:r>
          </w:p>
        </w:tc>
        <w:tc>
          <w:tcPr>
            <w:tcW w:w="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1,150 </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10</w:t>
            </w:r>
            <w:r>
              <w:rPr>
                <w:rFonts w:hint="eastAsia" w:ascii="ＭＳ Ｐゴシック" w:hAnsi="ＭＳ Ｐゴシック" w:eastAsia="ＭＳ Ｐゴシック"/>
                <w:color w:val="auto"/>
                <w:sz w:val="18"/>
                <w:highlight w:val="none"/>
              </w:rPr>
              <w:t>2.6</w:t>
            </w:r>
            <w:r>
              <w:rPr>
                <w:rFonts w:hint="default" w:ascii="ＭＳ Ｐゴシック" w:hAnsi="ＭＳ Ｐゴシック" w:eastAsia="ＭＳ Ｐゴシック"/>
                <w:color w:val="auto"/>
                <w:sz w:val="18"/>
                <w:highlight w:val="none"/>
              </w:rPr>
              <w:t>%</w:t>
            </w:r>
          </w:p>
        </w:tc>
        <w:tc>
          <w:tcPr>
            <w:tcW w:w="827" w:type="dxa"/>
            <w:vAlign w:val="center"/>
          </w:tcPr>
          <w:p>
            <w:pPr>
              <w:pStyle w:val="0"/>
              <w:widowControl w:val="1"/>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1,1</w:t>
            </w:r>
            <w:r>
              <w:rPr>
                <w:rFonts w:hint="default" w:ascii="ＭＳ Ｐゴシック" w:hAnsi="ＭＳ Ｐゴシック" w:eastAsia="ＭＳ Ｐゴシック"/>
                <w:color w:val="auto"/>
                <w:sz w:val="18"/>
                <w:highlight w:val="none"/>
              </w:rPr>
              <w:t>56</w:t>
            </w:r>
            <w:r>
              <w:rPr>
                <w:rFonts w:hint="eastAsia" w:ascii="ＭＳ Ｐゴシック" w:hAnsi="ＭＳ Ｐゴシック" w:eastAsia="ＭＳ Ｐゴシック"/>
                <w:color w:val="auto"/>
                <w:sz w:val="18"/>
                <w:highlight w:val="none"/>
              </w:rPr>
              <w:t xml:space="preserve"> </w:t>
            </w:r>
          </w:p>
        </w:tc>
        <w:tc>
          <w:tcPr>
            <w:tcW w:w="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1,179 </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102.0%</w:t>
            </w:r>
          </w:p>
        </w:tc>
        <w:tc>
          <w:tcPr>
            <w:tcW w:w="827" w:type="dxa"/>
            <w:vAlign w:val="center"/>
          </w:tcPr>
          <w:p>
            <w:pPr>
              <w:pStyle w:val="0"/>
              <w:widowControl w:val="1"/>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1,18</w:t>
            </w:r>
            <w:r>
              <w:rPr>
                <w:rFonts w:hint="default" w:ascii="ＭＳ Ｐゴシック" w:hAnsi="ＭＳ Ｐゴシック" w:eastAsia="ＭＳ Ｐゴシック"/>
                <w:color w:val="auto"/>
                <w:sz w:val="18"/>
                <w:highlight w:val="none"/>
              </w:rPr>
              <w:t>8</w:t>
            </w:r>
            <w:r>
              <w:rPr>
                <w:rFonts w:hint="eastAsia" w:ascii="ＭＳ Ｐゴシック" w:hAnsi="ＭＳ Ｐゴシック" w:eastAsia="ＭＳ Ｐゴシック"/>
                <w:color w:val="auto"/>
                <w:sz w:val="18"/>
                <w:highlight w:val="none"/>
              </w:rPr>
              <w:t xml:space="preserve"> </w:t>
            </w:r>
          </w:p>
        </w:tc>
        <w:tc>
          <w:tcPr>
            <w:tcW w:w="827" w:type="dxa"/>
            <w:tcBorders>
              <w:top w:val="single" w:color="auto" w:sz="4" w:space="0"/>
              <w:left w:val="single" w:color="auto" w:sz="4" w:space="0"/>
              <w:bottom w:val="single" w:color="auto" w:sz="4" w:space="0"/>
              <w:right w:val="nil"/>
              <w:tl2br w:val="none" w:color="auto" w:sz="0" w:space="0"/>
              <w:tr2bl w:val="none" w:color="auto" w:sz="0" w:space="0"/>
            </w:tcBorders>
            <w:shd w:val="clear" w:color="auto" w:fill="auto"/>
            <w:vAlign w:val="center"/>
          </w:tcPr>
          <w:p>
            <w:pPr>
              <w:pStyle w:val="0"/>
              <w:widowControl w:val="1"/>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1,187 </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99.9%</w:t>
            </w:r>
          </w:p>
        </w:tc>
      </w:tr>
      <w:tr>
        <w:trPr>
          <w:trHeight w:val="312" w:hRule="exact"/>
        </w:trPr>
        <w:tc>
          <w:tcPr>
            <w:tcW w:w="162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要支援２</w:t>
            </w:r>
          </w:p>
        </w:tc>
        <w:tc>
          <w:tcPr>
            <w:tcW w:w="827" w:type="dxa"/>
            <w:vAlign w:val="center"/>
          </w:tcPr>
          <w:p>
            <w:pPr>
              <w:pStyle w:val="0"/>
              <w:spacing w:line="200" w:lineRule="exact"/>
              <w:jc w:val="right"/>
              <w:rPr>
                <w:rFonts w:hint="default"/>
                <w:color w:val="auto"/>
                <w:highlight w:val="none"/>
              </w:rPr>
            </w:pPr>
            <w:r>
              <w:rPr>
                <w:rFonts w:hint="default" w:ascii="ＭＳ Ｐゴシック" w:hAnsi="ＭＳ Ｐゴシック" w:eastAsia="ＭＳ Ｐゴシック"/>
                <w:color w:val="auto"/>
                <w:sz w:val="18"/>
                <w:highlight w:val="none"/>
              </w:rPr>
              <w:t>920</w:t>
            </w:r>
          </w:p>
        </w:tc>
        <w:tc>
          <w:tcPr>
            <w:tcW w:w="82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922 </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100.</w:t>
            </w:r>
            <w:r>
              <w:rPr>
                <w:rFonts w:hint="eastAsia" w:ascii="ＭＳ Ｐゴシック" w:hAnsi="ＭＳ Ｐゴシック" w:eastAsia="ＭＳ Ｐゴシック"/>
                <w:color w:val="auto"/>
                <w:sz w:val="18"/>
                <w:highlight w:val="none"/>
              </w:rPr>
              <w:t>2</w:t>
            </w:r>
            <w:r>
              <w:rPr>
                <w:rFonts w:hint="default" w:ascii="ＭＳ Ｐゴシック" w:hAnsi="ＭＳ Ｐゴシック" w:eastAsia="ＭＳ Ｐゴシック"/>
                <w:color w:val="auto"/>
                <w:sz w:val="18"/>
                <w:highlight w:val="none"/>
              </w:rPr>
              <w:t>%</w:t>
            </w:r>
          </w:p>
        </w:tc>
        <w:tc>
          <w:tcPr>
            <w:tcW w:w="827" w:type="dxa"/>
            <w:vAlign w:val="center"/>
          </w:tcPr>
          <w:p>
            <w:pPr>
              <w:pStyle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9</w:t>
            </w:r>
            <w:r>
              <w:rPr>
                <w:rFonts w:hint="default" w:ascii="ＭＳ Ｐゴシック" w:hAnsi="ＭＳ Ｐゴシック" w:eastAsia="ＭＳ Ｐゴシック"/>
                <w:color w:val="auto"/>
                <w:sz w:val="18"/>
                <w:highlight w:val="none"/>
              </w:rPr>
              <w:t>44</w:t>
            </w:r>
            <w:r>
              <w:rPr>
                <w:rFonts w:hint="eastAsia" w:ascii="ＭＳ Ｐゴシック" w:hAnsi="ＭＳ Ｐゴシック" w:eastAsia="ＭＳ Ｐゴシック"/>
                <w:color w:val="auto"/>
                <w:sz w:val="18"/>
                <w:highlight w:val="none"/>
              </w:rPr>
              <w:t xml:space="preserve"> </w:t>
            </w:r>
          </w:p>
        </w:tc>
        <w:tc>
          <w:tcPr>
            <w:tcW w:w="82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902 </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95.6%</w:t>
            </w:r>
          </w:p>
        </w:tc>
        <w:tc>
          <w:tcPr>
            <w:tcW w:w="827" w:type="dxa"/>
            <w:vAlign w:val="center"/>
          </w:tcPr>
          <w:p>
            <w:pPr>
              <w:pStyle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9</w:t>
            </w:r>
            <w:r>
              <w:rPr>
                <w:rFonts w:hint="default" w:ascii="ＭＳ Ｐゴシック" w:hAnsi="ＭＳ Ｐゴシック" w:eastAsia="ＭＳ Ｐゴシック"/>
                <w:color w:val="auto"/>
                <w:sz w:val="18"/>
                <w:highlight w:val="none"/>
              </w:rPr>
              <w:t>67</w:t>
            </w:r>
            <w:r>
              <w:rPr>
                <w:rFonts w:hint="eastAsia" w:ascii="ＭＳ Ｐゴシック" w:hAnsi="ＭＳ Ｐゴシック" w:eastAsia="ＭＳ Ｐゴシック"/>
                <w:color w:val="auto"/>
                <w:sz w:val="18"/>
                <w:highlight w:val="none"/>
              </w:rPr>
              <w:t xml:space="preserve"> </w:t>
            </w:r>
          </w:p>
        </w:tc>
        <w:tc>
          <w:tcPr>
            <w:tcW w:w="827" w:type="dxa"/>
            <w:tcBorders>
              <w:top w:val="nil"/>
              <w:left w:val="single" w:color="auto" w:sz="4" w:space="0"/>
              <w:bottom w:val="single" w:color="auto" w:sz="4" w:space="0"/>
              <w:right w:val="nil"/>
              <w:tl2br w:val="none" w:color="auto" w:sz="0" w:space="0"/>
              <w:tr2bl w:val="none" w:color="auto" w:sz="0" w:space="0"/>
            </w:tcBorders>
            <w:shd w:val="clear" w:color="auto" w:fill="auto"/>
            <w:vAlign w:val="center"/>
          </w:tcPr>
          <w:p>
            <w:pPr>
              <w:pStyle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915 </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94.6%</w:t>
            </w:r>
          </w:p>
        </w:tc>
      </w:tr>
      <w:tr>
        <w:trPr>
          <w:trHeight w:val="312" w:hRule="exact"/>
        </w:trPr>
        <w:tc>
          <w:tcPr>
            <w:tcW w:w="162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要介護１</w:t>
            </w:r>
          </w:p>
        </w:tc>
        <w:tc>
          <w:tcPr>
            <w:tcW w:w="827" w:type="dxa"/>
            <w:vAlign w:val="center"/>
          </w:tcPr>
          <w:p>
            <w:pPr>
              <w:pStyle w:val="0"/>
              <w:spacing w:line="200" w:lineRule="exact"/>
              <w:jc w:val="right"/>
              <w:rPr>
                <w:rFonts w:hint="default"/>
                <w:color w:val="auto"/>
                <w:highlight w:val="none"/>
              </w:rPr>
            </w:pPr>
            <w:r>
              <w:rPr>
                <w:rFonts w:hint="default" w:ascii="ＭＳ Ｐゴシック" w:hAnsi="ＭＳ Ｐゴシック" w:eastAsia="ＭＳ Ｐゴシック"/>
                <w:color w:val="auto"/>
                <w:sz w:val="18"/>
                <w:highlight w:val="none"/>
              </w:rPr>
              <w:t>1,398</w:t>
            </w:r>
          </w:p>
        </w:tc>
        <w:tc>
          <w:tcPr>
            <w:tcW w:w="82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1,489 </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106.5%</w:t>
            </w:r>
          </w:p>
        </w:tc>
        <w:tc>
          <w:tcPr>
            <w:tcW w:w="827" w:type="dxa"/>
            <w:vAlign w:val="center"/>
          </w:tcPr>
          <w:p>
            <w:pPr>
              <w:pStyle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w:t>
            </w:r>
            <w:r>
              <w:rPr>
                <w:rFonts w:hint="default" w:ascii="ＭＳ Ｐゴシック" w:hAnsi="ＭＳ Ｐゴシック" w:eastAsia="ＭＳ Ｐゴシック"/>
                <w:color w:val="auto"/>
                <w:sz w:val="18"/>
                <w:highlight w:val="none"/>
              </w:rPr>
              <w:t>446</w:t>
            </w:r>
            <w:r>
              <w:rPr>
                <w:rFonts w:hint="eastAsia" w:ascii="ＭＳ Ｐゴシック" w:hAnsi="ＭＳ Ｐゴシック" w:eastAsia="ＭＳ Ｐゴシック"/>
                <w:color w:val="auto"/>
                <w:sz w:val="18"/>
                <w:highlight w:val="none"/>
              </w:rPr>
              <w:t xml:space="preserve"> </w:t>
            </w:r>
          </w:p>
        </w:tc>
        <w:tc>
          <w:tcPr>
            <w:tcW w:w="82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1,501 </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103.8%</w:t>
            </w:r>
          </w:p>
        </w:tc>
        <w:tc>
          <w:tcPr>
            <w:tcW w:w="827" w:type="dxa"/>
            <w:vAlign w:val="center"/>
          </w:tcPr>
          <w:p>
            <w:pPr>
              <w:pStyle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1,48</w:t>
            </w:r>
            <w:r>
              <w:rPr>
                <w:rFonts w:hint="default" w:ascii="ＭＳ Ｐゴシック" w:hAnsi="ＭＳ Ｐゴシック" w:eastAsia="ＭＳ Ｐゴシック"/>
                <w:color w:val="auto"/>
                <w:sz w:val="18"/>
                <w:highlight w:val="none"/>
              </w:rPr>
              <w:t>7</w:t>
            </w:r>
            <w:r>
              <w:rPr>
                <w:rFonts w:hint="eastAsia" w:ascii="ＭＳ Ｐゴシック" w:hAnsi="ＭＳ Ｐゴシック" w:eastAsia="ＭＳ Ｐゴシック"/>
                <w:color w:val="auto"/>
                <w:sz w:val="18"/>
                <w:highlight w:val="none"/>
              </w:rPr>
              <w:t xml:space="preserve"> </w:t>
            </w:r>
          </w:p>
        </w:tc>
        <w:tc>
          <w:tcPr>
            <w:tcW w:w="827" w:type="dxa"/>
            <w:tcBorders>
              <w:top w:val="nil"/>
              <w:left w:val="single" w:color="auto" w:sz="4" w:space="0"/>
              <w:bottom w:val="single" w:color="auto" w:sz="4" w:space="0"/>
              <w:right w:val="nil"/>
              <w:tl2br w:val="none" w:color="auto" w:sz="0" w:space="0"/>
              <w:tr2bl w:val="none" w:color="auto" w:sz="0" w:space="0"/>
            </w:tcBorders>
            <w:shd w:val="clear" w:color="auto" w:fill="auto"/>
            <w:vAlign w:val="center"/>
          </w:tcPr>
          <w:p>
            <w:pPr>
              <w:pStyle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1,483 </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99.7%</w:t>
            </w:r>
          </w:p>
        </w:tc>
      </w:tr>
      <w:tr>
        <w:trPr>
          <w:trHeight w:val="312" w:hRule="exact"/>
        </w:trPr>
        <w:tc>
          <w:tcPr>
            <w:tcW w:w="162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要介護２</w:t>
            </w:r>
          </w:p>
        </w:tc>
        <w:tc>
          <w:tcPr>
            <w:tcW w:w="827" w:type="dxa"/>
            <w:vAlign w:val="center"/>
          </w:tcPr>
          <w:p>
            <w:pPr>
              <w:pStyle w:val="0"/>
              <w:spacing w:line="200" w:lineRule="exact"/>
              <w:jc w:val="right"/>
              <w:rPr>
                <w:rFonts w:hint="default"/>
                <w:color w:val="auto"/>
                <w:highlight w:val="none"/>
              </w:rPr>
            </w:pPr>
            <w:r>
              <w:rPr>
                <w:rFonts w:hint="default" w:ascii="ＭＳ Ｐゴシック" w:hAnsi="ＭＳ Ｐゴシック" w:eastAsia="ＭＳ Ｐゴシック"/>
                <w:color w:val="auto"/>
                <w:sz w:val="18"/>
                <w:highlight w:val="none"/>
              </w:rPr>
              <w:t>1,070</w:t>
            </w:r>
          </w:p>
        </w:tc>
        <w:tc>
          <w:tcPr>
            <w:tcW w:w="82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1,041 </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97.3%</w:t>
            </w:r>
          </w:p>
        </w:tc>
        <w:tc>
          <w:tcPr>
            <w:tcW w:w="827" w:type="dxa"/>
            <w:vAlign w:val="center"/>
          </w:tcPr>
          <w:p>
            <w:pPr>
              <w:pStyle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w:t>
            </w:r>
            <w:r>
              <w:rPr>
                <w:rFonts w:hint="default" w:ascii="ＭＳ Ｐゴシック" w:hAnsi="ＭＳ Ｐゴシック" w:eastAsia="ＭＳ Ｐゴシック"/>
                <w:color w:val="auto"/>
                <w:sz w:val="18"/>
                <w:highlight w:val="none"/>
              </w:rPr>
              <w:t>104</w:t>
            </w:r>
            <w:r>
              <w:rPr>
                <w:rFonts w:hint="eastAsia" w:ascii="ＭＳ Ｐゴシック" w:hAnsi="ＭＳ Ｐゴシック" w:eastAsia="ＭＳ Ｐゴシック"/>
                <w:color w:val="auto"/>
                <w:sz w:val="18"/>
                <w:highlight w:val="none"/>
              </w:rPr>
              <w:t xml:space="preserve"> </w:t>
            </w:r>
          </w:p>
        </w:tc>
        <w:tc>
          <w:tcPr>
            <w:tcW w:w="82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1,087 </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98.5%</w:t>
            </w:r>
          </w:p>
        </w:tc>
        <w:tc>
          <w:tcPr>
            <w:tcW w:w="827" w:type="dxa"/>
            <w:vAlign w:val="center"/>
          </w:tcPr>
          <w:p>
            <w:pPr>
              <w:pStyle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w:t>
            </w:r>
            <w:r>
              <w:rPr>
                <w:rFonts w:hint="default" w:ascii="ＭＳ Ｐゴシック" w:hAnsi="ＭＳ Ｐゴシック" w:eastAsia="ＭＳ Ｐゴシック"/>
                <w:color w:val="auto"/>
                <w:sz w:val="18"/>
                <w:highlight w:val="none"/>
              </w:rPr>
              <w:t>134</w:t>
            </w:r>
            <w:r>
              <w:rPr>
                <w:rFonts w:hint="eastAsia" w:ascii="ＭＳ Ｐゴシック" w:hAnsi="ＭＳ Ｐゴシック" w:eastAsia="ＭＳ Ｐゴシック"/>
                <w:color w:val="auto"/>
                <w:sz w:val="18"/>
                <w:highlight w:val="none"/>
              </w:rPr>
              <w:t xml:space="preserve"> </w:t>
            </w:r>
          </w:p>
        </w:tc>
        <w:tc>
          <w:tcPr>
            <w:tcW w:w="827" w:type="dxa"/>
            <w:tcBorders>
              <w:top w:val="nil"/>
              <w:left w:val="single" w:color="auto" w:sz="4" w:space="0"/>
              <w:bottom w:val="single" w:color="auto" w:sz="4" w:space="0"/>
              <w:right w:val="nil"/>
              <w:tl2br w:val="none" w:color="auto" w:sz="0" w:space="0"/>
              <w:tr2bl w:val="none" w:color="auto" w:sz="0" w:space="0"/>
            </w:tcBorders>
            <w:shd w:val="clear" w:color="auto" w:fill="auto"/>
            <w:vAlign w:val="center"/>
          </w:tcPr>
          <w:p>
            <w:pPr>
              <w:pStyle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1,071 </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94.4%</w:t>
            </w:r>
          </w:p>
        </w:tc>
      </w:tr>
      <w:tr>
        <w:trPr>
          <w:trHeight w:val="312" w:hRule="exact"/>
        </w:trPr>
        <w:tc>
          <w:tcPr>
            <w:tcW w:w="162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要介護３</w:t>
            </w:r>
          </w:p>
        </w:tc>
        <w:tc>
          <w:tcPr>
            <w:tcW w:w="827" w:type="dxa"/>
            <w:vAlign w:val="center"/>
          </w:tcPr>
          <w:p>
            <w:pPr>
              <w:pStyle w:val="0"/>
              <w:spacing w:line="200" w:lineRule="exact"/>
              <w:jc w:val="right"/>
              <w:rPr>
                <w:rFonts w:hint="default"/>
                <w:color w:val="auto"/>
                <w:highlight w:val="none"/>
              </w:rPr>
            </w:pPr>
            <w:r>
              <w:rPr>
                <w:rFonts w:hint="default" w:ascii="ＭＳ Ｐゴシック" w:hAnsi="ＭＳ Ｐゴシック" w:eastAsia="ＭＳ Ｐゴシック"/>
                <w:color w:val="auto"/>
                <w:sz w:val="18"/>
                <w:highlight w:val="none"/>
              </w:rPr>
              <w:t>802</w:t>
            </w:r>
          </w:p>
        </w:tc>
        <w:tc>
          <w:tcPr>
            <w:tcW w:w="82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795 </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99.1%</w:t>
            </w:r>
          </w:p>
        </w:tc>
        <w:tc>
          <w:tcPr>
            <w:tcW w:w="827" w:type="dxa"/>
            <w:vAlign w:val="center"/>
          </w:tcPr>
          <w:p>
            <w:pPr>
              <w:pStyle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8</w:t>
            </w:r>
            <w:r>
              <w:rPr>
                <w:rFonts w:hint="default" w:ascii="ＭＳ Ｐゴシック" w:hAnsi="ＭＳ Ｐゴシック" w:eastAsia="ＭＳ Ｐゴシック"/>
                <w:color w:val="auto"/>
                <w:sz w:val="18"/>
                <w:highlight w:val="none"/>
              </w:rPr>
              <w:t>30</w:t>
            </w:r>
            <w:r>
              <w:rPr>
                <w:rFonts w:hint="eastAsia" w:ascii="ＭＳ Ｐゴシック" w:hAnsi="ＭＳ Ｐゴシック" w:eastAsia="ＭＳ Ｐゴシック"/>
                <w:color w:val="auto"/>
                <w:sz w:val="18"/>
                <w:highlight w:val="none"/>
              </w:rPr>
              <w:t xml:space="preserve"> </w:t>
            </w:r>
          </w:p>
        </w:tc>
        <w:tc>
          <w:tcPr>
            <w:tcW w:w="82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803 </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96.7%</w:t>
            </w:r>
          </w:p>
        </w:tc>
        <w:tc>
          <w:tcPr>
            <w:tcW w:w="827" w:type="dxa"/>
            <w:vAlign w:val="center"/>
          </w:tcPr>
          <w:p>
            <w:pPr>
              <w:pStyle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855</w:t>
            </w:r>
            <w:r>
              <w:rPr>
                <w:rFonts w:hint="eastAsia" w:ascii="ＭＳ Ｐゴシック" w:hAnsi="ＭＳ Ｐゴシック" w:eastAsia="ＭＳ Ｐゴシック"/>
                <w:color w:val="auto"/>
                <w:sz w:val="18"/>
                <w:highlight w:val="none"/>
              </w:rPr>
              <w:t xml:space="preserve"> </w:t>
            </w:r>
          </w:p>
        </w:tc>
        <w:tc>
          <w:tcPr>
            <w:tcW w:w="827" w:type="dxa"/>
            <w:tcBorders>
              <w:top w:val="nil"/>
              <w:left w:val="single" w:color="auto" w:sz="4" w:space="0"/>
              <w:bottom w:val="single" w:color="auto" w:sz="4" w:space="0"/>
              <w:right w:val="nil"/>
              <w:tl2br w:val="none" w:color="auto" w:sz="0" w:space="0"/>
              <w:tr2bl w:val="none" w:color="auto" w:sz="0" w:space="0"/>
            </w:tcBorders>
            <w:shd w:val="clear" w:color="auto" w:fill="auto"/>
            <w:vAlign w:val="center"/>
          </w:tcPr>
          <w:p>
            <w:pPr>
              <w:pStyle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773 </w:t>
            </w:r>
          </w:p>
        </w:tc>
        <w:tc>
          <w:tcPr>
            <w:tcW w:w="827" w:type="dxa"/>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90.4%</w:t>
            </w:r>
          </w:p>
        </w:tc>
      </w:tr>
      <w:tr>
        <w:trPr>
          <w:trHeight w:val="312" w:hRule="exact"/>
        </w:trPr>
        <w:tc>
          <w:tcPr>
            <w:tcW w:w="162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要介護４</w:t>
            </w:r>
          </w:p>
        </w:tc>
        <w:tc>
          <w:tcPr>
            <w:tcW w:w="82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00" w:lineRule="exact"/>
              <w:jc w:val="right"/>
              <w:rPr>
                <w:rFonts w:hint="default"/>
                <w:color w:val="auto"/>
                <w:highlight w:val="none"/>
              </w:rPr>
            </w:pPr>
            <w:r>
              <w:rPr>
                <w:rFonts w:hint="default" w:ascii="ＭＳ Ｐゴシック" w:hAnsi="ＭＳ Ｐゴシック" w:eastAsia="ＭＳ Ｐゴシック"/>
                <w:color w:val="auto"/>
                <w:sz w:val="18"/>
                <w:highlight w:val="none"/>
              </w:rPr>
              <w:t>627</w:t>
            </w:r>
          </w:p>
        </w:tc>
        <w:tc>
          <w:tcPr>
            <w:tcW w:w="82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642 </w:t>
            </w:r>
          </w:p>
        </w:tc>
        <w:tc>
          <w:tcPr>
            <w:tcW w:w="82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102.4%</w:t>
            </w:r>
          </w:p>
        </w:tc>
        <w:tc>
          <w:tcPr>
            <w:tcW w:w="82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6</w:t>
            </w:r>
            <w:r>
              <w:rPr>
                <w:rFonts w:hint="default" w:ascii="ＭＳ Ｐゴシック" w:hAnsi="ＭＳ Ｐゴシック" w:eastAsia="ＭＳ Ｐゴシック"/>
                <w:color w:val="auto"/>
                <w:sz w:val="18"/>
                <w:highlight w:val="none"/>
              </w:rPr>
              <w:t>47</w:t>
            </w:r>
            <w:r>
              <w:rPr>
                <w:rFonts w:hint="eastAsia" w:ascii="ＭＳ Ｐゴシック" w:hAnsi="ＭＳ Ｐゴシック" w:eastAsia="ＭＳ Ｐゴシック"/>
                <w:color w:val="auto"/>
                <w:sz w:val="18"/>
                <w:highlight w:val="none"/>
              </w:rPr>
              <w:t xml:space="preserve"> </w:t>
            </w:r>
          </w:p>
        </w:tc>
        <w:tc>
          <w:tcPr>
            <w:tcW w:w="82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655 </w:t>
            </w:r>
          </w:p>
        </w:tc>
        <w:tc>
          <w:tcPr>
            <w:tcW w:w="82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101.2%</w:t>
            </w:r>
          </w:p>
        </w:tc>
        <w:tc>
          <w:tcPr>
            <w:tcW w:w="82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6</w:t>
            </w:r>
            <w:r>
              <w:rPr>
                <w:rFonts w:hint="default" w:ascii="ＭＳ Ｐゴシック" w:hAnsi="ＭＳ Ｐゴシック" w:eastAsia="ＭＳ Ｐゴシック"/>
                <w:color w:val="auto"/>
                <w:sz w:val="18"/>
                <w:highlight w:val="none"/>
              </w:rPr>
              <w:t>63</w:t>
            </w:r>
            <w:r>
              <w:rPr>
                <w:rFonts w:hint="eastAsia" w:ascii="ＭＳ Ｐゴシック" w:hAnsi="ＭＳ Ｐゴシック" w:eastAsia="ＭＳ Ｐゴシック"/>
                <w:color w:val="auto"/>
                <w:sz w:val="18"/>
                <w:highlight w:val="none"/>
              </w:rPr>
              <w:t xml:space="preserve"> </w:t>
            </w:r>
          </w:p>
        </w:tc>
        <w:tc>
          <w:tcPr>
            <w:tcW w:w="827" w:type="dxa"/>
            <w:tcBorders>
              <w:top w:val="nil"/>
              <w:left w:val="single" w:color="auto" w:sz="4" w:space="0"/>
              <w:bottom w:val="single" w:color="auto" w:sz="4" w:space="0"/>
              <w:right w:val="nil"/>
              <w:tl2br w:val="none" w:color="auto" w:sz="0" w:space="0"/>
              <w:tr2bl w:val="none" w:color="auto" w:sz="0" w:space="0"/>
            </w:tcBorders>
            <w:shd w:val="clear" w:color="auto" w:fill="auto"/>
            <w:vAlign w:val="center"/>
          </w:tcPr>
          <w:p>
            <w:pPr>
              <w:pStyle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679 </w:t>
            </w:r>
          </w:p>
        </w:tc>
        <w:tc>
          <w:tcPr>
            <w:tcW w:w="82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102.4%</w:t>
            </w:r>
          </w:p>
        </w:tc>
      </w:tr>
      <w:tr>
        <w:trPr>
          <w:trHeight w:val="312" w:hRule="exact"/>
        </w:trPr>
        <w:tc>
          <w:tcPr>
            <w:tcW w:w="1629" w:type="dxa"/>
            <w:tcBorders>
              <w:top w:val="single" w:color="auto" w:sz="4" w:space="0"/>
              <w:left w:val="single" w:color="auto" w:sz="4" w:space="0"/>
              <w:bottom w:val="doub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要介護５</w:t>
            </w:r>
          </w:p>
        </w:tc>
        <w:tc>
          <w:tcPr>
            <w:tcW w:w="827"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00" w:lineRule="exact"/>
              <w:jc w:val="right"/>
              <w:rPr>
                <w:rFonts w:hint="default"/>
                <w:color w:val="auto"/>
                <w:highlight w:val="none"/>
              </w:rPr>
            </w:pPr>
            <w:r>
              <w:rPr>
                <w:rFonts w:hint="default" w:ascii="ＭＳ Ｐゴシック" w:hAnsi="ＭＳ Ｐゴシック" w:eastAsia="ＭＳ Ｐゴシック"/>
                <w:color w:val="auto"/>
                <w:sz w:val="18"/>
                <w:highlight w:val="none"/>
              </w:rPr>
              <w:t>503</w:t>
            </w:r>
          </w:p>
        </w:tc>
        <w:tc>
          <w:tcPr>
            <w:tcW w:w="82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497 </w:t>
            </w:r>
          </w:p>
        </w:tc>
        <w:tc>
          <w:tcPr>
            <w:tcW w:w="827"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98.8%</w:t>
            </w:r>
          </w:p>
        </w:tc>
        <w:tc>
          <w:tcPr>
            <w:tcW w:w="827"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51</w:t>
            </w:r>
            <w:r>
              <w:rPr>
                <w:rFonts w:hint="default" w:ascii="ＭＳ Ｐゴシック" w:hAnsi="ＭＳ Ｐゴシック" w:eastAsia="ＭＳ Ｐゴシック"/>
                <w:color w:val="auto"/>
                <w:sz w:val="18"/>
                <w:highlight w:val="none"/>
              </w:rPr>
              <w:t>9</w:t>
            </w:r>
            <w:r>
              <w:rPr>
                <w:rFonts w:hint="eastAsia" w:ascii="ＭＳ Ｐゴシック" w:hAnsi="ＭＳ Ｐゴシック" w:eastAsia="ＭＳ Ｐゴシック"/>
                <w:color w:val="auto"/>
                <w:sz w:val="18"/>
                <w:highlight w:val="none"/>
              </w:rPr>
              <w:t xml:space="preserve"> </w:t>
            </w:r>
          </w:p>
        </w:tc>
        <w:tc>
          <w:tcPr>
            <w:tcW w:w="82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513 </w:t>
            </w:r>
          </w:p>
        </w:tc>
        <w:tc>
          <w:tcPr>
            <w:tcW w:w="827"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98.8%</w:t>
            </w:r>
          </w:p>
        </w:tc>
        <w:tc>
          <w:tcPr>
            <w:tcW w:w="827"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5</w:t>
            </w:r>
            <w:r>
              <w:rPr>
                <w:rFonts w:hint="default" w:ascii="ＭＳ Ｐゴシック" w:hAnsi="ＭＳ Ｐゴシック" w:eastAsia="ＭＳ Ｐゴシック"/>
                <w:color w:val="auto"/>
                <w:sz w:val="18"/>
                <w:highlight w:val="none"/>
              </w:rPr>
              <w:t>32</w:t>
            </w:r>
            <w:r>
              <w:rPr>
                <w:rFonts w:hint="eastAsia" w:ascii="ＭＳ Ｐゴシック" w:hAnsi="ＭＳ Ｐゴシック" w:eastAsia="ＭＳ Ｐゴシック"/>
                <w:color w:val="auto"/>
                <w:sz w:val="18"/>
                <w:highlight w:val="none"/>
              </w:rPr>
              <w:t xml:space="preserve"> </w:t>
            </w:r>
          </w:p>
        </w:tc>
        <w:tc>
          <w:tcPr>
            <w:tcW w:w="827" w:type="dxa"/>
            <w:tcBorders>
              <w:top w:val="nil"/>
              <w:left w:val="single" w:color="auto" w:sz="4" w:space="0"/>
              <w:bottom w:val="single" w:color="auto" w:sz="4" w:space="0"/>
              <w:right w:val="nil"/>
              <w:tl2br w:val="none" w:color="auto" w:sz="0" w:space="0"/>
              <w:tr2bl w:val="none" w:color="auto" w:sz="0" w:space="0"/>
            </w:tcBorders>
            <w:shd w:val="clear" w:color="auto" w:fill="auto"/>
            <w:vAlign w:val="center"/>
          </w:tcPr>
          <w:p>
            <w:pPr>
              <w:pStyle w:val="0"/>
              <w:spacing w:line="20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 xml:space="preserve">561 </w:t>
            </w:r>
          </w:p>
        </w:tc>
        <w:tc>
          <w:tcPr>
            <w:tcW w:w="827"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105.5%</w:t>
            </w:r>
          </w:p>
        </w:tc>
      </w:tr>
      <w:tr>
        <w:trPr>
          <w:trHeight w:val="369" w:hRule="exact"/>
        </w:trPr>
        <w:tc>
          <w:tcPr>
            <w:tcW w:w="1629" w:type="dxa"/>
            <w:tcBorders>
              <w:top w:val="doub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計</w:t>
            </w:r>
          </w:p>
        </w:tc>
        <w:tc>
          <w:tcPr>
            <w:tcW w:w="827"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6,441</w:t>
            </w:r>
          </w:p>
        </w:tc>
        <w:tc>
          <w:tcPr>
            <w:tcW w:w="827"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6,</w:t>
            </w:r>
            <w:r>
              <w:rPr>
                <w:rFonts w:hint="eastAsia" w:ascii="ＭＳ Ｐゴシック" w:hAnsi="ＭＳ Ｐゴシック" w:eastAsia="ＭＳ Ｐゴシック"/>
                <w:color w:val="auto"/>
                <w:sz w:val="18"/>
                <w:highlight w:val="none"/>
              </w:rPr>
              <w:t>536</w:t>
            </w:r>
          </w:p>
        </w:tc>
        <w:tc>
          <w:tcPr>
            <w:tcW w:w="827"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101.5%</w:t>
            </w:r>
          </w:p>
        </w:tc>
        <w:tc>
          <w:tcPr>
            <w:tcW w:w="827"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6,646</w:t>
            </w:r>
          </w:p>
        </w:tc>
        <w:tc>
          <w:tcPr>
            <w:tcW w:w="827"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6,640</w:t>
            </w:r>
          </w:p>
        </w:tc>
        <w:tc>
          <w:tcPr>
            <w:tcW w:w="827"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99.9.%</w:t>
            </w:r>
          </w:p>
        </w:tc>
        <w:tc>
          <w:tcPr>
            <w:tcW w:w="827"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6,826</w:t>
            </w:r>
          </w:p>
        </w:tc>
        <w:tc>
          <w:tcPr>
            <w:tcW w:w="827"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6,669</w:t>
            </w:r>
          </w:p>
        </w:tc>
        <w:tc>
          <w:tcPr>
            <w:tcW w:w="827"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autoSpaceDE w:val="0"/>
              <w:autoSpaceDN w:val="0"/>
              <w:spacing w:line="200" w:lineRule="exact"/>
              <w:jc w:val="righ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t>97.7%</w:t>
            </w:r>
          </w:p>
        </w:tc>
      </w:tr>
    </w:tbl>
    <w:p>
      <w:pPr>
        <w:pStyle w:val="0"/>
        <w:autoSpaceDE w:val="0"/>
        <w:autoSpaceDN w:val="0"/>
        <w:spacing w:before="74" w:beforeLines="20" w:beforeAutospacing="0" w:line="240" w:lineRule="exact"/>
        <w:ind w:left="284" w:leftChars="129" w:right="-220" w:rightChars="-100"/>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資料：介護保険事業状況報告</w:t>
      </w:r>
      <w:r>
        <w:rPr>
          <w:rFonts w:hint="eastAsia" w:ascii="ＭＳ Ｐゴシック" w:hAnsi="ＭＳ Ｐゴシック" w:eastAsia="ＭＳ Ｐゴシック"/>
          <w:color w:val="auto"/>
          <w:sz w:val="18"/>
          <w:highlight w:val="none"/>
        </w:rPr>
        <w:t>9</w:t>
      </w:r>
      <w:r>
        <w:rPr>
          <w:rFonts w:hint="eastAsia" w:ascii="ＭＳ Ｐゴシック" w:hAnsi="ＭＳ Ｐゴシック" w:eastAsia="ＭＳ Ｐゴシック"/>
          <w:color w:val="auto"/>
          <w:sz w:val="18"/>
          <w:highlight w:val="none"/>
        </w:rPr>
        <w:t>月月報（各年度</w:t>
      </w:r>
      <w:r>
        <w:rPr>
          <w:rFonts w:hint="eastAsia" w:ascii="ＭＳ Ｐゴシック" w:hAnsi="ＭＳ Ｐゴシック" w:eastAsia="ＭＳ Ｐゴシック"/>
          <w:color w:val="auto"/>
          <w:sz w:val="18"/>
          <w:highlight w:val="none"/>
        </w:rPr>
        <w:t>9</w:t>
      </w:r>
      <w:r>
        <w:rPr>
          <w:rFonts w:hint="eastAsia" w:ascii="ＭＳ Ｐゴシック" w:hAnsi="ＭＳ Ｐゴシック" w:eastAsia="ＭＳ Ｐゴシック"/>
          <w:color w:val="auto"/>
          <w:sz w:val="18"/>
          <w:highlight w:val="none"/>
        </w:rPr>
        <w:t>月末現在）</w:t>
      </w:r>
    </w:p>
    <w:p>
      <w:pPr>
        <w:pStyle w:val="0"/>
        <w:autoSpaceDE w:val="0"/>
        <w:autoSpaceDN w:val="0"/>
        <w:spacing w:line="220" w:lineRule="exact"/>
        <w:ind w:left="284" w:leftChars="129"/>
        <w:jc w:val="right"/>
        <w:rPr>
          <w:rFonts w:hint="default" w:ascii="ＭＳ Ｐゴシック" w:hAnsi="ＭＳ Ｐゴシック" w:eastAsia="ＭＳ Ｐゴシック"/>
          <w:color w:val="auto"/>
          <w:sz w:val="18"/>
          <w:highlight w:val="none"/>
        </w:rPr>
      </w:pPr>
    </w:p>
    <w:p>
      <w:pPr>
        <w:pStyle w:val="0"/>
        <w:autoSpaceDE w:val="0"/>
        <w:autoSpaceDN w:val="0"/>
        <w:spacing w:line="220" w:lineRule="exact"/>
        <w:ind w:left="284" w:leftChars="129"/>
        <w:jc w:val="right"/>
        <w:rPr>
          <w:rFonts w:hint="default" w:ascii="ＭＳ Ｐゴシック" w:hAnsi="ＭＳ Ｐゴシック" w:eastAsia="ＭＳ Ｐゴシック"/>
          <w:color w:val="auto"/>
          <w:sz w:val="18"/>
          <w:highlight w:val="none"/>
        </w:rPr>
      </w:pPr>
    </w:p>
    <w:p>
      <w:pPr>
        <w:pStyle w:val="0"/>
        <w:autoSpaceDE w:val="0"/>
        <w:autoSpaceDN w:val="0"/>
        <w:spacing w:line="220" w:lineRule="exact"/>
        <w:ind w:left="284" w:leftChars="129"/>
        <w:jc w:val="right"/>
        <w:rPr>
          <w:rFonts w:hint="default" w:ascii="ＭＳ Ｐゴシック" w:hAnsi="ＭＳ Ｐゴシック" w:eastAsia="ＭＳ Ｐゴシック"/>
          <w:color w:val="auto"/>
          <w:sz w:val="18"/>
          <w:highlight w:val="none"/>
        </w:rPr>
      </w:pPr>
    </w:p>
    <w:p>
      <w:pPr>
        <w:pStyle w:val="0"/>
        <w:widowControl w:val="1"/>
        <w:jc w:val="left"/>
        <w:rPr>
          <w:rFonts w:hint="default" w:ascii="ＭＳ Ｐゴシック" w:hAnsi="ＭＳ Ｐゴシック" w:eastAsia="ＭＳ Ｐゴシック"/>
          <w:color w:val="auto"/>
          <w:sz w:val="18"/>
          <w:highlight w:val="none"/>
        </w:rPr>
      </w:pPr>
      <w:r>
        <w:rPr>
          <w:rFonts w:hint="default" w:ascii="ＭＳ Ｐゴシック" w:hAnsi="ＭＳ Ｐゴシック" w:eastAsia="ＭＳ Ｐゴシック"/>
          <w:color w:val="auto"/>
          <w:sz w:val="18"/>
          <w:highlight w:val="none"/>
        </w:rPr>
        <w:br w:type="page"/>
      </w:r>
    </w:p>
    <w:p>
      <w:pPr>
        <w:pStyle w:val="30"/>
        <w:autoSpaceDE w:val="0"/>
        <w:autoSpaceDN w:val="0"/>
        <w:spacing w:after="76" w:afterLines="0" w:afterAutospacing="0"/>
        <w:rPr>
          <w:rFonts w:hint="default"/>
          <w:color w:val="auto"/>
          <w:highlight w:val="none"/>
        </w:rPr>
      </w:pPr>
      <w:r>
        <w:rPr>
          <w:rFonts w:hint="eastAsia"/>
          <w:color w:val="auto"/>
          <w:highlight w:val="none"/>
        </w:rPr>
        <w:t>ウ　サービス別給付費</w:t>
      </w:r>
    </w:p>
    <w:p>
      <w:pPr>
        <w:pStyle w:val="0"/>
        <w:autoSpaceDE w:val="0"/>
        <w:autoSpaceDN w:val="0"/>
        <w:spacing w:line="380" w:lineRule="exact"/>
        <w:ind w:left="660" w:leftChars="300" w:firstLine="218" w:firstLineChars="100"/>
        <w:rPr>
          <w:rFonts w:hint="default"/>
          <w:color w:val="auto"/>
          <w:spacing w:val="-2"/>
          <w:highlight w:val="none"/>
        </w:rPr>
      </w:pPr>
      <w:r>
        <w:rPr>
          <w:rFonts w:hint="eastAsia"/>
          <w:color w:val="auto"/>
          <w:spacing w:val="-2"/>
          <w:highlight w:val="none"/>
        </w:rPr>
        <w:t>認定者数は増加しましたが、新型コロナウイルス染症の影響もあり、サービスを控える傾向が見られました。</w:t>
      </w:r>
    </w:p>
    <w:p>
      <w:pPr>
        <w:pStyle w:val="0"/>
        <w:autoSpaceDE w:val="0"/>
        <w:autoSpaceDN w:val="0"/>
        <w:spacing w:before="185" w:beforeLines="50" w:beforeAutospacing="0" w:line="380" w:lineRule="exact"/>
        <w:ind w:left="284" w:leftChars="129"/>
        <w:jc w:val="center"/>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図表　介護予防給付費の計画値と実績</w:t>
      </w:r>
    </w:p>
    <w:p>
      <w:pPr>
        <w:pStyle w:val="0"/>
        <w:autoSpaceDE w:val="0"/>
        <w:autoSpaceDN w:val="0"/>
        <w:spacing w:line="220" w:lineRule="exact"/>
        <w:ind w:left="284" w:leftChars="129"/>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（単位：千円）</w:t>
      </w:r>
    </w:p>
    <w:tbl>
      <w:tblPr>
        <w:tblStyle w:val="11"/>
        <w:tblW w:w="9067" w:type="dxa"/>
        <w:tblInd w:w="0" w:type="dxa"/>
        <w:tblLayout w:type="fixed"/>
        <w:tblCellMar>
          <w:left w:w="99" w:type="dxa"/>
          <w:right w:w="99" w:type="dxa"/>
        </w:tblCellMar>
        <w:tblLook w:firstRow="1" w:lastRow="0" w:firstColumn="1" w:lastColumn="0" w:noHBand="0" w:noVBand="1" w:val="04A0"/>
      </w:tblPr>
      <w:tblGrid>
        <w:gridCol w:w="562"/>
        <w:gridCol w:w="2268"/>
        <w:gridCol w:w="1039"/>
        <w:gridCol w:w="1040"/>
        <w:gridCol w:w="1039"/>
        <w:gridCol w:w="1040"/>
        <w:gridCol w:w="1039"/>
        <w:gridCol w:w="1040"/>
      </w:tblGrid>
      <w:tr>
        <w:trPr>
          <w:trHeight w:val="283" w:hRule="atLeast"/>
        </w:trPr>
        <w:tc>
          <w:tcPr>
            <w:tcW w:w="2830" w:type="dxa"/>
            <w:gridSpan w:val="2"/>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20"/>
                <w:highlight w:val="none"/>
              </w:rPr>
            </w:pPr>
          </w:p>
        </w:tc>
        <w:tc>
          <w:tcPr>
            <w:tcW w:w="3118" w:type="dxa"/>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令和３（</w:t>
            </w:r>
            <w:r>
              <w:rPr>
                <w:rFonts w:hint="eastAsia" w:ascii="ＭＳ Ｐゴシック" w:hAnsi="ＭＳ Ｐゴシック" w:eastAsia="ＭＳ Ｐゴシック"/>
                <w:color w:val="auto"/>
                <w:kern w:val="0"/>
                <w:sz w:val="20"/>
                <w:highlight w:val="none"/>
              </w:rPr>
              <w:t>2021</w:t>
            </w:r>
            <w:r>
              <w:rPr>
                <w:rFonts w:hint="eastAsia" w:ascii="ＭＳ Ｐゴシック" w:hAnsi="ＭＳ Ｐゴシック" w:eastAsia="ＭＳ Ｐゴシック"/>
                <w:color w:val="auto"/>
                <w:kern w:val="0"/>
                <w:sz w:val="20"/>
                <w:highlight w:val="none"/>
              </w:rPr>
              <w:t>）年度</w:t>
            </w:r>
          </w:p>
        </w:tc>
        <w:tc>
          <w:tcPr>
            <w:tcW w:w="3119" w:type="dxa"/>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令和４（</w:t>
            </w:r>
            <w:r>
              <w:rPr>
                <w:rFonts w:hint="eastAsia" w:ascii="ＭＳ Ｐゴシック" w:hAnsi="ＭＳ Ｐゴシック" w:eastAsia="ＭＳ Ｐゴシック"/>
                <w:color w:val="auto"/>
                <w:kern w:val="0"/>
                <w:sz w:val="20"/>
                <w:highlight w:val="none"/>
              </w:rPr>
              <w:t>2022</w:t>
            </w:r>
            <w:r>
              <w:rPr>
                <w:rFonts w:hint="eastAsia" w:ascii="ＭＳ Ｐゴシック" w:hAnsi="ＭＳ Ｐゴシック" w:eastAsia="ＭＳ Ｐゴシック"/>
                <w:color w:val="auto"/>
                <w:kern w:val="0"/>
                <w:sz w:val="20"/>
                <w:highlight w:val="none"/>
              </w:rPr>
              <w:t>）年度</w:t>
            </w:r>
          </w:p>
        </w:tc>
      </w:tr>
      <w:tr>
        <w:trPr>
          <w:trHeight w:val="402" w:hRule="atLeast"/>
        </w:trPr>
        <w:tc>
          <w:tcPr>
            <w:tcW w:w="2830" w:type="dxa"/>
            <w:gridSpan w:val="2"/>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left"/>
              <w:rPr>
                <w:rFonts w:hint="default" w:ascii="ＭＳ Ｐゴシック" w:hAnsi="ＭＳ Ｐゴシック" w:eastAsia="ＭＳ Ｐゴシック"/>
                <w:color w:val="000000"/>
                <w:kern w:val="0"/>
                <w:sz w:val="20"/>
              </w:rPr>
            </w:pP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第</w:t>
            </w:r>
            <w:r>
              <w:rPr>
                <w:rFonts w:hint="eastAsia" w:ascii="ＭＳ Ｐゴシック" w:hAnsi="ＭＳ Ｐゴシック" w:eastAsia="ＭＳ Ｐゴシック"/>
                <w:color w:val="auto"/>
                <w:kern w:val="0"/>
                <w:sz w:val="20"/>
                <w:highlight w:val="none"/>
              </w:rPr>
              <w:t>8</w:t>
            </w:r>
            <w:r>
              <w:rPr>
                <w:rFonts w:hint="eastAsia" w:ascii="ＭＳ Ｐゴシック" w:hAnsi="ＭＳ Ｐゴシック" w:eastAsia="ＭＳ Ｐゴシック"/>
                <w:color w:val="auto"/>
                <w:kern w:val="0"/>
                <w:sz w:val="20"/>
                <w:highlight w:val="none"/>
              </w:rPr>
              <w:t>期</w:t>
            </w:r>
          </w:p>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計画値</w:t>
            </w:r>
          </w:p>
        </w:tc>
        <w:tc>
          <w:tcPr>
            <w:tcW w:w="1040" w:type="dxa"/>
            <w:tcBorders>
              <w:top w:val="nil"/>
              <w:left w:val="nil"/>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実績値</w:t>
            </w: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対計画値</w:t>
            </w:r>
          </w:p>
        </w:tc>
        <w:tc>
          <w:tcPr>
            <w:tcW w:w="1040" w:type="dxa"/>
            <w:tcBorders>
              <w:top w:val="nil"/>
              <w:left w:val="nil"/>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第</w:t>
            </w:r>
            <w:r>
              <w:rPr>
                <w:rFonts w:hint="eastAsia" w:ascii="ＭＳ Ｐゴシック" w:hAnsi="ＭＳ Ｐゴシック" w:eastAsia="ＭＳ Ｐゴシック"/>
                <w:color w:val="auto"/>
                <w:kern w:val="0"/>
                <w:sz w:val="20"/>
                <w:highlight w:val="none"/>
              </w:rPr>
              <w:t>8</w:t>
            </w:r>
            <w:r>
              <w:rPr>
                <w:rFonts w:hint="eastAsia" w:ascii="ＭＳ Ｐゴシック" w:hAnsi="ＭＳ Ｐゴシック" w:eastAsia="ＭＳ Ｐゴシック"/>
                <w:color w:val="auto"/>
                <w:kern w:val="0"/>
                <w:sz w:val="20"/>
                <w:highlight w:val="none"/>
              </w:rPr>
              <w:t>期</w:t>
            </w:r>
          </w:p>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計画値</w:t>
            </w: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実績値</w:t>
            </w:r>
          </w:p>
        </w:tc>
        <w:tc>
          <w:tcPr>
            <w:tcW w:w="1040" w:type="dxa"/>
            <w:tcBorders>
              <w:top w:val="nil"/>
              <w:left w:val="nil"/>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対計画値</w:t>
            </w:r>
          </w:p>
        </w:tc>
      </w:tr>
      <w:tr>
        <w:trPr>
          <w:cantSplit/>
          <w:trHeight w:val="340" w:hRule="atLeast"/>
        </w:trPr>
        <w:tc>
          <w:tcPr>
            <w:tcW w:w="562"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textDirection w:val="tbRlV"/>
            <w:vAlign w:val="center"/>
          </w:tcPr>
          <w:p>
            <w:pPr>
              <w:pStyle w:val="0"/>
              <w:widowControl w:val="1"/>
              <w:autoSpaceDE w:val="0"/>
              <w:autoSpaceDN w:val="0"/>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介護予防サービス</w:t>
            </w:r>
          </w:p>
        </w:tc>
        <w:tc>
          <w:tcPr>
            <w:tcW w:w="226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訪問介護</w:t>
            </w:r>
          </w:p>
        </w:tc>
        <w:tc>
          <w:tcPr>
            <w:tcW w:w="103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p>
        </w:tc>
        <w:tc>
          <w:tcPr>
            <w:tcW w:w="103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p>
        </w:tc>
        <w:tc>
          <w:tcPr>
            <w:tcW w:w="103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p>
        </w:tc>
      </w:tr>
      <w:tr>
        <w:trPr>
          <w:cantSplit/>
          <w:trHeight w:val="340" w:hRule="atLeast"/>
        </w:trPr>
        <w:tc>
          <w:tcPr>
            <w:tcW w:w="562"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spacing w:line="220" w:lineRule="exact"/>
              <w:jc w:val="left"/>
              <w:rPr>
                <w:rFonts w:hint="default" w:ascii="ＭＳ Ｐゴシック" w:hAnsi="ＭＳ Ｐゴシック" w:eastAsia="ＭＳ Ｐゴシック"/>
                <w:color w:val="000000"/>
                <w:kern w:val="0"/>
                <w:sz w:val="20"/>
              </w:rPr>
            </w:pPr>
          </w:p>
        </w:tc>
        <w:tc>
          <w:tcPr>
            <w:tcW w:w="226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訪問入浴介護</w:t>
            </w: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kern w:val="0"/>
                <w:sz w:val="20"/>
                <w:highlight w:val="none"/>
              </w:rPr>
              <w:t xml:space="preserve"> </w:t>
            </w:r>
          </w:p>
        </w:tc>
        <w:tc>
          <w:tcPr>
            <w:tcW w:w="10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0</w:t>
            </w: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sz w:val="20"/>
                <w:highlight w:val="none"/>
              </w:rPr>
              <w:t>-</w:t>
            </w:r>
          </w:p>
        </w:tc>
        <w:tc>
          <w:tcPr>
            <w:tcW w:w="10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kern w:val="0"/>
                <w:sz w:val="20"/>
                <w:highlight w:val="none"/>
              </w:rPr>
              <w:t xml:space="preserve">  </w:t>
            </w: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 xml:space="preserve">19 </w:t>
            </w:r>
          </w:p>
        </w:tc>
        <w:tc>
          <w:tcPr>
            <w:tcW w:w="10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sz w:val="20"/>
                <w:highlight w:val="none"/>
              </w:rPr>
              <w:t>-</w:t>
            </w:r>
          </w:p>
        </w:tc>
      </w:tr>
      <w:tr>
        <w:trPr>
          <w:cantSplit/>
          <w:trHeight w:val="340" w:hRule="atLeast"/>
        </w:trPr>
        <w:tc>
          <w:tcPr>
            <w:tcW w:w="562"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spacing w:line="220" w:lineRule="exact"/>
              <w:jc w:val="left"/>
              <w:rPr>
                <w:rFonts w:hint="default" w:ascii="ＭＳ Ｐゴシック" w:hAnsi="ＭＳ Ｐゴシック" w:eastAsia="ＭＳ Ｐゴシック"/>
                <w:color w:val="000000"/>
                <w:kern w:val="0"/>
                <w:sz w:val="20"/>
              </w:rPr>
            </w:pPr>
          </w:p>
        </w:tc>
        <w:tc>
          <w:tcPr>
            <w:tcW w:w="226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訪問看護</w:t>
            </w: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sz w:val="20"/>
                <w:highlight w:val="none"/>
              </w:rPr>
              <w:t>52,567</w:t>
            </w:r>
            <w:r>
              <w:rPr>
                <w:rFonts w:hint="eastAsia" w:ascii="ＭＳ Ｐゴシック" w:hAnsi="ＭＳ Ｐゴシック" w:eastAsia="ＭＳ Ｐゴシック"/>
                <w:color w:val="auto"/>
                <w:kern w:val="0"/>
                <w:sz w:val="20"/>
                <w:highlight w:val="none"/>
              </w:rPr>
              <w:t xml:space="preserve"> </w:t>
            </w:r>
          </w:p>
        </w:tc>
        <w:tc>
          <w:tcPr>
            <w:tcW w:w="10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53,033 </w:t>
            </w:r>
          </w:p>
        </w:tc>
        <w:tc>
          <w:tcPr>
            <w:tcW w:w="103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100.9%</w:t>
            </w:r>
          </w:p>
        </w:tc>
        <w:tc>
          <w:tcPr>
            <w:tcW w:w="10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53,662</w:t>
            </w:r>
          </w:p>
        </w:tc>
        <w:tc>
          <w:tcPr>
            <w:tcW w:w="103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50,973 </w:t>
            </w:r>
          </w:p>
        </w:tc>
        <w:tc>
          <w:tcPr>
            <w:tcW w:w="10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95.0%</w:t>
            </w:r>
          </w:p>
        </w:tc>
      </w:tr>
      <w:tr>
        <w:trPr>
          <w:cantSplit/>
          <w:trHeight w:val="340" w:hRule="atLeast"/>
        </w:trPr>
        <w:tc>
          <w:tcPr>
            <w:tcW w:w="562"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spacing w:line="220" w:lineRule="exact"/>
              <w:jc w:val="left"/>
              <w:rPr>
                <w:rFonts w:hint="default" w:ascii="ＭＳ Ｐゴシック" w:hAnsi="ＭＳ Ｐゴシック" w:eastAsia="ＭＳ Ｐゴシック"/>
                <w:color w:val="000000"/>
                <w:kern w:val="0"/>
                <w:sz w:val="20"/>
              </w:rPr>
            </w:pPr>
          </w:p>
        </w:tc>
        <w:tc>
          <w:tcPr>
            <w:tcW w:w="226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訪問リハビリテーション</w:t>
            </w: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sz w:val="20"/>
                <w:highlight w:val="none"/>
              </w:rPr>
              <w:t>19,444</w:t>
            </w:r>
            <w:r>
              <w:rPr>
                <w:rFonts w:hint="eastAsia" w:ascii="ＭＳ Ｐゴシック" w:hAnsi="ＭＳ Ｐゴシック" w:eastAsia="ＭＳ Ｐゴシック"/>
                <w:color w:val="auto"/>
                <w:kern w:val="0"/>
                <w:sz w:val="20"/>
                <w:highlight w:val="none"/>
              </w:rPr>
              <w:t xml:space="preserve">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21,216 </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109.1%</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20,798</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17,433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83.8%</w:t>
            </w:r>
          </w:p>
        </w:tc>
      </w:tr>
      <w:tr>
        <w:trPr>
          <w:cantSplit/>
          <w:trHeight w:val="340" w:hRule="atLeast"/>
        </w:trPr>
        <w:tc>
          <w:tcPr>
            <w:tcW w:w="562"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spacing w:line="220" w:lineRule="exact"/>
              <w:jc w:val="left"/>
              <w:rPr>
                <w:rFonts w:hint="default" w:ascii="ＭＳ Ｐゴシック" w:hAnsi="ＭＳ Ｐゴシック" w:eastAsia="ＭＳ Ｐゴシック"/>
                <w:color w:val="000000"/>
                <w:kern w:val="0"/>
                <w:sz w:val="20"/>
              </w:rPr>
            </w:pPr>
          </w:p>
        </w:tc>
        <w:tc>
          <w:tcPr>
            <w:tcW w:w="226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居宅療養管理指導</w:t>
            </w: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9,339</w:t>
            </w:r>
            <w:r>
              <w:rPr>
                <w:rFonts w:hint="eastAsia" w:ascii="ＭＳ Ｐゴシック" w:hAnsi="ＭＳ Ｐゴシック" w:eastAsia="ＭＳ Ｐゴシック"/>
                <w:color w:val="auto"/>
                <w:kern w:val="0"/>
                <w:sz w:val="20"/>
                <w:highlight w:val="none"/>
              </w:rPr>
              <w:t xml:space="preserve">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9,345 </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100.1%</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9,597</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10,650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111.0%</w:t>
            </w:r>
          </w:p>
        </w:tc>
      </w:tr>
      <w:tr>
        <w:trPr>
          <w:cantSplit/>
          <w:trHeight w:val="340" w:hRule="atLeast"/>
        </w:trPr>
        <w:tc>
          <w:tcPr>
            <w:tcW w:w="562"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spacing w:line="220" w:lineRule="exact"/>
              <w:jc w:val="left"/>
              <w:rPr>
                <w:rFonts w:hint="default" w:ascii="ＭＳ Ｐゴシック" w:hAnsi="ＭＳ Ｐゴシック" w:eastAsia="ＭＳ Ｐゴシック"/>
                <w:color w:val="000000"/>
                <w:kern w:val="0"/>
                <w:sz w:val="20"/>
              </w:rPr>
            </w:pPr>
          </w:p>
        </w:tc>
        <w:tc>
          <w:tcPr>
            <w:tcW w:w="226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通所介護</w:t>
            </w:r>
          </w:p>
        </w:tc>
        <w:tc>
          <w:tcPr>
            <w:tcW w:w="103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p>
        </w:tc>
        <w:tc>
          <w:tcPr>
            <w:tcW w:w="103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p>
        </w:tc>
        <w:tc>
          <w:tcPr>
            <w:tcW w:w="103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p>
        </w:tc>
      </w:tr>
      <w:tr>
        <w:trPr>
          <w:cantSplit/>
          <w:trHeight w:val="340" w:hRule="atLeast"/>
        </w:trPr>
        <w:tc>
          <w:tcPr>
            <w:tcW w:w="562"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spacing w:line="220" w:lineRule="exact"/>
              <w:jc w:val="left"/>
              <w:rPr>
                <w:rFonts w:hint="default" w:ascii="ＭＳ Ｐゴシック" w:hAnsi="ＭＳ Ｐゴシック" w:eastAsia="ＭＳ Ｐゴシック"/>
                <w:color w:val="000000"/>
                <w:kern w:val="0"/>
                <w:sz w:val="20"/>
              </w:rPr>
            </w:pPr>
          </w:p>
        </w:tc>
        <w:tc>
          <w:tcPr>
            <w:tcW w:w="226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通所リハビリテーション</w:t>
            </w: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sz w:val="20"/>
                <w:highlight w:val="none"/>
              </w:rPr>
              <w:t>87,454</w:t>
            </w:r>
            <w:r>
              <w:rPr>
                <w:rFonts w:hint="eastAsia" w:ascii="ＭＳ Ｐゴシック" w:hAnsi="ＭＳ Ｐゴシック" w:eastAsia="ＭＳ Ｐゴシック"/>
                <w:color w:val="auto"/>
                <w:kern w:val="0"/>
                <w:sz w:val="20"/>
                <w:highlight w:val="none"/>
              </w:rPr>
              <w:t xml:space="preserve"> </w:t>
            </w:r>
          </w:p>
        </w:tc>
        <w:tc>
          <w:tcPr>
            <w:tcW w:w="10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97,227 </w:t>
            </w:r>
          </w:p>
        </w:tc>
        <w:tc>
          <w:tcPr>
            <w:tcW w:w="103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111.2%</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89,221</w:t>
            </w:r>
          </w:p>
        </w:tc>
        <w:tc>
          <w:tcPr>
            <w:tcW w:w="103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99,131 </w:t>
            </w:r>
          </w:p>
        </w:tc>
        <w:tc>
          <w:tcPr>
            <w:tcW w:w="10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111.1%</w:t>
            </w:r>
          </w:p>
        </w:tc>
      </w:tr>
      <w:tr>
        <w:trPr>
          <w:cantSplit/>
          <w:trHeight w:val="340" w:hRule="atLeast"/>
        </w:trPr>
        <w:tc>
          <w:tcPr>
            <w:tcW w:w="562"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spacing w:line="220" w:lineRule="exact"/>
              <w:jc w:val="left"/>
              <w:rPr>
                <w:rFonts w:hint="default" w:ascii="ＭＳ Ｐゴシック" w:hAnsi="ＭＳ Ｐゴシック" w:eastAsia="ＭＳ Ｐゴシック"/>
                <w:color w:val="000000"/>
                <w:kern w:val="0"/>
                <w:sz w:val="20"/>
              </w:rPr>
            </w:pPr>
          </w:p>
        </w:tc>
        <w:tc>
          <w:tcPr>
            <w:tcW w:w="226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短期入所生活介護</w:t>
            </w: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sz w:val="20"/>
                <w:highlight w:val="none"/>
              </w:rPr>
              <w:t>7,399</w:t>
            </w:r>
            <w:r>
              <w:rPr>
                <w:rFonts w:hint="eastAsia" w:ascii="ＭＳ Ｐゴシック" w:hAnsi="ＭＳ Ｐゴシック" w:eastAsia="ＭＳ Ｐゴシック"/>
                <w:color w:val="auto"/>
                <w:kern w:val="0"/>
                <w:sz w:val="20"/>
                <w:highlight w:val="none"/>
              </w:rPr>
              <w:t xml:space="preserve">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6,409 </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86.6%</w:t>
            </w:r>
          </w:p>
        </w:tc>
        <w:tc>
          <w:tcPr>
            <w:tcW w:w="10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7,404</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7,120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96.2%</w:t>
            </w:r>
          </w:p>
        </w:tc>
      </w:tr>
      <w:tr>
        <w:trPr>
          <w:cantSplit/>
          <w:trHeight w:val="340" w:hRule="atLeast"/>
        </w:trPr>
        <w:tc>
          <w:tcPr>
            <w:tcW w:w="562"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spacing w:line="220" w:lineRule="exact"/>
              <w:jc w:val="left"/>
              <w:rPr>
                <w:rFonts w:hint="default" w:ascii="ＭＳ Ｐゴシック" w:hAnsi="ＭＳ Ｐゴシック" w:eastAsia="ＭＳ Ｐゴシック"/>
                <w:color w:val="000000"/>
                <w:kern w:val="0"/>
                <w:sz w:val="20"/>
              </w:rPr>
            </w:pPr>
          </w:p>
        </w:tc>
        <w:tc>
          <w:tcPr>
            <w:tcW w:w="226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left"/>
              <w:rPr>
                <w:rFonts w:hint="default" w:ascii="ＭＳ Ｐゴシック" w:hAnsi="ＭＳ Ｐゴシック" w:eastAsia="ＭＳ Ｐゴシック"/>
                <w:color w:val="auto"/>
                <w:w w:val="90"/>
                <w:kern w:val="0"/>
                <w:sz w:val="20"/>
                <w:highlight w:val="none"/>
              </w:rPr>
            </w:pPr>
            <w:r>
              <w:rPr>
                <w:rFonts w:hint="eastAsia" w:ascii="ＭＳ Ｐゴシック" w:hAnsi="ＭＳ Ｐゴシック" w:eastAsia="ＭＳ Ｐゴシック"/>
                <w:color w:val="auto"/>
                <w:w w:val="90"/>
                <w:kern w:val="0"/>
                <w:sz w:val="20"/>
                <w:highlight w:val="none"/>
              </w:rPr>
              <w:t>短期入所療養介護（老健）</w:t>
            </w: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 xml:space="preserve">531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95 </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17.9%</w:t>
            </w:r>
          </w:p>
        </w:tc>
        <w:tc>
          <w:tcPr>
            <w:tcW w:w="10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532</w:t>
            </w:r>
            <w:r>
              <w:rPr>
                <w:rFonts w:hint="eastAsia" w:ascii="ＭＳ Ｐゴシック" w:hAnsi="ＭＳ Ｐゴシック" w:eastAsia="ＭＳ Ｐゴシック"/>
                <w:color w:val="auto"/>
                <w:kern w:val="0"/>
                <w:sz w:val="20"/>
                <w:highlight w:val="none"/>
              </w:rPr>
              <w:t xml:space="preserve"> </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14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2.6%</w:t>
            </w:r>
          </w:p>
        </w:tc>
      </w:tr>
      <w:tr>
        <w:trPr>
          <w:cantSplit/>
          <w:trHeight w:val="340" w:hRule="atLeast"/>
        </w:trPr>
        <w:tc>
          <w:tcPr>
            <w:tcW w:w="562"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spacing w:line="220" w:lineRule="exact"/>
              <w:jc w:val="left"/>
              <w:rPr>
                <w:rFonts w:hint="default" w:ascii="ＭＳ Ｐゴシック" w:hAnsi="ＭＳ Ｐゴシック" w:eastAsia="ＭＳ Ｐゴシック"/>
                <w:color w:val="000000"/>
                <w:kern w:val="0"/>
                <w:sz w:val="20"/>
              </w:rPr>
            </w:pPr>
          </w:p>
        </w:tc>
        <w:tc>
          <w:tcPr>
            <w:tcW w:w="226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ind w:right="-110" w:rightChars="-50"/>
              <w:jc w:val="left"/>
              <w:rPr>
                <w:rFonts w:hint="default" w:ascii="ＭＳ Ｐゴシック" w:hAnsi="ＭＳ Ｐゴシック" w:eastAsia="ＭＳ Ｐゴシック"/>
                <w:color w:val="auto"/>
                <w:w w:val="90"/>
                <w:kern w:val="0"/>
                <w:sz w:val="20"/>
                <w:highlight w:val="none"/>
              </w:rPr>
            </w:pPr>
            <w:r>
              <w:rPr>
                <w:rFonts w:hint="eastAsia" w:ascii="ＭＳ Ｐゴシック" w:hAnsi="ＭＳ Ｐゴシック" w:eastAsia="ＭＳ Ｐゴシック"/>
                <w:color w:val="auto"/>
                <w:w w:val="90"/>
                <w:kern w:val="0"/>
                <w:sz w:val="20"/>
                <w:highlight w:val="none"/>
              </w:rPr>
              <w:t>短期入所療養介護（病院等）</w:t>
            </w:r>
          </w:p>
        </w:tc>
        <w:tc>
          <w:tcPr>
            <w:tcW w:w="103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103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p>
        </w:tc>
        <w:tc>
          <w:tcPr>
            <w:tcW w:w="103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p>
        </w:tc>
      </w:tr>
      <w:tr>
        <w:trPr>
          <w:cantSplit/>
          <w:trHeight w:val="340" w:hRule="atLeast"/>
        </w:trPr>
        <w:tc>
          <w:tcPr>
            <w:tcW w:w="562"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spacing w:line="220" w:lineRule="exact"/>
              <w:jc w:val="left"/>
              <w:rPr>
                <w:rFonts w:hint="default" w:ascii="ＭＳ Ｐゴシック" w:hAnsi="ＭＳ Ｐゴシック" w:eastAsia="ＭＳ Ｐゴシック"/>
                <w:color w:val="000000"/>
                <w:kern w:val="0"/>
                <w:sz w:val="20"/>
              </w:rPr>
            </w:pPr>
          </w:p>
        </w:tc>
        <w:tc>
          <w:tcPr>
            <w:tcW w:w="226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福祉用具貸与</w:t>
            </w: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sz w:val="20"/>
                <w:highlight w:val="none"/>
              </w:rPr>
              <w:t>85,135</w:t>
            </w:r>
            <w:r>
              <w:rPr>
                <w:rFonts w:hint="eastAsia" w:ascii="ＭＳ Ｐゴシック" w:hAnsi="ＭＳ Ｐゴシック" w:eastAsia="ＭＳ Ｐゴシック"/>
                <w:color w:val="auto"/>
                <w:kern w:val="0"/>
                <w:sz w:val="20"/>
                <w:highlight w:val="none"/>
              </w:rPr>
              <w:t xml:space="preserve"> </w:t>
            </w:r>
          </w:p>
        </w:tc>
        <w:tc>
          <w:tcPr>
            <w:tcW w:w="10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93,339 </w:t>
            </w:r>
          </w:p>
        </w:tc>
        <w:tc>
          <w:tcPr>
            <w:tcW w:w="103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109.6%</w:t>
            </w:r>
          </w:p>
        </w:tc>
        <w:tc>
          <w:tcPr>
            <w:tcW w:w="10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86,924</w:t>
            </w:r>
          </w:p>
        </w:tc>
        <w:tc>
          <w:tcPr>
            <w:tcW w:w="103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95,164 </w:t>
            </w:r>
          </w:p>
        </w:tc>
        <w:tc>
          <w:tcPr>
            <w:tcW w:w="10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109.5%</w:t>
            </w:r>
          </w:p>
        </w:tc>
      </w:tr>
      <w:tr>
        <w:trPr>
          <w:cantSplit/>
          <w:trHeight w:val="340" w:hRule="atLeast"/>
        </w:trPr>
        <w:tc>
          <w:tcPr>
            <w:tcW w:w="562"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spacing w:line="220" w:lineRule="exact"/>
              <w:jc w:val="left"/>
              <w:rPr>
                <w:rFonts w:hint="default" w:ascii="ＭＳ Ｐゴシック" w:hAnsi="ＭＳ Ｐゴシック" w:eastAsia="ＭＳ Ｐゴシック"/>
                <w:color w:val="000000"/>
                <w:kern w:val="0"/>
                <w:sz w:val="20"/>
              </w:rPr>
            </w:pPr>
          </w:p>
        </w:tc>
        <w:tc>
          <w:tcPr>
            <w:tcW w:w="226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福祉用具購入費</w:t>
            </w: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sz w:val="20"/>
                <w:highlight w:val="none"/>
              </w:rPr>
              <w:t>5,699</w:t>
            </w:r>
            <w:r>
              <w:rPr>
                <w:rFonts w:hint="eastAsia" w:ascii="ＭＳ Ｐゴシック" w:hAnsi="ＭＳ Ｐゴシック" w:eastAsia="ＭＳ Ｐゴシック"/>
                <w:color w:val="auto"/>
                <w:kern w:val="0"/>
                <w:sz w:val="20"/>
                <w:highlight w:val="none"/>
              </w:rPr>
              <w:t xml:space="preserve">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4,166 </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73.1%</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5,699</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4,550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79.8%</w:t>
            </w:r>
          </w:p>
        </w:tc>
      </w:tr>
      <w:tr>
        <w:trPr>
          <w:cantSplit/>
          <w:trHeight w:val="340" w:hRule="atLeast"/>
        </w:trPr>
        <w:tc>
          <w:tcPr>
            <w:tcW w:w="562"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spacing w:line="220" w:lineRule="exact"/>
              <w:jc w:val="left"/>
              <w:rPr>
                <w:rFonts w:hint="default" w:ascii="ＭＳ Ｐゴシック" w:hAnsi="ＭＳ Ｐゴシック" w:eastAsia="ＭＳ Ｐゴシック"/>
                <w:color w:val="000000"/>
                <w:kern w:val="0"/>
                <w:sz w:val="20"/>
              </w:rPr>
            </w:pPr>
          </w:p>
        </w:tc>
        <w:tc>
          <w:tcPr>
            <w:tcW w:w="226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住宅改修費</w:t>
            </w: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sz w:val="20"/>
                <w:highlight w:val="none"/>
              </w:rPr>
              <w:t>22,951</w:t>
            </w:r>
            <w:r>
              <w:rPr>
                <w:rFonts w:hint="eastAsia" w:ascii="ＭＳ Ｐゴシック" w:hAnsi="ＭＳ Ｐゴシック" w:eastAsia="ＭＳ Ｐゴシック"/>
                <w:color w:val="auto"/>
                <w:kern w:val="0"/>
                <w:sz w:val="20"/>
                <w:highlight w:val="none"/>
              </w:rPr>
              <w:t xml:space="preserve">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22,128 </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96.4%</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24,019</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21,099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87.8%</w:t>
            </w:r>
          </w:p>
        </w:tc>
      </w:tr>
      <w:tr>
        <w:trPr>
          <w:cantSplit/>
          <w:trHeight w:val="340" w:hRule="atLeast"/>
        </w:trPr>
        <w:tc>
          <w:tcPr>
            <w:tcW w:w="562"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spacing w:line="220" w:lineRule="exact"/>
              <w:jc w:val="left"/>
              <w:rPr>
                <w:rFonts w:hint="default" w:ascii="ＭＳ Ｐゴシック" w:hAnsi="ＭＳ Ｐゴシック" w:eastAsia="ＭＳ Ｐゴシック"/>
                <w:color w:val="000000"/>
                <w:kern w:val="0"/>
                <w:sz w:val="20"/>
              </w:rPr>
            </w:pPr>
          </w:p>
        </w:tc>
        <w:tc>
          <w:tcPr>
            <w:tcW w:w="226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left"/>
              <w:rPr>
                <w:rFonts w:hint="default" w:ascii="ＭＳ Ｐゴシック" w:hAnsi="ＭＳ Ｐゴシック" w:eastAsia="ＭＳ Ｐゴシック"/>
                <w:color w:val="auto"/>
                <w:w w:val="90"/>
                <w:kern w:val="0"/>
                <w:sz w:val="20"/>
                <w:highlight w:val="none"/>
              </w:rPr>
            </w:pPr>
            <w:r>
              <w:rPr>
                <w:rFonts w:hint="eastAsia" w:ascii="ＭＳ Ｐゴシック" w:hAnsi="ＭＳ Ｐゴシック" w:eastAsia="ＭＳ Ｐゴシック"/>
                <w:color w:val="auto"/>
                <w:w w:val="90"/>
                <w:kern w:val="0"/>
                <w:sz w:val="20"/>
                <w:highlight w:val="none"/>
              </w:rPr>
              <w:t>特定施設入居者生活介護</w:t>
            </w: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sz w:val="20"/>
                <w:highlight w:val="none"/>
              </w:rPr>
              <w:t>30,396</w:t>
            </w:r>
            <w:r>
              <w:rPr>
                <w:rFonts w:hint="eastAsia" w:ascii="ＭＳ Ｐゴシック" w:hAnsi="ＭＳ Ｐゴシック" w:eastAsia="ＭＳ Ｐゴシック"/>
                <w:color w:val="auto"/>
                <w:kern w:val="0"/>
                <w:sz w:val="20"/>
                <w:highlight w:val="none"/>
              </w:rPr>
              <w:t xml:space="preserve">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27,197 </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89.5%</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43,749</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36,402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83.2%</w:t>
            </w:r>
          </w:p>
        </w:tc>
      </w:tr>
      <w:tr>
        <w:trPr>
          <w:cantSplit/>
          <w:trHeight w:val="340" w:hRule="atLeast"/>
        </w:trPr>
        <w:tc>
          <w:tcPr>
            <w:tcW w:w="562"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spacing w:line="220" w:lineRule="exact"/>
              <w:jc w:val="left"/>
              <w:rPr>
                <w:rFonts w:hint="default" w:ascii="ＭＳ Ｐゴシック" w:hAnsi="ＭＳ Ｐゴシック" w:eastAsia="ＭＳ Ｐゴシック"/>
                <w:color w:val="000000"/>
                <w:kern w:val="0"/>
                <w:sz w:val="20"/>
              </w:rPr>
            </w:pPr>
          </w:p>
        </w:tc>
        <w:tc>
          <w:tcPr>
            <w:tcW w:w="2268"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介護予防支援</w:t>
            </w:r>
          </w:p>
        </w:tc>
        <w:tc>
          <w:tcPr>
            <w:tcW w:w="1039"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sz w:val="18"/>
                <w:highlight w:val="none"/>
              </w:rPr>
              <w:t>64,262</w:t>
            </w:r>
            <w:r>
              <w:rPr>
                <w:rFonts w:hint="eastAsia" w:ascii="ＭＳ Ｐゴシック" w:hAnsi="ＭＳ Ｐゴシック" w:eastAsia="ＭＳ Ｐゴシック"/>
                <w:color w:val="auto"/>
                <w:kern w:val="0"/>
                <w:sz w:val="20"/>
                <w:highlight w:val="none"/>
              </w:rPr>
              <w:t xml:space="preserve"> </w:t>
            </w:r>
          </w:p>
        </w:tc>
        <w:tc>
          <w:tcPr>
            <w:tcW w:w="1040"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 xml:space="preserve">66,655 </w:t>
            </w:r>
          </w:p>
        </w:tc>
        <w:tc>
          <w:tcPr>
            <w:tcW w:w="103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103.7%</w:t>
            </w:r>
          </w:p>
        </w:tc>
        <w:tc>
          <w:tcPr>
            <w:tcW w:w="1040"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65,676</w:t>
            </w:r>
          </w:p>
        </w:tc>
        <w:tc>
          <w:tcPr>
            <w:tcW w:w="1039"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 xml:space="preserve">69,135 </w:t>
            </w:r>
            <w:r>
              <w:rPr>
                <w:rFonts w:hint="eastAsia" w:ascii="ＭＳ Ｐゴシック" w:hAnsi="ＭＳ Ｐゴシック" w:eastAsia="ＭＳ Ｐゴシック"/>
                <w:color w:val="auto"/>
                <w:kern w:val="0"/>
                <w:sz w:val="20"/>
                <w:highlight w:val="none"/>
              </w:rPr>
              <w:t xml:space="preserve"> </w:t>
            </w:r>
          </w:p>
        </w:tc>
        <w:tc>
          <w:tcPr>
            <w:tcW w:w="1040"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105.3%</w:t>
            </w:r>
          </w:p>
        </w:tc>
      </w:tr>
      <w:tr>
        <w:trPr>
          <w:cantSplit/>
          <w:trHeight w:val="369" w:hRule="atLeast"/>
        </w:trPr>
        <w:tc>
          <w:tcPr>
            <w:tcW w:w="562"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spacing w:line="220" w:lineRule="exact"/>
              <w:jc w:val="left"/>
              <w:rPr>
                <w:rFonts w:hint="default" w:ascii="ＭＳ Ｐゴシック" w:hAnsi="ＭＳ Ｐゴシック" w:eastAsia="ＭＳ Ｐゴシック"/>
                <w:color w:val="000000"/>
                <w:kern w:val="0"/>
                <w:sz w:val="20"/>
              </w:rPr>
            </w:pPr>
          </w:p>
        </w:tc>
        <w:tc>
          <w:tcPr>
            <w:tcW w:w="2268"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計</w:t>
            </w:r>
          </w:p>
        </w:tc>
        <w:tc>
          <w:tcPr>
            <w:tcW w:w="1039"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399</w:t>
            </w:r>
            <w:r>
              <w:rPr>
                <w:rFonts w:hint="eastAsia" w:ascii="ＭＳ Ｐゴシック" w:hAnsi="ＭＳ Ｐゴシック" w:eastAsia="ＭＳ Ｐゴシック"/>
                <w:color w:val="auto"/>
                <w:kern w:val="0"/>
                <w:sz w:val="20"/>
                <w:highlight w:val="none"/>
              </w:rPr>
              <w:t>,</w:t>
            </w:r>
            <w:r>
              <w:rPr>
                <w:rFonts w:hint="default" w:ascii="ＭＳ Ｐゴシック" w:hAnsi="ＭＳ Ｐゴシック" w:eastAsia="ＭＳ Ｐゴシック"/>
                <w:color w:val="auto"/>
                <w:kern w:val="0"/>
                <w:sz w:val="20"/>
                <w:highlight w:val="none"/>
              </w:rPr>
              <w:t>169</w:t>
            </w:r>
            <w:r>
              <w:rPr>
                <w:rFonts w:hint="eastAsia" w:ascii="ＭＳ Ｐゴシック" w:hAnsi="ＭＳ Ｐゴシック" w:eastAsia="ＭＳ Ｐゴシック"/>
                <w:color w:val="auto"/>
                <w:kern w:val="0"/>
                <w:sz w:val="20"/>
                <w:highlight w:val="none"/>
              </w:rPr>
              <w:t xml:space="preserve"> </w:t>
            </w:r>
          </w:p>
        </w:tc>
        <w:tc>
          <w:tcPr>
            <w:tcW w:w="1040"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 xml:space="preserve">400,808 </w:t>
            </w:r>
            <w:r>
              <w:rPr>
                <w:rFonts w:hint="eastAsia" w:ascii="ＭＳ Ｐゴシック" w:hAnsi="ＭＳ Ｐゴシック" w:eastAsia="ＭＳ Ｐゴシック"/>
                <w:color w:val="auto"/>
                <w:kern w:val="0"/>
                <w:sz w:val="20"/>
                <w:highlight w:val="none"/>
              </w:rPr>
              <w:t xml:space="preserve"> </w:t>
            </w:r>
          </w:p>
        </w:tc>
        <w:tc>
          <w:tcPr>
            <w:tcW w:w="1039"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100.4%</w:t>
            </w:r>
          </w:p>
        </w:tc>
        <w:tc>
          <w:tcPr>
            <w:tcW w:w="1040"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421</w:t>
            </w:r>
            <w:r>
              <w:rPr>
                <w:rFonts w:hint="eastAsia" w:ascii="ＭＳ Ｐゴシック" w:hAnsi="ＭＳ Ｐゴシック" w:eastAsia="ＭＳ Ｐゴシック"/>
                <w:color w:val="auto"/>
                <w:kern w:val="0"/>
                <w:sz w:val="20"/>
                <w:highlight w:val="none"/>
              </w:rPr>
              <w:t>,</w:t>
            </w:r>
            <w:r>
              <w:rPr>
                <w:rFonts w:hint="default" w:ascii="ＭＳ Ｐゴシック" w:hAnsi="ＭＳ Ｐゴシック" w:eastAsia="ＭＳ Ｐゴシック"/>
                <w:color w:val="auto"/>
                <w:kern w:val="0"/>
                <w:sz w:val="20"/>
                <w:highlight w:val="none"/>
              </w:rPr>
              <w:t>573</w:t>
            </w:r>
            <w:r>
              <w:rPr>
                <w:rFonts w:hint="eastAsia" w:ascii="ＭＳ Ｐゴシック" w:hAnsi="ＭＳ Ｐゴシック" w:eastAsia="ＭＳ Ｐゴシック"/>
                <w:color w:val="auto"/>
                <w:kern w:val="0"/>
                <w:sz w:val="20"/>
                <w:highlight w:val="none"/>
              </w:rPr>
              <w:t xml:space="preserve"> </w:t>
            </w:r>
          </w:p>
        </w:tc>
        <w:tc>
          <w:tcPr>
            <w:tcW w:w="1039"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 xml:space="preserve">411,690 </w:t>
            </w:r>
            <w:r>
              <w:rPr>
                <w:rFonts w:hint="eastAsia" w:ascii="ＭＳ Ｐゴシック" w:hAnsi="ＭＳ Ｐゴシック" w:eastAsia="ＭＳ Ｐゴシック"/>
                <w:color w:val="auto"/>
                <w:kern w:val="0"/>
                <w:sz w:val="20"/>
                <w:highlight w:val="none"/>
              </w:rPr>
              <w:t xml:space="preserve"> </w:t>
            </w:r>
          </w:p>
        </w:tc>
        <w:tc>
          <w:tcPr>
            <w:tcW w:w="1040"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97.7%</w:t>
            </w:r>
          </w:p>
        </w:tc>
      </w:tr>
      <w:tr>
        <w:trPr>
          <w:cantSplit/>
          <w:trHeight w:val="340" w:hRule="atLeast"/>
        </w:trPr>
        <w:tc>
          <w:tcPr>
            <w:tcW w:w="562"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textDirection w:val="tbRlV"/>
            <w:vAlign w:val="center"/>
          </w:tcPr>
          <w:p>
            <w:pPr>
              <w:pStyle w:val="0"/>
              <w:widowControl w:val="1"/>
              <w:autoSpaceDE w:val="0"/>
              <w:autoSpaceDN w:val="0"/>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18"/>
                <w:highlight w:val="none"/>
              </w:rPr>
              <w:t>地域密着型介護予防サービス</w:t>
            </w:r>
          </w:p>
        </w:tc>
        <w:tc>
          <w:tcPr>
            <w:tcW w:w="226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認知症対応型通所介護</w:t>
            </w: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sz w:val="18"/>
                <w:highlight w:val="none"/>
              </w:rPr>
              <w:t>4,303</w:t>
            </w:r>
            <w:r>
              <w:rPr>
                <w:rFonts w:hint="eastAsia" w:ascii="ＭＳ Ｐゴシック" w:hAnsi="ＭＳ Ｐゴシック" w:eastAsia="ＭＳ Ｐゴシック"/>
                <w:color w:val="auto"/>
                <w:kern w:val="0"/>
                <w:sz w:val="20"/>
                <w:highlight w:val="none"/>
              </w:rPr>
              <w:t xml:space="preserve"> </w:t>
            </w:r>
          </w:p>
        </w:tc>
        <w:tc>
          <w:tcPr>
            <w:tcW w:w="10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1,771 </w:t>
            </w:r>
          </w:p>
        </w:tc>
        <w:tc>
          <w:tcPr>
            <w:tcW w:w="103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41.2%</w:t>
            </w:r>
          </w:p>
        </w:tc>
        <w:tc>
          <w:tcPr>
            <w:tcW w:w="10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4,305</w:t>
            </w:r>
          </w:p>
        </w:tc>
        <w:tc>
          <w:tcPr>
            <w:tcW w:w="103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437 </w:t>
            </w:r>
          </w:p>
        </w:tc>
        <w:tc>
          <w:tcPr>
            <w:tcW w:w="10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10.2%</w:t>
            </w:r>
          </w:p>
        </w:tc>
      </w:tr>
      <w:tr>
        <w:trPr>
          <w:cantSplit/>
          <w:trHeight w:val="340" w:hRule="atLeast"/>
        </w:trPr>
        <w:tc>
          <w:tcPr>
            <w:tcW w:w="562"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spacing w:line="220" w:lineRule="exact"/>
              <w:jc w:val="left"/>
              <w:rPr>
                <w:rFonts w:hint="default" w:ascii="ＭＳ Ｐゴシック" w:hAnsi="ＭＳ Ｐゴシック" w:eastAsia="ＭＳ Ｐゴシック"/>
                <w:color w:val="000000"/>
                <w:kern w:val="0"/>
                <w:sz w:val="20"/>
              </w:rPr>
            </w:pPr>
          </w:p>
        </w:tc>
        <w:tc>
          <w:tcPr>
            <w:tcW w:w="226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left"/>
              <w:rPr>
                <w:rFonts w:hint="default" w:ascii="ＭＳ Ｐゴシック" w:hAnsi="ＭＳ Ｐゴシック" w:eastAsia="ＭＳ Ｐゴシック"/>
                <w:color w:val="auto"/>
                <w:w w:val="90"/>
                <w:kern w:val="0"/>
                <w:sz w:val="20"/>
                <w:highlight w:val="none"/>
              </w:rPr>
            </w:pPr>
            <w:r>
              <w:rPr>
                <w:rFonts w:hint="eastAsia" w:ascii="ＭＳ Ｐゴシック" w:hAnsi="ＭＳ Ｐゴシック" w:eastAsia="ＭＳ Ｐゴシック"/>
                <w:color w:val="auto"/>
                <w:w w:val="90"/>
                <w:kern w:val="0"/>
                <w:sz w:val="20"/>
                <w:highlight w:val="none"/>
              </w:rPr>
              <w:t>小規模多機能型居宅介護</w:t>
            </w: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sz w:val="18"/>
                <w:highlight w:val="none"/>
              </w:rPr>
              <w:t>7,253</w:t>
            </w:r>
            <w:r>
              <w:rPr>
                <w:rFonts w:hint="eastAsia" w:ascii="ＭＳ Ｐゴシック" w:hAnsi="ＭＳ Ｐゴシック" w:eastAsia="ＭＳ Ｐゴシック"/>
                <w:color w:val="auto"/>
                <w:kern w:val="0"/>
                <w:sz w:val="20"/>
                <w:highlight w:val="none"/>
              </w:rPr>
              <w:t xml:space="preserve">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7,825 </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107.9%</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7,257</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5,191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71.5%</w:t>
            </w:r>
          </w:p>
        </w:tc>
      </w:tr>
      <w:tr>
        <w:trPr>
          <w:cantSplit/>
          <w:trHeight w:val="340" w:hRule="atLeast"/>
        </w:trPr>
        <w:tc>
          <w:tcPr>
            <w:tcW w:w="562"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spacing w:line="220" w:lineRule="exact"/>
              <w:jc w:val="left"/>
              <w:rPr>
                <w:rFonts w:hint="default" w:ascii="ＭＳ Ｐゴシック" w:hAnsi="ＭＳ Ｐゴシック" w:eastAsia="ＭＳ Ｐゴシック"/>
                <w:color w:val="000000"/>
                <w:kern w:val="0"/>
                <w:sz w:val="20"/>
              </w:rPr>
            </w:pPr>
          </w:p>
        </w:tc>
        <w:tc>
          <w:tcPr>
            <w:tcW w:w="2268"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ind w:right="-110" w:rightChars="-50"/>
              <w:jc w:val="left"/>
              <w:rPr>
                <w:rFonts w:hint="default" w:ascii="ＭＳ Ｐゴシック" w:hAnsi="ＭＳ Ｐゴシック" w:eastAsia="ＭＳ Ｐゴシック"/>
                <w:color w:val="auto"/>
                <w:w w:val="90"/>
                <w:kern w:val="0"/>
                <w:sz w:val="20"/>
                <w:highlight w:val="none"/>
              </w:rPr>
            </w:pPr>
            <w:r>
              <w:rPr>
                <w:rFonts w:hint="eastAsia" w:ascii="ＭＳ Ｐゴシック" w:hAnsi="ＭＳ Ｐゴシック" w:eastAsia="ＭＳ Ｐゴシック"/>
                <w:color w:val="auto"/>
                <w:w w:val="90"/>
                <w:kern w:val="0"/>
                <w:sz w:val="20"/>
                <w:highlight w:val="none"/>
              </w:rPr>
              <w:t>認知症対応型共同生活介護</w:t>
            </w:r>
          </w:p>
        </w:tc>
        <w:tc>
          <w:tcPr>
            <w:tcW w:w="1039"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0</w:t>
            </w:r>
          </w:p>
        </w:tc>
        <w:tc>
          <w:tcPr>
            <w:tcW w:w="1040"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1,321 </w:t>
            </w:r>
          </w:p>
        </w:tc>
        <w:tc>
          <w:tcPr>
            <w:tcW w:w="1039"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p>
        </w:tc>
        <w:tc>
          <w:tcPr>
            <w:tcW w:w="1040"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000000" w:fill="FFFFFF"/>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tc>
        <w:tc>
          <w:tcPr>
            <w:tcW w:w="103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0 </w:t>
            </w:r>
          </w:p>
        </w:tc>
        <w:tc>
          <w:tcPr>
            <w:tcW w:w="1040"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p>
        </w:tc>
      </w:tr>
      <w:tr>
        <w:trPr>
          <w:cantSplit/>
          <w:trHeight w:val="369" w:hRule="atLeast"/>
        </w:trPr>
        <w:tc>
          <w:tcPr>
            <w:tcW w:w="562"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spacing w:line="220" w:lineRule="exact"/>
              <w:jc w:val="left"/>
              <w:rPr>
                <w:rFonts w:hint="default" w:ascii="ＭＳ Ｐゴシック" w:hAnsi="ＭＳ Ｐゴシック" w:eastAsia="ＭＳ Ｐゴシック"/>
                <w:color w:val="000000"/>
                <w:kern w:val="0"/>
                <w:sz w:val="20"/>
              </w:rPr>
            </w:pPr>
          </w:p>
        </w:tc>
        <w:tc>
          <w:tcPr>
            <w:tcW w:w="2268"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計</w:t>
            </w:r>
          </w:p>
        </w:tc>
        <w:tc>
          <w:tcPr>
            <w:tcW w:w="1039"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11,556</w:t>
            </w:r>
            <w:r>
              <w:rPr>
                <w:rFonts w:hint="eastAsia" w:ascii="ＭＳ Ｐゴシック" w:hAnsi="ＭＳ Ｐゴシック" w:eastAsia="ＭＳ Ｐゴシック"/>
                <w:color w:val="auto"/>
                <w:kern w:val="0"/>
                <w:sz w:val="20"/>
                <w:highlight w:val="none"/>
              </w:rPr>
              <w:t xml:space="preserve"> </w:t>
            </w:r>
          </w:p>
        </w:tc>
        <w:tc>
          <w:tcPr>
            <w:tcW w:w="1040"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 xml:space="preserve">10,916 </w:t>
            </w:r>
            <w:r>
              <w:rPr>
                <w:rFonts w:hint="eastAsia" w:ascii="ＭＳ Ｐゴシック" w:hAnsi="ＭＳ Ｐゴシック" w:eastAsia="ＭＳ Ｐゴシック"/>
                <w:color w:val="auto"/>
                <w:kern w:val="0"/>
                <w:sz w:val="20"/>
                <w:highlight w:val="none"/>
              </w:rPr>
              <w:t xml:space="preserve"> </w:t>
            </w:r>
          </w:p>
        </w:tc>
        <w:tc>
          <w:tcPr>
            <w:tcW w:w="1039"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94.5%</w:t>
            </w:r>
          </w:p>
        </w:tc>
        <w:tc>
          <w:tcPr>
            <w:tcW w:w="1040"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11</w:t>
            </w:r>
            <w:r>
              <w:rPr>
                <w:rFonts w:hint="eastAsia" w:ascii="ＭＳ Ｐゴシック" w:hAnsi="ＭＳ Ｐゴシック" w:eastAsia="ＭＳ Ｐゴシック"/>
                <w:color w:val="auto"/>
                <w:kern w:val="0"/>
                <w:sz w:val="20"/>
                <w:highlight w:val="none"/>
              </w:rPr>
              <w:t>,</w:t>
            </w:r>
            <w:r>
              <w:rPr>
                <w:rFonts w:hint="default" w:ascii="ＭＳ Ｐゴシック" w:hAnsi="ＭＳ Ｐゴシック" w:eastAsia="ＭＳ Ｐゴシック"/>
                <w:color w:val="auto"/>
                <w:kern w:val="0"/>
                <w:sz w:val="20"/>
                <w:highlight w:val="none"/>
              </w:rPr>
              <w:t>562</w:t>
            </w:r>
            <w:r>
              <w:rPr>
                <w:rFonts w:hint="eastAsia" w:ascii="ＭＳ Ｐゴシック" w:hAnsi="ＭＳ Ｐゴシック" w:eastAsia="ＭＳ Ｐゴシック"/>
                <w:color w:val="auto"/>
                <w:kern w:val="0"/>
                <w:sz w:val="20"/>
                <w:highlight w:val="none"/>
              </w:rPr>
              <w:t xml:space="preserve"> </w:t>
            </w:r>
          </w:p>
        </w:tc>
        <w:tc>
          <w:tcPr>
            <w:tcW w:w="1039"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 xml:space="preserve">5,627 </w:t>
            </w:r>
            <w:r>
              <w:rPr>
                <w:rFonts w:hint="eastAsia" w:ascii="ＭＳ Ｐゴシック" w:hAnsi="ＭＳ Ｐゴシック" w:eastAsia="ＭＳ Ｐゴシック"/>
                <w:color w:val="auto"/>
                <w:kern w:val="0"/>
                <w:sz w:val="20"/>
                <w:highlight w:val="none"/>
              </w:rPr>
              <w:t xml:space="preserve"> </w:t>
            </w:r>
          </w:p>
        </w:tc>
        <w:tc>
          <w:tcPr>
            <w:tcW w:w="1040"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48.7%</w:t>
            </w:r>
          </w:p>
        </w:tc>
      </w:tr>
    </w:tbl>
    <w:p>
      <w:pPr>
        <w:pStyle w:val="0"/>
        <w:autoSpaceDE w:val="0"/>
        <w:autoSpaceDN w:val="0"/>
        <w:spacing w:before="74" w:beforeLines="20" w:beforeAutospacing="0" w:line="240" w:lineRule="exact"/>
        <w:ind w:left="284" w:leftChars="129"/>
        <w:jc w:val="right"/>
        <w:rPr>
          <w:rFonts w:hint="default"/>
          <w:color w:val="auto"/>
          <w:sz w:val="18"/>
          <w:highlight w:val="none"/>
        </w:rPr>
      </w:pPr>
      <w:r>
        <w:rPr>
          <w:rFonts w:hint="eastAsia"/>
          <w:color w:val="auto"/>
          <w:sz w:val="18"/>
          <w:highlight w:val="none"/>
        </w:rPr>
        <w:t>資料：令和３年度介護保険事業状況報告年報・令和４年度介護保険事業状況報告月報合計</w:t>
      </w:r>
    </w:p>
    <w:p>
      <w:pPr>
        <w:pStyle w:val="0"/>
        <w:autoSpaceDE w:val="0"/>
        <w:autoSpaceDN w:val="0"/>
        <w:spacing w:line="260" w:lineRule="exact"/>
        <w:ind w:left="284" w:leftChars="129"/>
        <w:jc w:val="right"/>
        <w:rPr>
          <w:rFonts w:hint="default"/>
          <w:color w:val="auto"/>
          <w:sz w:val="18"/>
          <w:highlight w:val="none"/>
        </w:rPr>
      </w:pPr>
      <w:r>
        <w:rPr>
          <w:rFonts w:hint="eastAsia"/>
          <w:color w:val="auto"/>
          <w:sz w:val="18"/>
          <w:highlight w:val="none"/>
        </w:rPr>
        <w:t>※千円未満を四捨五入しているため、内訳の合計と計が一致しない場合がある</w:t>
      </w:r>
    </w:p>
    <w:p>
      <w:pPr>
        <w:pStyle w:val="0"/>
        <w:autoSpaceDE w:val="0"/>
        <w:autoSpaceDN w:val="0"/>
        <w:rPr>
          <w:rFonts w:hint="default" w:ascii="ＭＳ 明朝" w:hAnsi="ＭＳ 明朝" w:eastAsia="ＭＳ 明朝"/>
          <w:color w:val="auto"/>
          <w:highlight w:val="none"/>
        </w:rPr>
      </w:pPr>
    </w:p>
    <w:p>
      <w:pPr>
        <w:pStyle w:val="0"/>
        <w:widowControl w:val="1"/>
        <w:autoSpaceDE w:val="0"/>
        <w:autoSpaceDN w:val="0"/>
        <w:jc w:val="left"/>
        <w:rPr>
          <w:rFonts w:hint="default" w:ascii="ＭＳ 明朝" w:hAnsi="ＭＳ 明朝" w:eastAsia="ＭＳ 明朝"/>
          <w:color w:val="auto"/>
          <w:highlight w:val="none"/>
        </w:rPr>
      </w:pPr>
      <w:r>
        <w:rPr>
          <w:rFonts w:hint="default" w:ascii="ＭＳ 明朝" w:hAnsi="ＭＳ 明朝" w:eastAsia="ＭＳ 明朝"/>
          <w:color w:val="auto"/>
          <w:highlight w:val="none"/>
        </w:rPr>
        <w:br w:type="page"/>
      </w:r>
    </w:p>
    <w:p>
      <w:pPr>
        <w:pStyle w:val="0"/>
        <w:autoSpaceDE w:val="0"/>
        <w:autoSpaceDN w:val="0"/>
        <w:spacing w:before="185" w:beforeLines="50" w:beforeAutospacing="0" w:line="380" w:lineRule="exact"/>
        <w:ind w:left="284" w:leftChars="129"/>
        <w:jc w:val="center"/>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図表　介護給付費の計画値と実績</w:t>
      </w:r>
    </w:p>
    <w:p>
      <w:pPr>
        <w:pStyle w:val="0"/>
        <w:autoSpaceDE w:val="0"/>
        <w:autoSpaceDN w:val="0"/>
        <w:spacing w:line="220" w:lineRule="exact"/>
        <w:ind w:left="284" w:leftChars="129"/>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（単位：千円）</w:t>
      </w:r>
    </w:p>
    <w:tbl>
      <w:tblPr>
        <w:tblStyle w:val="11"/>
        <w:tblW w:w="9067" w:type="dxa"/>
        <w:tblInd w:w="0" w:type="dxa"/>
        <w:tblLayout w:type="fixed"/>
        <w:tblCellMar>
          <w:left w:w="99" w:type="dxa"/>
          <w:right w:w="99" w:type="dxa"/>
        </w:tblCellMar>
        <w:tblLook w:firstRow="1" w:lastRow="0" w:firstColumn="1" w:lastColumn="0" w:noHBand="0" w:noVBand="1" w:val="04A0"/>
      </w:tblPr>
      <w:tblGrid>
        <w:gridCol w:w="421"/>
        <w:gridCol w:w="2409"/>
        <w:gridCol w:w="1039"/>
        <w:gridCol w:w="1040"/>
        <w:gridCol w:w="1039"/>
        <w:gridCol w:w="1040"/>
        <w:gridCol w:w="1039"/>
        <w:gridCol w:w="1040"/>
      </w:tblGrid>
      <w:tr>
        <w:trPr>
          <w:trHeight w:val="283" w:hRule="atLeast"/>
        </w:trPr>
        <w:tc>
          <w:tcPr>
            <w:tcW w:w="2830" w:type="dxa"/>
            <w:gridSpan w:val="2"/>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autoSpaceDE w:val="0"/>
              <w:autoSpaceDN w:val="0"/>
              <w:jc w:val="center"/>
              <w:rPr>
                <w:rFonts w:hint="default" w:ascii="ＭＳ Ｐゴシック" w:hAnsi="ＭＳ Ｐゴシック" w:eastAsia="ＭＳ Ｐゴシック"/>
                <w:color w:val="auto"/>
                <w:kern w:val="0"/>
                <w:sz w:val="20"/>
                <w:highlight w:val="none"/>
              </w:rPr>
            </w:pPr>
          </w:p>
        </w:tc>
        <w:tc>
          <w:tcPr>
            <w:tcW w:w="3118" w:type="dxa"/>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令和３（</w:t>
            </w:r>
            <w:r>
              <w:rPr>
                <w:rFonts w:hint="eastAsia" w:ascii="ＭＳ Ｐゴシック" w:hAnsi="ＭＳ Ｐゴシック" w:eastAsia="ＭＳ Ｐゴシック"/>
                <w:color w:val="auto"/>
                <w:kern w:val="0"/>
                <w:sz w:val="20"/>
                <w:highlight w:val="none"/>
              </w:rPr>
              <w:t>2021</w:t>
            </w:r>
            <w:r>
              <w:rPr>
                <w:rFonts w:hint="eastAsia" w:ascii="ＭＳ Ｐゴシック" w:hAnsi="ＭＳ Ｐゴシック" w:eastAsia="ＭＳ Ｐゴシック"/>
                <w:color w:val="auto"/>
                <w:kern w:val="0"/>
                <w:sz w:val="20"/>
                <w:highlight w:val="none"/>
              </w:rPr>
              <w:t>）年度</w:t>
            </w:r>
          </w:p>
        </w:tc>
        <w:tc>
          <w:tcPr>
            <w:tcW w:w="3119" w:type="dxa"/>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令和４（</w:t>
            </w:r>
            <w:r>
              <w:rPr>
                <w:rFonts w:hint="eastAsia" w:ascii="ＭＳ Ｐゴシック" w:hAnsi="ＭＳ Ｐゴシック" w:eastAsia="ＭＳ Ｐゴシック"/>
                <w:color w:val="auto"/>
                <w:kern w:val="0"/>
                <w:sz w:val="20"/>
                <w:highlight w:val="none"/>
              </w:rPr>
              <w:t>2022</w:t>
            </w:r>
            <w:r>
              <w:rPr>
                <w:rFonts w:hint="eastAsia" w:ascii="ＭＳ Ｐゴシック" w:hAnsi="ＭＳ Ｐゴシック" w:eastAsia="ＭＳ Ｐゴシック"/>
                <w:color w:val="auto"/>
                <w:kern w:val="0"/>
                <w:sz w:val="20"/>
                <w:highlight w:val="none"/>
              </w:rPr>
              <w:t>）年度</w:t>
            </w:r>
          </w:p>
        </w:tc>
      </w:tr>
      <w:tr>
        <w:trPr>
          <w:trHeight w:val="402" w:hRule="atLeast"/>
        </w:trPr>
        <w:tc>
          <w:tcPr>
            <w:tcW w:w="2830" w:type="dxa"/>
            <w:gridSpan w:val="2"/>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第</w:t>
            </w:r>
            <w:r>
              <w:rPr>
                <w:rFonts w:hint="eastAsia" w:ascii="ＭＳ Ｐゴシック" w:hAnsi="ＭＳ Ｐゴシック" w:eastAsia="ＭＳ Ｐゴシック"/>
                <w:color w:val="auto"/>
                <w:kern w:val="0"/>
                <w:sz w:val="20"/>
                <w:highlight w:val="none"/>
              </w:rPr>
              <w:t>8</w:t>
            </w:r>
            <w:r>
              <w:rPr>
                <w:rFonts w:hint="eastAsia" w:ascii="ＭＳ Ｐゴシック" w:hAnsi="ＭＳ Ｐゴシック" w:eastAsia="ＭＳ Ｐゴシック"/>
                <w:color w:val="auto"/>
                <w:kern w:val="0"/>
                <w:sz w:val="20"/>
                <w:highlight w:val="none"/>
              </w:rPr>
              <w:t>期</w:t>
            </w:r>
          </w:p>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計画値</w:t>
            </w:r>
          </w:p>
        </w:tc>
        <w:tc>
          <w:tcPr>
            <w:tcW w:w="1040" w:type="dxa"/>
            <w:tcBorders>
              <w:top w:val="nil"/>
              <w:left w:val="nil"/>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実績値</w:t>
            </w: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対計画値</w:t>
            </w:r>
          </w:p>
        </w:tc>
        <w:tc>
          <w:tcPr>
            <w:tcW w:w="1040" w:type="dxa"/>
            <w:tcBorders>
              <w:top w:val="nil"/>
              <w:left w:val="nil"/>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第</w:t>
            </w:r>
            <w:r>
              <w:rPr>
                <w:rFonts w:hint="eastAsia" w:ascii="ＭＳ Ｐゴシック" w:hAnsi="ＭＳ Ｐゴシック" w:eastAsia="ＭＳ Ｐゴシック"/>
                <w:color w:val="auto"/>
                <w:kern w:val="0"/>
                <w:sz w:val="20"/>
                <w:highlight w:val="none"/>
              </w:rPr>
              <w:t>8</w:t>
            </w:r>
            <w:r>
              <w:rPr>
                <w:rFonts w:hint="eastAsia" w:ascii="ＭＳ Ｐゴシック" w:hAnsi="ＭＳ Ｐゴシック" w:eastAsia="ＭＳ Ｐゴシック"/>
                <w:color w:val="auto"/>
                <w:kern w:val="0"/>
                <w:sz w:val="20"/>
                <w:highlight w:val="none"/>
              </w:rPr>
              <w:t>期</w:t>
            </w:r>
          </w:p>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計画値</w:t>
            </w: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実績値</w:t>
            </w:r>
          </w:p>
        </w:tc>
        <w:tc>
          <w:tcPr>
            <w:tcW w:w="1040" w:type="dxa"/>
            <w:tcBorders>
              <w:top w:val="nil"/>
              <w:left w:val="nil"/>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対計画値</w:t>
            </w:r>
          </w:p>
        </w:tc>
      </w:tr>
      <w:tr>
        <w:trPr>
          <w:cantSplit/>
          <w:trHeight w:val="340" w:hRule="atLeast"/>
        </w:trPr>
        <w:tc>
          <w:tcPr>
            <w:tcW w:w="421"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textDirection w:val="tbRlV"/>
            <w:vAlign w:val="center"/>
          </w:tcPr>
          <w:p>
            <w:pPr>
              <w:pStyle w:val="0"/>
              <w:widowControl w:val="1"/>
              <w:autoSpaceDE w:val="0"/>
              <w:autoSpaceDN w:val="0"/>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居宅サービス</w:t>
            </w:r>
          </w:p>
        </w:tc>
        <w:tc>
          <w:tcPr>
            <w:tcW w:w="24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ind w:right="-110" w:rightChars="-50"/>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訪問介護</w:t>
            </w:r>
          </w:p>
        </w:tc>
        <w:tc>
          <w:tcPr>
            <w:tcW w:w="103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624,373</w:t>
            </w:r>
          </w:p>
        </w:tc>
        <w:tc>
          <w:tcPr>
            <w:tcW w:w="10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642,186 </w:t>
            </w:r>
          </w:p>
        </w:tc>
        <w:tc>
          <w:tcPr>
            <w:tcW w:w="103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102.9%</w:t>
            </w:r>
          </w:p>
        </w:tc>
        <w:tc>
          <w:tcPr>
            <w:tcW w:w="10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640,000</w:t>
            </w:r>
          </w:p>
        </w:tc>
        <w:tc>
          <w:tcPr>
            <w:tcW w:w="103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659,464 </w:t>
            </w:r>
          </w:p>
        </w:tc>
        <w:tc>
          <w:tcPr>
            <w:tcW w:w="10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103.0%</w:t>
            </w:r>
          </w:p>
        </w:tc>
      </w:tr>
      <w:tr>
        <w:trPr>
          <w:cantSplit/>
          <w:trHeight w:val="340" w:hRule="atLeast"/>
        </w:trPr>
        <w:tc>
          <w:tcPr>
            <w:tcW w:w="421"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4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ind w:right="-110" w:rightChars="-50"/>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訪問入浴介護</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31,681</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32,411 </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102.3%</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32,685</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33,877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103.6%</w:t>
            </w:r>
          </w:p>
        </w:tc>
      </w:tr>
      <w:tr>
        <w:trPr>
          <w:cantSplit/>
          <w:trHeight w:val="340" w:hRule="atLeast"/>
        </w:trPr>
        <w:tc>
          <w:tcPr>
            <w:tcW w:w="421"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4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ind w:right="-110" w:rightChars="-50"/>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訪問看護</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287,200</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343,290 </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119.5%</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291,358</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353,775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121.4%</w:t>
            </w:r>
          </w:p>
        </w:tc>
      </w:tr>
      <w:tr>
        <w:trPr>
          <w:cantSplit/>
          <w:trHeight w:val="340" w:hRule="atLeast"/>
        </w:trPr>
        <w:tc>
          <w:tcPr>
            <w:tcW w:w="421"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4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ind w:right="-110" w:rightChars="-50"/>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訪問リハビリテーション</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56,841</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58,937 </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103.7%</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58,817</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57,626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98.0%</w:t>
            </w:r>
          </w:p>
        </w:tc>
      </w:tr>
      <w:tr>
        <w:trPr>
          <w:cantSplit/>
          <w:trHeight w:val="340" w:hRule="atLeast"/>
        </w:trPr>
        <w:tc>
          <w:tcPr>
            <w:tcW w:w="421"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4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ind w:right="-110" w:rightChars="-50"/>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居宅療養管理指導</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80,203</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86,424 </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107.8%</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81,606</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98,094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120.2%</w:t>
            </w:r>
          </w:p>
        </w:tc>
      </w:tr>
      <w:tr>
        <w:trPr>
          <w:cantSplit/>
          <w:trHeight w:val="340" w:hRule="atLeast"/>
        </w:trPr>
        <w:tc>
          <w:tcPr>
            <w:tcW w:w="421"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4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ind w:right="-110" w:rightChars="-50"/>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通所介護</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841,212</w:t>
            </w:r>
          </w:p>
        </w:tc>
        <w:tc>
          <w:tcPr>
            <w:tcW w:w="10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825,278 </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98.1%</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850,696</w:t>
            </w:r>
          </w:p>
        </w:tc>
        <w:tc>
          <w:tcPr>
            <w:tcW w:w="103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843,429 </w:t>
            </w:r>
          </w:p>
        </w:tc>
        <w:tc>
          <w:tcPr>
            <w:tcW w:w="10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99.1%</w:t>
            </w:r>
          </w:p>
        </w:tc>
      </w:tr>
      <w:tr>
        <w:trPr>
          <w:cantSplit/>
          <w:trHeight w:val="340" w:hRule="atLeast"/>
        </w:trPr>
        <w:tc>
          <w:tcPr>
            <w:tcW w:w="421"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4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ind w:right="-110" w:rightChars="-50"/>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通所リハビリテーション</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380,703</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352,856 </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92.7%</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387,392</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324,213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83.7%</w:t>
            </w:r>
          </w:p>
        </w:tc>
      </w:tr>
      <w:tr>
        <w:trPr>
          <w:cantSplit/>
          <w:trHeight w:val="340" w:hRule="atLeast"/>
        </w:trPr>
        <w:tc>
          <w:tcPr>
            <w:tcW w:w="421"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4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ind w:right="-110" w:rightChars="-50"/>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短期入所生活介護</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456,763</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424,351 </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92.9%</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463,472</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402,818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86.9%</w:t>
            </w:r>
          </w:p>
        </w:tc>
      </w:tr>
      <w:tr>
        <w:trPr>
          <w:cantSplit/>
          <w:trHeight w:val="340" w:hRule="atLeast"/>
        </w:trPr>
        <w:tc>
          <w:tcPr>
            <w:tcW w:w="421"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4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ind w:right="-110" w:rightChars="-50"/>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短期入所療養介護（老健）</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49,176</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28,665 </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58.3%</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49,204</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30,294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61.6%</w:t>
            </w:r>
          </w:p>
        </w:tc>
      </w:tr>
      <w:tr>
        <w:trPr>
          <w:cantSplit/>
          <w:trHeight w:val="340" w:hRule="atLeast"/>
        </w:trPr>
        <w:tc>
          <w:tcPr>
            <w:tcW w:w="421"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4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ind w:right="-110" w:rightChars="-50"/>
              <w:jc w:val="left"/>
              <w:rPr>
                <w:rFonts w:hint="default" w:ascii="ＭＳ Ｐゴシック" w:hAnsi="ＭＳ Ｐゴシック" w:eastAsia="ＭＳ Ｐゴシック"/>
                <w:color w:val="auto"/>
                <w:w w:val="90"/>
                <w:kern w:val="0"/>
                <w:sz w:val="20"/>
                <w:highlight w:val="none"/>
              </w:rPr>
            </w:pPr>
            <w:r>
              <w:rPr>
                <w:rFonts w:hint="eastAsia" w:ascii="ＭＳ Ｐゴシック" w:hAnsi="ＭＳ Ｐゴシック" w:eastAsia="ＭＳ Ｐゴシック"/>
                <w:color w:val="auto"/>
                <w:w w:val="90"/>
                <w:kern w:val="0"/>
                <w:sz w:val="20"/>
                <w:highlight w:val="none"/>
              </w:rPr>
              <w:t>短期入所療養介護（病院等）</w:t>
            </w:r>
          </w:p>
        </w:tc>
        <w:tc>
          <w:tcPr>
            <w:tcW w:w="103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p>
        </w:tc>
        <w:tc>
          <w:tcPr>
            <w:tcW w:w="103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p>
        </w:tc>
        <w:tc>
          <w:tcPr>
            <w:tcW w:w="103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p>
        </w:tc>
      </w:tr>
      <w:tr>
        <w:trPr>
          <w:cantSplit/>
          <w:trHeight w:val="340" w:hRule="atLeast"/>
        </w:trPr>
        <w:tc>
          <w:tcPr>
            <w:tcW w:w="421"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4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ind w:right="-110" w:rightChars="-50"/>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福祉用具貸与</w:t>
            </w:r>
          </w:p>
        </w:tc>
        <w:tc>
          <w:tcPr>
            <w:tcW w:w="103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262,621</w:t>
            </w:r>
          </w:p>
        </w:tc>
        <w:tc>
          <w:tcPr>
            <w:tcW w:w="10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297,568 </w:t>
            </w:r>
          </w:p>
        </w:tc>
        <w:tc>
          <w:tcPr>
            <w:tcW w:w="103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113.3%</w:t>
            </w:r>
          </w:p>
        </w:tc>
        <w:tc>
          <w:tcPr>
            <w:tcW w:w="10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266,199</w:t>
            </w:r>
          </w:p>
        </w:tc>
        <w:tc>
          <w:tcPr>
            <w:tcW w:w="103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313,441 </w:t>
            </w:r>
          </w:p>
        </w:tc>
        <w:tc>
          <w:tcPr>
            <w:tcW w:w="10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117.7%</w:t>
            </w:r>
          </w:p>
        </w:tc>
      </w:tr>
      <w:tr>
        <w:trPr>
          <w:cantSplit/>
          <w:trHeight w:val="340" w:hRule="atLeast"/>
        </w:trPr>
        <w:tc>
          <w:tcPr>
            <w:tcW w:w="421"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4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ind w:right="-110" w:rightChars="-50"/>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福祉用具購入費</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12,563</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11,853 </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94.3%</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12,563</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11,328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90.2%</w:t>
            </w:r>
          </w:p>
        </w:tc>
      </w:tr>
      <w:tr>
        <w:trPr>
          <w:cantSplit/>
          <w:trHeight w:val="340" w:hRule="atLeast"/>
        </w:trPr>
        <w:tc>
          <w:tcPr>
            <w:tcW w:w="421"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4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ind w:right="-110" w:rightChars="-50"/>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住宅改修費</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35,910</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24,517 </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68.3%</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35,910</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21,318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59.4%</w:t>
            </w:r>
          </w:p>
        </w:tc>
      </w:tr>
      <w:tr>
        <w:trPr>
          <w:cantSplit/>
          <w:trHeight w:val="340" w:hRule="atLeast"/>
        </w:trPr>
        <w:tc>
          <w:tcPr>
            <w:tcW w:w="421"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4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ind w:right="-110" w:rightChars="-50"/>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特定施設入居者生活介護</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419,375</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448,928 </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107.0%</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606,280</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496,819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81.9%</w:t>
            </w:r>
          </w:p>
        </w:tc>
      </w:tr>
      <w:tr>
        <w:trPr>
          <w:cantSplit/>
          <w:trHeight w:val="340" w:hRule="atLeast"/>
        </w:trPr>
        <w:tc>
          <w:tcPr>
            <w:tcW w:w="421"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409"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ind w:right="-110" w:rightChars="-50"/>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居宅介護支援</w:t>
            </w:r>
          </w:p>
        </w:tc>
        <w:tc>
          <w:tcPr>
            <w:tcW w:w="103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000000" w:fill="FFFFFF"/>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409,709</w:t>
            </w:r>
          </w:p>
        </w:tc>
        <w:tc>
          <w:tcPr>
            <w:tcW w:w="1040"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 xml:space="preserve">446,009 </w:t>
            </w:r>
            <w:r>
              <w:rPr>
                <w:rFonts w:hint="eastAsia" w:ascii="ＭＳ Ｐゴシック" w:hAnsi="ＭＳ Ｐゴシック" w:eastAsia="ＭＳ Ｐゴシック"/>
                <w:color w:val="auto"/>
                <w:kern w:val="0"/>
                <w:sz w:val="20"/>
                <w:highlight w:val="none"/>
              </w:rPr>
              <w:t xml:space="preserve"> </w:t>
            </w:r>
          </w:p>
        </w:tc>
        <w:tc>
          <w:tcPr>
            <w:tcW w:w="103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108.9%</w:t>
            </w:r>
          </w:p>
        </w:tc>
        <w:tc>
          <w:tcPr>
            <w:tcW w:w="1040"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415,031</w:t>
            </w:r>
          </w:p>
        </w:tc>
        <w:tc>
          <w:tcPr>
            <w:tcW w:w="103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462,255 </w:t>
            </w:r>
          </w:p>
        </w:tc>
        <w:tc>
          <w:tcPr>
            <w:tcW w:w="1040"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111.4%</w:t>
            </w:r>
          </w:p>
        </w:tc>
      </w:tr>
      <w:tr>
        <w:trPr>
          <w:cantSplit/>
          <w:trHeight w:val="369" w:hRule="atLeast"/>
        </w:trPr>
        <w:tc>
          <w:tcPr>
            <w:tcW w:w="421"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409"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計</w:t>
            </w:r>
          </w:p>
        </w:tc>
        <w:tc>
          <w:tcPr>
            <w:tcW w:w="1039"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3,948,330</w:t>
            </w:r>
            <w:r>
              <w:rPr>
                <w:rFonts w:hint="eastAsia" w:ascii="ＭＳ Ｐゴシック" w:hAnsi="ＭＳ Ｐゴシック" w:eastAsia="ＭＳ Ｐゴシック"/>
                <w:color w:val="auto"/>
                <w:kern w:val="0"/>
                <w:sz w:val="20"/>
                <w:highlight w:val="none"/>
              </w:rPr>
              <w:t xml:space="preserve"> </w:t>
            </w:r>
          </w:p>
        </w:tc>
        <w:tc>
          <w:tcPr>
            <w:tcW w:w="1040"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 xml:space="preserve">4,023,270 </w:t>
            </w:r>
            <w:r>
              <w:rPr>
                <w:rFonts w:hint="eastAsia" w:ascii="ＭＳ Ｐゴシック" w:hAnsi="ＭＳ Ｐゴシック" w:eastAsia="ＭＳ Ｐゴシック"/>
                <w:color w:val="auto"/>
                <w:kern w:val="0"/>
                <w:sz w:val="20"/>
                <w:highlight w:val="none"/>
              </w:rPr>
              <w:t xml:space="preserve"> </w:t>
            </w:r>
          </w:p>
        </w:tc>
        <w:tc>
          <w:tcPr>
            <w:tcW w:w="103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101.9%</w:t>
            </w:r>
          </w:p>
        </w:tc>
        <w:tc>
          <w:tcPr>
            <w:tcW w:w="1040"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4,191,213</w:t>
            </w:r>
            <w:r>
              <w:rPr>
                <w:rFonts w:hint="eastAsia" w:ascii="ＭＳ Ｐゴシック" w:hAnsi="ＭＳ Ｐゴシック" w:eastAsia="ＭＳ Ｐゴシック"/>
                <w:color w:val="auto"/>
                <w:kern w:val="0"/>
                <w:sz w:val="20"/>
                <w:highlight w:val="none"/>
              </w:rPr>
              <w:t xml:space="preserve"> </w:t>
            </w:r>
          </w:p>
        </w:tc>
        <w:tc>
          <w:tcPr>
            <w:tcW w:w="1039"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 xml:space="preserve">4,108,750 </w:t>
            </w:r>
            <w:r>
              <w:rPr>
                <w:rFonts w:hint="eastAsia" w:ascii="ＭＳ Ｐゴシック" w:hAnsi="ＭＳ Ｐゴシック" w:eastAsia="ＭＳ Ｐゴシック"/>
                <w:color w:val="auto"/>
                <w:kern w:val="0"/>
                <w:sz w:val="20"/>
                <w:highlight w:val="none"/>
              </w:rPr>
              <w:t xml:space="preserve"> </w:t>
            </w:r>
          </w:p>
        </w:tc>
        <w:tc>
          <w:tcPr>
            <w:tcW w:w="1040"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98.0%</w:t>
            </w:r>
          </w:p>
        </w:tc>
      </w:tr>
      <w:tr>
        <w:trPr>
          <w:cantSplit/>
          <w:trHeight w:val="340" w:hRule="atLeast"/>
        </w:trPr>
        <w:tc>
          <w:tcPr>
            <w:tcW w:w="421"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textDirection w:val="tbRlV"/>
            <w:vAlign w:val="center"/>
          </w:tcPr>
          <w:p>
            <w:pPr>
              <w:pStyle w:val="0"/>
              <w:widowControl w:val="1"/>
              <w:autoSpaceDE w:val="0"/>
              <w:autoSpaceDN w:val="0"/>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地域密着型サービス</w:t>
            </w:r>
          </w:p>
        </w:tc>
        <w:tc>
          <w:tcPr>
            <w:tcW w:w="24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ind w:right="-110" w:rightChars="-50"/>
              <w:jc w:val="left"/>
              <w:rPr>
                <w:rFonts w:hint="default" w:ascii="ＭＳ Ｐゴシック" w:hAnsi="ＭＳ Ｐゴシック" w:eastAsia="ＭＳ Ｐゴシック"/>
                <w:color w:val="auto"/>
                <w:w w:val="70"/>
                <w:kern w:val="0"/>
                <w:sz w:val="20"/>
                <w:highlight w:val="none"/>
              </w:rPr>
            </w:pPr>
            <w:r>
              <w:rPr>
                <w:rFonts w:hint="eastAsia" w:ascii="ＭＳ Ｐゴシック" w:hAnsi="ＭＳ Ｐゴシック" w:eastAsia="ＭＳ Ｐゴシック"/>
                <w:color w:val="auto"/>
                <w:w w:val="70"/>
                <w:kern w:val="0"/>
                <w:sz w:val="20"/>
                <w:highlight w:val="none"/>
              </w:rPr>
              <w:t>定期巡回・随時対応型訪問介護看護</w:t>
            </w: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19,444</w:t>
            </w:r>
            <w:r>
              <w:rPr>
                <w:rFonts w:hint="eastAsia" w:ascii="ＭＳ Ｐゴシック" w:hAnsi="ＭＳ Ｐゴシック" w:eastAsia="ＭＳ Ｐゴシック"/>
                <w:color w:val="auto"/>
                <w:kern w:val="0"/>
                <w:sz w:val="20"/>
                <w:highlight w:val="none"/>
              </w:rPr>
              <w:t xml:space="preserve"> </w:t>
            </w:r>
          </w:p>
        </w:tc>
        <w:tc>
          <w:tcPr>
            <w:tcW w:w="10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36,180 </w:t>
            </w: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186.1%</w:t>
            </w:r>
          </w:p>
        </w:tc>
        <w:tc>
          <w:tcPr>
            <w:tcW w:w="10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19,455</w:t>
            </w:r>
            <w:r>
              <w:rPr>
                <w:rFonts w:hint="eastAsia" w:ascii="ＭＳ Ｐゴシック" w:hAnsi="ＭＳ Ｐゴシック" w:eastAsia="ＭＳ Ｐゴシック"/>
                <w:color w:val="auto"/>
                <w:kern w:val="0"/>
                <w:sz w:val="20"/>
                <w:highlight w:val="none"/>
              </w:rPr>
              <w:t xml:space="preserve"> </w:t>
            </w:r>
          </w:p>
        </w:tc>
        <w:tc>
          <w:tcPr>
            <w:tcW w:w="103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43,427 </w:t>
            </w:r>
          </w:p>
        </w:tc>
        <w:tc>
          <w:tcPr>
            <w:tcW w:w="10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223.2%</w:t>
            </w:r>
          </w:p>
        </w:tc>
      </w:tr>
      <w:tr>
        <w:trPr>
          <w:cantSplit/>
          <w:trHeight w:val="340" w:hRule="atLeast"/>
        </w:trPr>
        <w:tc>
          <w:tcPr>
            <w:tcW w:w="421"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4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ind w:right="-110" w:rightChars="-50"/>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夜間対応型訪問介護</w:t>
            </w:r>
          </w:p>
        </w:tc>
        <w:tc>
          <w:tcPr>
            <w:tcW w:w="103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388 </w:t>
            </w:r>
          </w:p>
        </w:tc>
        <w:tc>
          <w:tcPr>
            <w:tcW w:w="103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712 </w:t>
            </w:r>
          </w:p>
        </w:tc>
        <w:tc>
          <w:tcPr>
            <w:tcW w:w="10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p>
        </w:tc>
      </w:tr>
      <w:tr>
        <w:trPr>
          <w:cantSplit/>
          <w:trHeight w:val="340" w:hRule="atLeast"/>
        </w:trPr>
        <w:tc>
          <w:tcPr>
            <w:tcW w:w="421"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4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ind w:right="-110" w:rightChars="-50"/>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認知症対応型通所介護</w:t>
            </w:r>
          </w:p>
        </w:tc>
        <w:tc>
          <w:tcPr>
            <w:tcW w:w="103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97,662</w:t>
            </w:r>
          </w:p>
        </w:tc>
        <w:tc>
          <w:tcPr>
            <w:tcW w:w="10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92,871 </w:t>
            </w:r>
          </w:p>
        </w:tc>
        <w:tc>
          <w:tcPr>
            <w:tcW w:w="103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95.1%</w:t>
            </w:r>
          </w:p>
        </w:tc>
        <w:tc>
          <w:tcPr>
            <w:tcW w:w="10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99,362</w:t>
            </w:r>
          </w:p>
        </w:tc>
        <w:tc>
          <w:tcPr>
            <w:tcW w:w="103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103,508 </w:t>
            </w:r>
          </w:p>
        </w:tc>
        <w:tc>
          <w:tcPr>
            <w:tcW w:w="10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104.2%</w:t>
            </w:r>
          </w:p>
        </w:tc>
      </w:tr>
      <w:tr>
        <w:trPr>
          <w:cantSplit/>
          <w:trHeight w:val="340" w:hRule="atLeast"/>
        </w:trPr>
        <w:tc>
          <w:tcPr>
            <w:tcW w:w="421"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4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ind w:right="-110" w:rightChars="-50"/>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小規模多機能型居宅介護</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217,089</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202,486 </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93.3%</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223,708</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182,823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81.7%</w:t>
            </w:r>
          </w:p>
        </w:tc>
      </w:tr>
      <w:tr>
        <w:trPr>
          <w:cantSplit/>
          <w:trHeight w:val="340" w:hRule="atLeast"/>
        </w:trPr>
        <w:tc>
          <w:tcPr>
            <w:tcW w:w="421"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4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ind w:right="-110" w:rightChars="-50"/>
              <w:jc w:val="left"/>
              <w:rPr>
                <w:rFonts w:hint="default" w:ascii="ＭＳ Ｐゴシック" w:hAnsi="ＭＳ Ｐゴシック" w:eastAsia="ＭＳ Ｐゴシック"/>
                <w:color w:val="auto"/>
                <w:w w:val="90"/>
                <w:kern w:val="0"/>
                <w:sz w:val="20"/>
                <w:highlight w:val="none"/>
              </w:rPr>
            </w:pPr>
            <w:r>
              <w:rPr>
                <w:rFonts w:hint="eastAsia" w:ascii="ＭＳ Ｐゴシック" w:hAnsi="ＭＳ Ｐゴシック" w:eastAsia="ＭＳ Ｐゴシック"/>
                <w:color w:val="auto"/>
                <w:w w:val="90"/>
                <w:kern w:val="0"/>
                <w:sz w:val="20"/>
                <w:highlight w:val="none"/>
              </w:rPr>
              <w:t>認知症対応型共同生活介護</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528,305</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491,711 </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93.1%</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583,810</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486,805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83.4%</w:t>
            </w:r>
          </w:p>
        </w:tc>
      </w:tr>
      <w:tr>
        <w:trPr>
          <w:cantSplit/>
          <w:trHeight w:val="340" w:hRule="atLeast"/>
        </w:trPr>
        <w:tc>
          <w:tcPr>
            <w:tcW w:w="421"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4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ind w:right="-110" w:rightChars="-50"/>
              <w:jc w:val="left"/>
              <w:rPr>
                <w:rFonts w:hint="default" w:ascii="ＭＳ Ｐゴシック" w:hAnsi="ＭＳ Ｐゴシック" w:eastAsia="ＭＳ Ｐゴシック"/>
                <w:color w:val="auto"/>
                <w:w w:val="70"/>
                <w:kern w:val="0"/>
                <w:sz w:val="20"/>
                <w:highlight w:val="none"/>
              </w:rPr>
            </w:pPr>
            <w:r>
              <w:rPr>
                <w:rFonts w:hint="eastAsia" w:ascii="ＭＳ Ｐゴシック" w:hAnsi="ＭＳ Ｐゴシック" w:eastAsia="ＭＳ Ｐゴシック"/>
                <w:color w:val="auto"/>
                <w:w w:val="70"/>
                <w:kern w:val="0"/>
                <w:sz w:val="20"/>
                <w:highlight w:val="none"/>
              </w:rPr>
              <w:t>地域密着型特定施設入居者生活介護</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76,712</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73,107 </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95.3%</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76,754</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70,299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91.6%</w:t>
            </w:r>
          </w:p>
        </w:tc>
      </w:tr>
      <w:tr>
        <w:trPr>
          <w:cantSplit/>
          <w:trHeight w:val="340" w:hRule="atLeast"/>
        </w:trPr>
        <w:tc>
          <w:tcPr>
            <w:tcW w:w="421"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4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ind w:right="-110" w:rightChars="-50"/>
              <w:jc w:val="left"/>
              <w:rPr>
                <w:rFonts w:hint="default" w:ascii="ＭＳ Ｐゴシック" w:hAnsi="ＭＳ Ｐゴシック" w:eastAsia="ＭＳ Ｐゴシック"/>
                <w:color w:val="auto"/>
                <w:w w:val="90"/>
                <w:kern w:val="0"/>
                <w:sz w:val="20"/>
                <w:highlight w:val="none"/>
              </w:rPr>
            </w:pPr>
            <w:r>
              <w:rPr>
                <w:rFonts w:hint="eastAsia" w:ascii="ＭＳ Ｐゴシック" w:hAnsi="ＭＳ Ｐゴシック" w:eastAsia="ＭＳ Ｐゴシック"/>
                <w:color w:val="auto"/>
                <w:w w:val="90"/>
                <w:kern w:val="0"/>
                <w:sz w:val="20"/>
                <w:highlight w:val="none"/>
              </w:rPr>
              <w:t>地域密着型介護老人福祉施設入所者生活介護</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201,046</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198,667 </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98.8%</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201,157</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201,731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100.3%</w:t>
            </w:r>
          </w:p>
        </w:tc>
      </w:tr>
      <w:tr>
        <w:trPr>
          <w:cantSplit/>
          <w:trHeight w:val="340" w:hRule="atLeast"/>
        </w:trPr>
        <w:tc>
          <w:tcPr>
            <w:tcW w:w="421"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4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ind w:right="-110" w:rightChars="-50"/>
              <w:jc w:val="left"/>
              <w:rPr>
                <w:rFonts w:hint="default" w:ascii="ＭＳ Ｐゴシック" w:hAnsi="ＭＳ Ｐゴシック" w:eastAsia="ＭＳ Ｐゴシック"/>
                <w:color w:val="auto"/>
                <w:w w:val="85"/>
                <w:kern w:val="0"/>
                <w:sz w:val="20"/>
                <w:highlight w:val="none"/>
              </w:rPr>
            </w:pPr>
            <w:r>
              <w:rPr>
                <w:rFonts w:hint="eastAsia" w:ascii="ＭＳ Ｐゴシック" w:hAnsi="ＭＳ Ｐゴシック" w:eastAsia="ＭＳ Ｐゴシック"/>
                <w:color w:val="auto"/>
                <w:w w:val="85"/>
                <w:kern w:val="0"/>
                <w:sz w:val="20"/>
                <w:highlight w:val="none"/>
              </w:rPr>
              <w:t>看護小規模多機能型居宅介護</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85,872</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7,889 </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9.2%</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85,919</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48,209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56.1%</w:t>
            </w:r>
          </w:p>
        </w:tc>
      </w:tr>
      <w:tr>
        <w:trPr>
          <w:cantSplit/>
          <w:trHeight w:val="340" w:hRule="atLeast"/>
        </w:trPr>
        <w:tc>
          <w:tcPr>
            <w:tcW w:w="421"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409"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ind w:right="-110" w:rightChars="-50"/>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地域密着型通所介護</w:t>
            </w:r>
          </w:p>
        </w:tc>
        <w:tc>
          <w:tcPr>
            <w:tcW w:w="1039"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295,107</w:t>
            </w:r>
            <w:r>
              <w:rPr>
                <w:rFonts w:hint="eastAsia" w:ascii="ＭＳ Ｐゴシック" w:hAnsi="ＭＳ Ｐゴシック" w:eastAsia="ＭＳ Ｐゴシック"/>
                <w:color w:val="auto"/>
                <w:kern w:val="0"/>
                <w:sz w:val="20"/>
                <w:highlight w:val="none"/>
              </w:rPr>
              <w:t xml:space="preserve"> </w:t>
            </w:r>
          </w:p>
        </w:tc>
        <w:tc>
          <w:tcPr>
            <w:tcW w:w="1040"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 xml:space="preserve">300,463 </w:t>
            </w:r>
            <w:r>
              <w:rPr>
                <w:rFonts w:hint="eastAsia" w:ascii="ＭＳ Ｐゴシック" w:hAnsi="ＭＳ Ｐゴシック" w:eastAsia="ＭＳ Ｐゴシック"/>
                <w:color w:val="auto"/>
                <w:kern w:val="0"/>
                <w:sz w:val="20"/>
                <w:highlight w:val="none"/>
              </w:rPr>
              <w:t xml:space="preserve"> </w:t>
            </w:r>
          </w:p>
        </w:tc>
        <w:tc>
          <w:tcPr>
            <w:tcW w:w="103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101.8%</w:t>
            </w:r>
          </w:p>
        </w:tc>
        <w:tc>
          <w:tcPr>
            <w:tcW w:w="1040"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298,643</w:t>
            </w:r>
            <w:r>
              <w:rPr>
                <w:rFonts w:hint="eastAsia" w:ascii="ＭＳ Ｐゴシック" w:hAnsi="ＭＳ Ｐゴシック" w:eastAsia="ＭＳ Ｐゴシック"/>
                <w:color w:val="auto"/>
                <w:kern w:val="0"/>
                <w:sz w:val="20"/>
                <w:highlight w:val="none"/>
              </w:rPr>
              <w:t xml:space="preserve"> </w:t>
            </w:r>
          </w:p>
        </w:tc>
        <w:tc>
          <w:tcPr>
            <w:tcW w:w="1039"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 xml:space="preserve">329,214 </w:t>
            </w:r>
            <w:r>
              <w:rPr>
                <w:rFonts w:hint="eastAsia" w:ascii="ＭＳ Ｐゴシック" w:hAnsi="ＭＳ Ｐゴシック" w:eastAsia="ＭＳ Ｐゴシック"/>
                <w:color w:val="auto"/>
                <w:kern w:val="0"/>
                <w:sz w:val="20"/>
                <w:highlight w:val="none"/>
              </w:rPr>
              <w:t xml:space="preserve"> </w:t>
            </w:r>
          </w:p>
        </w:tc>
        <w:tc>
          <w:tcPr>
            <w:tcW w:w="1040"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110.2%</w:t>
            </w:r>
          </w:p>
        </w:tc>
      </w:tr>
      <w:tr>
        <w:trPr>
          <w:cantSplit/>
          <w:trHeight w:val="369" w:hRule="atLeast"/>
        </w:trPr>
        <w:tc>
          <w:tcPr>
            <w:tcW w:w="421"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409"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計</w:t>
            </w:r>
          </w:p>
        </w:tc>
        <w:tc>
          <w:tcPr>
            <w:tcW w:w="1039"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1,521,237</w:t>
            </w:r>
            <w:r>
              <w:rPr>
                <w:rFonts w:hint="eastAsia" w:ascii="ＭＳ Ｐゴシック" w:hAnsi="ＭＳ Ｐゴシック" w:eastAsia="ＭＳ Ｐゴシック"/>
                <w:color w:val="auto"/>
                <w:kern w:val="0"/>
                <w:sz w:val="20"/>
                <w:highlight w:val="none"/>
              </w:rPr>
              <w:t xml:space="preserve"> </w:t>
            </w:r>
          </w:p>
        </w:tc>
        <w:tc>
          <w:tcPr>
            <w:tcW w:w="1040"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 xml:space="preserve">1,403,762 </w:t>
            </w:r>
            <w:r>
              <w:rPr>
                <w:rFonts w:hint="eastAsia" w:ascii="ＭＳ Ｐゴシック" w:hAnsi="ＭＳ Ｐゴシック" w:eastAsia="ＭＳ Ｐゴシック"/>
                <w:color w:val="auto"/>
                <w:kern w:val="0"/>
                <w:sz w:val="20"/>
                <w:highlight w:val="none"/>
              </w:rPr>
              <w:t xml:space="preserve"> </w:t>
            </w:r>
          </w:p>
        </w:tc>
        <w:tc>
          <w:tcPr>
            <w:tcW w:w="103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92.3%</w:t>
            </w:r>
          </w:p>
        </w:tc>
        <w:tc>
          <w:tcPr>
            <w:tcW w:w="1040"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1,588,808</w:t>
            </w:r>
            <w:r>
              <w:rPr>
                <w:rFonts w:hint="eastAsia" w:ascii="ＭＳ Ｐゴシック" w:hAnsi="ＭＳ Ｐゴシック" w:eastAsia="ＭＳ Ｐゴシック"/>
                <w:color w:val="auto"/>
                <w:kern w:val="0"/>
                <w:sz w:val="20"/>
                <w:highlight w:val="none"/>
              </w:rPr>
              <w:t xml:space="preserve"> </w:t>
            </w:r>
          </w:p>
        </w:tc>
        <w:tc>
          <w:tcPr>
            <w:tcW w:w="1039"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20" w:lineRule="exact"/>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kern w:val="0"/>
                <w:sz w:val="20"/>
                <w:highlight w:val="none"/>
              </w:rPr>
              <w:t>1,466,727</w:t>
            </w:r>
          </w:p>
        </w:tc>
        <w:tc>
          <w:tcPr>
            <w:tcW w:w="1040"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92.3%</w:t>
            </w:r>
          </w:p>
        </w:tc>
      </w:tr>
      <w:tr>
        <w:trPr>
          <w:cantSplit/>
          <w:trHeight w:val="340" w:hRule="atLeast"/>
        </w:trPr>
        <w:tc>
          <w:tcPr>
            <w:tcW w:w="421"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textDirection w:val="tbRlV"/>
            <w:vAlign w:val="center"/>
          </w:tcPr>
          <w:p>
            <w:pPr>
              <w:pStyle w:val="0"/>
              <w:widowControl w:val="1"/>
              <w:autoSpaceDE w:val="0"/>
              <w:autoSpaceDN w:val="0"/>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施設サービス</w:t>
            </w:r>
          </w:p>
        </w:tc>
        <w:tc>
          <w:tcPr>
            <w:tcW w:w="240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jc w:val="lef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介護老人福祉施設</w:t>
            </w:r>
          </w:p>
        </w:tc>
        <w:tc>
          <w:tcPr>
            <w:tcW w:w="103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1,281,126</w:t>
            </w:r>
          </w:p>
        </w:tc>
        <w:tc>
          <w:tcPr>
            <w:tcW w:w="10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1,223,479 </w:t>
            </w:r>
          </w:p>
        </w:tc>
        <w:tc>
          <w:tcPr>
            <w:tcW w:w="103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95.5%</w:t>
            </w:r>
          </w:p>
        </w:tc>
        <w:tc>
          <w:tcPr>
            <w:tcW w:w="10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1,300,583</w:t>
            </w:r>
          </w:p>
        </w:tc>
        <w:tc>
          <w:tcPr>
            <w:tcW w:w="103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1,247,467 </w:t>
            </w:r>
          </w:p>
        </w:tc>
        <w:tc>
          <w:tcPr>
            <w:tcW w:w="10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95.9%</w:t>
            </w:r>
          </w:p>
        </w:tc>
      </w:tr>
      <w:tr>
        <w:trPr>
          <w:cantSplit/>
          <w:trHeight w:val="340" w:hRule="atLeast"/>
        </w:trPr>
        <w:tc>
          <w:tcPr>
            <w:tcW w:w="421"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40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lef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介護老人保健施設</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1,274,992</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1,207,750 </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94.7%</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1,292,384</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1,199,538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92.8%</w:t>
            </w:r>
          </w:p>
        </w:tc>
      </w:tr>
      <w:tr>
        <w:trPr>
          <w:cantSplit/>
          <w:trHeight w:val="340" w:hRule="atLeast"/>
        </w:trPr>
        <w:tc>
          <w:tcPr>
            <w:tcW w:w="421"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40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lef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介護医療院</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862,092</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446,196 </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51.8%</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861,137</w:t>
            </w:r>
          </w:p>
        </w:tc>
        <w:tc>
          <w:tcPr>
            <w:tcW w:w="103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624,195 </w:t>
            </w:r>
          </w:p>
        </w:tc>
        <w:tc>
          <w:tcPr>
            <w:tcW w:w="10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72.5%</w:t>
            </w:r>
          </w:p>
        </w:tc>
      </w:tr>
      <w:tr>
        <w:trPr>
          <w:cantSplit/>
          <w:trHeight w:val="340" w:hRule="atLeast"/>
        </w:trPr>
        <w:tc>
          <w:tcPr>
            <w:tcW w:w="421"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40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lef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介護療養型医療施設</w:t>
            </w:r>
          </w:p>
        </w:tc>
        <w:tc>
          <w:tcPr>
            <w:tcW w:w="103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000000" w:fill="FFFFFF"/>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51,734</w:t>
            </w:r>
          </w:p>
        </w:tc>
        <w:tc>
          <w:tcPr>
            <w:tcW w:w="1040"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244,824 </w:t>
            </w:r>
          </w:p>
        </w:tc>
        <w:tc>
          <w:tcPr>
            <w:tcW w:w="103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473.2%</w:t>
            </w:r>
          </w:p>
        </w:tc>
        <w:tc>
          <w:tcPr>
            <w:tcW w:w="1040"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51,763</w:t>
            </w:r>
          </w:p>
        </w:tc>
        <w:tc>
          <w:tcPr>
            <w:tcW w:w="103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 xml:space="preserve">61,308 </w:t>
            </w:r>
          </w:p>
        </w:tc>
        <w:tc>
          <w:tcPr>
            <w:tcW w:w="1040"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118.4%</w:t>
            </w:r>
          </w:p>
        </w:tc>
      </w:tr>
      <w:tr>
        <w:trPr>
          <w:cantSplit/>
          <w:trHeight w:val="369" w:hRule="atLeast"/>
        </w:trPr>
        <w:tc>
          <w:tcPr>
            <w:tcW w:w="421"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40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計</w:t>
            </w:r>
          </w:p>
        </w:tc>
        <w:tc>
          <w:tcPr>
            <w:tcW w:w="1039"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3,469,944</w:t>
            </w:r>
            <w:r>
              <w:rPr>
                <w:rFonts w:hint="eastAsia" w:ascii="ＭＳ Ｐゴシック" w:hAnsi="ＭＳ Ｐゴシック" w:eastAsia="ＭＳ Ｐゴシック"/>
                <w:color w:val="auto"/>
                <w:sz w:val="20"/>
                <w:highlight w:val="none"/>
              </w:rPr>
              <w:t xml:space="preserve"> </w:t>
            </w:r>
          </w:p>
        </w:tc>
        <w:tc>
          <w:tcPr>
            <w:tcW w:w="1040"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 xml:space="preserve">3,122,249 </w:t>
            </w:r>
            <w:r>
              <w:rPr>
                <w:rFonts w:hint="eastAsia" w:ascii="ＭＳ Ｐゴシック" w:hAnsi="ＭＳ Ｐゴシック" w:eastAsia="ＭＳ Ｐゴシック"/>
                <w:color w:val="auto"/>
                <w:sz w:val="20"/>
                <w:highlight w:val="none"/>
              </w:rPr>
              <w:t xml:space="preserve"> </w:t>
            </w:r>
          </w:p>
        </w:tc>
        <w:tc>
          <w:tcPr>
            <w:tcW w:w="103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90.0%</w:t>
            </w:r>
          </w:p>
        </w:tc>
        <w:tc>
          <w:tcPr>
            <w:tcW w:w="1040"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3,505,867</w:t>
            </w:r>
            <w:r>
              <w:rPr>
                <w:rFonts w:hint="eastAsia" w:ascii="ＭＳ Ｐゴシック" w:hAnsi="ＭＳ Ｐゴシック" w:eastAsia="ＭＳ Ｐゴシック"/>
                <w:color w:val="auto"/>
                <w:sz w:val="20"/>
                <w:highlight w:val="none"/>
              </w:rPr>
              <w:t xml:space="preserve"> </w:t>
            </w:r>
          </w:p>
        </w:tc>
        <w:tc>
          <w:tcPr>
            <w:tcW w:w="1039"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20" w:lineRule="exact"/>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 xml:space="preserve">3,132,507 </w:t>
            </w:r>
            <w:r>
              <w:rPr>
                <w:rFonts w:hint="eastAsia" w:ascii="ＭＳ Ｐゴシック" w:hAnsi="ＭＳ Ｐゴシック" w:eastAsia="ＭＳ Ｐゴシック"/>
                <w:color w:val="auto"/>
                <w:sz w:val="20"/>
                <w:highlight w:val="none"/>
              </w:rPr>
              <w:t xml:space="preserve"> </w:t>
            </w:r>
          </w:p>
        </w:tc>
        <w:tc>
          <w:tcPr>
            <w:tcW w:w="1040"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20" w:lineRule="exact"/>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89.4%</w:t>
            </w:r>
          </w:p>
        </w:tc>
      </w:tr>
    </w:tbl>
    <w:p>
      <w:pPr>
        <w:pStyle w:val="0"/>
        <w:autoSpaceDE w:val="0"/>
        <w:autoSpaceDN w:val="0"/>
        <w:spacing w:before="74" w:beforeLines="20" w:beforeAutospacing="0" w:line="240" w:lineRule="exact"/>
        <w:ind w:left="284" w:leftChars="129"/>
        <w:jc w:val="right"/>
        <w:rPr>
          <w:rFonts w:hint="default"/>
          <w:color w:val="auto"/>
          <w:sz w:val="18"/>
          <w:highlight w:val="none"/>
        </w:rPr>
      </w:pPr>
      <w:r>
        <w:rPr>
          <w:rFonts w:hint="eastAsia"/>
          <w:color w:val="auto"/>
          <w:sz w:val="18"/>
          <w:highlight w:val="none"/>
        </w:rPr>
        <w:t>資料：令和３年度介護保険事業状況報告年報・令和４年度介護保険事業状況報告月報合計</w:t>
      </w:r>
    </w:p>
    <w:p>
      <w:pPr>
        <w:pStyle w:val="0"/>
        <w:autoSpaceDE w:val="0"/>
        <w:autoSpaceDN w:val="0"/>
        <w:spacing w:line="260" w:lineRule="exact"/>
        <w:ind w:left="284" w:leftChars="129"/>
        <w:jc w:val="right"/>
        <w:rPr>
          <w:rFonts w:hint="default"/>
          <w:color w:val="auto"/>
          <w:sz w:val="18"/>
          <w:highlight w:val="none"/>
        </w:rPr>
      </w:pPr>
      <w:r>
        <w:rPr>
          <w:rFonts w:hint="eastAsia"/>
          <w:color w:val="auto"/>
          <w:sz w:val="18"/>
          <w:highlight w:val="none"/>
        </w:rPr>
        <w:t>※千円未満を四捨五入しているため、内訳の合計と計が一致しない場合がある</w:t>
      </w:r>
    </w:p>
    <w:p>
      <w:pPr>
        <w:pStyle w:val="0"/>
        <w:autoSpaceDE w:val="0"/>
        <w:autoSpaceDN w:val="0"/>
        <w:spacing w:line="260" w:lineRule="exact"/>
        <w:ind w:left="284" w:leftChars="129"/>
        <w:jc w:val="right"/>
        <w:rPr>
          <w:rFonts w:hint="default" w:ascii="ＭＳ 明朝" w:hAnsi="ＭＳ 明朝" w:eastAsia="ＭＳ 明朝"/>
          <w:color w:val="auto"/>
          <w:sz w:val="21"/>
          <w:highlight w:val="none"/>
        </w:rPr>
      </w:pPr>
      <w:r>
        <w:rPr>
          <w:rFonts w:hint="default" w:ascii="ＭＳ 明朝" w:hAnsi="ＭＳ 明朝" w:eastAsia="ＭＳ 明朝"/>
          <w:color w:val="auto"/>
          <w:sz w:val="21"/>
          <w:highlight w:val="none"/>
        </w:rPr>
        <w:br w:type="page"/>
      </w:r>
    </w:p>
    <w:p>
      <w:pPr>
        <w:pStyle w:val="30"/>
        <w:autoSpaceDE w:val="0"/>
        <w:autoSpaceDN w:val="0"/>
        <w:spacing w:after="76" w:afterLines="0" w:afterAutospacing="0"/>
        <w:rPr>
          <w:rFonts w:hint="default"/>
          <w:color w:val="auto"/>
          <w:highlight w:val="none"/>
        </w:rPr>
      </w:pPr>
      <w:r>
        <w:rPr>
          <w:rFonts w:hint="eastAsia"/>
          <w:color w:val="auto"/>
          <w:highlight w:val="none"/>
        </w:rPr>
        <w:t>エ　給付費</w:t>
      </w:r>
    </w:p>
    <w:p>
      <w:pPr>
        <w:pStyle w:val="0"/>
        <w:autoSpaceDE w:val="0"/>
        <w:autoSpaceDN w:val="0"/>
        <w:spacing w:line="380" w:lineRule="exact"/>
        <w:ind w:left="660" w:leftChars="300" w:firstLine="220" w:firstLineChars="100"/>
        <w:rPr>
          <w:rFonts w:hint="default"/>
          <w:color w:val="auto"/>
          <w:highlight w:val="none"/>
        </w:rPr>
      </w:pPr>
      <w:r>
        <w:rPr>
          <w:rFonts w:hint="eastAsia"/>
          <w:color w:val="auto"/>
          <w:highlight w:val="none"/>
        </w:rPr>
        <w:t>介護保険サービス給付費の状況を第８期計画値と比較すると、新型コロナウイルス染症の影響によりサービスを控える傾向が見られたことから、令和３（</w:t>
      </w:r>
      <w:r>
        <w:rPr>
          <w:rFonts w:hint="eastAsia"/>
          <w:color w:val="auto"/>
          <w:highlight w:val="none"/>
        </w:rPr>
        <w:t>2021</w:t>
      </w:r>
      <w:r>
        <w:rPr>
          <w:rFonts w:hint="eastAsia"/>
          <w:color w:val="auto"/>
          <w:highlight w:val="none"/>
        </w:rPr>
        <w:t>）年度の予防給付費、介護給付費の居宅サービスを除き、全体的に計画値を下回っており、特に施設サービスが低くなっています。</w:t>
      </w:r>
    </w:p>
    <w:p>
      <w:pPr>
        <w:pStyle w:val="0"/>
        <w:autoSpaceDE w:val="0"/>
        <w:autoSpaceDN w:val="0"/>
        <w:spacing w:before="185" w:beforeLines="50" w:beforeAutospacing="0" w:line="380" w:lineRule="exact"/>
        <w:jc w:val="center"/>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図表　介護保険サービス給付費の計画値と実績</w:t>
      </w:r>
    </w:p>
    <w:p>
      <w:pPr>
        <w:pStyle w:val="0"/>
        <w:autoSpaceDE w:val="0"/>
        <w:autoSpaceDN w:val="0"/>
        <w:spacing w:line="220" w:lineRule="exact"/>
        <w:ind w:left="284" w:leftChars="129"/>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（単位：千円）</w:t>
      </w:r>
    </w:p>
    <w:tbl>
      <w:tblPr>
        <w:tblStyle w:val="11"/>
        <w:tblW w:w="9067" w:type="dxa"/>
        <w:tblInd w:w="0" w:type="dxa"/>
        <w:tblLayout w:type="fixed"/>
        <w:tblCellMar>
          <w:left w:w="99" w:type="dxa"/>
          <w:right w:w="99" w:type="dxa"/>
        </w:tblCellMar>
        <w:tblLook w:firstRow="1" w:lastRow="0" w:firstColumn="1" w:lastColumn="0" w:noHBand="0" w:noVBand="1" w:val="04A0"/>
      </w:tblPr>
      <w:tblGrid>
        <w:gridCol w:w="421"/>
        <w:gridCol w:w="2126"/>
        <w:gridCol w:w="1086"/>
        <w:gridCol w:w="1087"/>
        <w:gridCol w:w="1087"/>
        <w:gridCol w:w="1086"/>
        <w:gridCol w:w="1087"/>
        <w:gridCol w:w="1087"/>
      </w:tblGrid>
      <w:tr>
        <w:trPr>
          <w:trHeight w:val="283" w:hRule="atLeast"/>
        </w:trPr>
        <w:tc>
          <w:tcPr>
            <w:tcW w:w="2547" w:type="dxa"/>
            <w:gridSpan w:val="2"/>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autoSpaceDE w:val="0"/>
              <w:autoSpaceDN w:val="0"/>
              <w:jc w:val="center"/>
              <w:rPr>
                <w:rFonts w:hint="default" w:ascii="ＭＳ Ｐゴシック" w:hAnsi="ＭＳ Ｐゴシック" w:eastAsia="ＭＳ Ｐゴシック"/>
                <w:color w:val="auto"/>
                <w:kern w:val="0"/>
                <w:sz w:val="20"/>
                <w:highlight w:val="none"/>
              </w:rPr>
            </w:pPr>
          </w:p>
        </w:tc>
        <w:tc>
          <w:tcPr>
            <w:tcW w:w="3260" w:type="dxa"/>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令和３（</w:t>
            </w:r>
            <w:r>
              <w:rPr>
                <w:rFonts w:hint="eastAsia" w:ascii="ＭＳ Ｐゴシック" w:hAnsi="ＭＳ Ｐゴシック" w:eastAsia="ＭＳ Ｐゴシック"/>
                <w:color w:val="auto"/>
                <w:kern w:val="0"/>
                <w:sz w:val="20"/>
                <w:highlight w:val="none"/>
              </w:rPr>
              <w:t>2021</w:t>
            </w:r>
            <w:r>
              <w:rPr>
                <w:rFonts w:hint="eastAsia" w:ascii="ＭＳ Ｐゴシック" w:hAnsi="ＭＳ Ｐゴシック" w:eastAsia="ＭＳ Ｐゴシック"/>
                <w:color w:val="auto"/>
                <w:kern w:val="0"/>
                <w:sz w:val="20"/>
                <w:highlight w:val="none"/>
              </w:rPr>
              <w:t>）年度</w:t>
            </w:r>
          </w:p>
        </w:tc>
        <w:tc>
          <w:tcPr>
            <w:tcW w:w="3260" w:type="dxa"/>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令和４（</w:t>
            </w:r>
            <w:r>
              <w:rPr>
                <w:rFonts w:hint="eastAsia" w:ascii="ＭＳ Ｐゴシック" w:hAnsi="ＭＳ Ｐゴシック" w:eastAsia="ＭＳ Ｐゴシック"/>
                <w:color w:val="auto"/>
                <w:kern w:val="0"/>
                <w:sz w:val="20"/>
                <w:highlight w:val="none"/>
              </w:rPr>
              <w:t>2022</w:t>
            </w:r>
            <w:r>
              <w:rPr>
                <w:rFonts w:hint="eastAsia" w:ascii="ＭＳ Ｐゴシック" w:hAnsi="ＭＳ Ｐゴシック" w:eastAsia="ＭＳ Ｐゴシック"/>
                <w:color w:val="auto"/>
                <w:kern w:val="0"/>
                <w:sz w:val="20"/>
                <w:highlight w:val="none"/>
              </w:rPr>
              <w:t>）年度</w:t>
            </w:r>
          </w:p>
        </w:tc>
      </w:tr>
      <w:tr>
        <w:trPr>
          <w:trHeight w:val="402" w:hRule="atLeast"/>
        </w:trPr>
        <w:tc>
          <w:tcPr>
            <w:tcW w:w="2547" w:type="dxa"/>
            <w:gridSpan w:val="2"/>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1086" w:type="dxa"/>
            <w:tcBorders>
              <w:top w:val="nil"/>
              <w:left w:val="nil"/>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第</w:t>
            </w:r>
            <w:r>
              <w:rPr>
                <w:rFonts w:hint="eastAsia" w:ascii="ＭＳ Ｐゴシック" w:hAnsi="ＭＳ Ｐゴシック" w:eastAsia="ＭＳ Ｐゴシック"/>
                <w:color w:val="auto"/>
                <w:kern w:val="0"/>
                <w:sz w:val="20"/>
                <w:highlight w:val="none"/>
              </w:rPr>
              <w:t>8</w:t>
            </w:r>
            <w:r>
              <w:rPr>
                <w:rFonts w:hint="eastAsia" w:ascii="ＭＳ Ｐゴシック" w:hAnsi="ＭＳ Ｐゴシック" w:eastAsia="ＭＳ Ｐゴシック"/>
                <w:color w:val="auto"/>
                <w:kern w:val="0"/>
                <w:sz w:val="20"/>
                <w:highlight w:val="none"/>
              </w:rPr>
              <w:t>期</w:t>
            </w:r>
          </w:p>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計画値</w:t>
            </w:r>
          </w:p>
        </w:tc>
        <w:tc>
          <w:tcPr>
            <w:tcW w:w="1087" w:type="dxa"/>
            <w:tcBorders>
              <w:top w:val="nil"/>
              <w:left w:val="nil"/>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実績値</w:t>
            </w:r>
          </w:p>
        </w:tc>
        <w:tc>
          <w:tcPr>
            <w:tcW w:w="1087" w:type="dxa"/>
            <w:tcBorders>
              <w:top w:val="nil"/>
              <w:left w:val="nil"/>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対計画値</w:t>
            </w:r>
          </w:p>
        </w:tc>
        <w:tc>
          <w:tcPr>
            <w:tcW w:w="1086" w:type="dxa"/>
            <w:tcBorders>
              <w:top w:val="nil"/>
              <w:left w:val="nil"/>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第</w:t>
            </w:r>
            <w:r>
              <w:rPr>
                <w:rFonts w:hint="eastAsia" w:ascii="ＭＳ Ｐゴシック" w:hAnsi="ＭＳ Ｐゴシック" w:eastAsia="ＭＳ Ｐゴシック"/>
                <w:color w:val="auto"/>
                <w:kern w:val="0"/>
                <w:sz w:val="20"/>
                <w:highlight w:val="none"/>
              </w:rPr>
              <w:t>8</w:t>
            </w:r>
            <w:r>
              <w:rPr>
                <w:rFonts w:hint="eastAsia" w:ascii="ＭＳ Ｐゴシック" w:hAnsi="ＭＳ Ｐゴシック" w:eastAsia="ＭＳ Ｐゴシック"/>
                <w:color w:val="auto"/>
                <w:kern w:val="0"/>
                <w:sz w:val="20"/>
                <w:highlight w:val="none"/>
              </w:rPr>
              <w:t>期</w:t>
            </w:r>
          </w:p>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計画値</w:t>
            </w:r>
          </w:p>
        </w:tc>
        <w:tc>
          <w:tcPr>
            <w:tcW w:w="1087" w:type="dxa"/>
            <w:tcBorders>
              <w:top w:val="nil"/>
              <w:left w:val="nil"/>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実績値</w:t>
            </w:r>
          </w:p>
        </w:tc>
        <w:tc>
          <w:tcPr>
            <w:tcW w:w="1087" w:type="dxa"/>
            <w:tcBorders>
              <w:top w:val="nil"/>
              <w:left w:val="nil"/>
              <w:bottom w:val="single" w:color="auto" w:sz="4" w:space="0"/>
              <w:right w:val="single" w:color="auto" w:sz="4"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対計画値</w:t>
            </w:r>
          </w:p>
        </w:tc>
      </w:tr>
      <w:tr>
        <w:trPr>
          <w:cantSplit/>
          <w:trHeight w:val="340" w:hRule="atLeast"/>
        </w:trPr>
        <w:tc>
          <w:tcPr>
            <w:tcW w:w="421"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textDirection w:val="tbRlV"/>
            <w:vAlign w:val="center"/>
          </w:tcPr>
          <w:p>
            <w:pPr>
              <w:pStyle w:val="0"/>
              <w:widowControl w:val="1"/>
              <w:autoSpaceDE w:val="0"/>
              <w:autoSpaceDN w:val="0"/>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予防給付費</w:t>
            </w:r>
          </w:p>
        </w:tc>
        <w:tc>
          <w:tcPr>
            <w:tcW w:w="21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ind w:right="-110" w:rightChars="-50"/>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居宅サービス</w:t>
            </w:r>
          </w:p>
        </w:tc>
        <w:tc>
          <w:tcPr>
            <w:tcW w:w="1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385,177</w:t>
            </w:r>
          </w:p>
        </w:tc>
        <w:tc>
          <w:tcPr>
            <w:tcW w:w="10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401,438</w:t>
            </w:r>
          </w:p>
        </w:tc>
        <w:tc>
          <w:tcPr>
            <w:tcW w:w="10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104.2</w:t>
            </w:r>
            <w:r>
              <w:rPr>
                <w:rFonts w:hint="eastAsia" w:ascii="ＭＳ Ｐゴシック" w:hAnsi="ＭＳ Ｐゴシック" w:eastAsia="ＭＳ Ｐゴシック"/>
                <w:color w:val="auto"/>
                <w:sz w:val="20"/>
                <w:highlight w:val="none"/>
              </w:rPr>
              <w:t>％</w:t>
            </w:r>
          </w:p>
        </w:tc>
        <w:tc>
          <w:tcPr>
            <w:tcW w:w="1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407,281</w:t>
            </w:r>
          </w:p>
        </w:tc>
        <w:tc>
          <w:tcPr>
            <w:tcW w:w="10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412,335</w:t>
            </w:r>
          </w:p>
        </w:tc>
        <w:tc>
          <w:tcPr>
            <w:tcW w:w="10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101.2</w:t>
            </w:r>
            <w:r>
              <w:rPr>
                <w:rFonts w:hint="eastAsia" w:ascii="ＭＳ Ｐゴシック" w:hAnsi="ＭＳ Ｐゴシック" w:eastAsia="ＭＳ Ｐゴシック"/>
                <w:color w:val="auto"/>
                <w:sz w:val="20"/>
                <w:highlight w:val="none"/>
              </w:rPr>
              <w:t>％</w:t>
            </w:r>
          </w:p>
        </w:tc>
      </w:tr>
      <w:tr>
        <w:trPr>
          <w:cantSplit/>
          <w:trHeight w:val="340" w:hRule="atLeast"/>
        </w:trPr>
        <w:tc>
          <w:tcPr>
            <w:tcW w:w="421"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126"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ind w:right="-110" w:rightChars="-50"/>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地域密着型サービス</w:t>
            </w:r>
          </w:p>
        </w:tc>
        <w:tc>
          <w:tcPr>
            <w:tcW w:w="108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11,556</w:t>
            </w:r>
          </w:p>
        </w:tc>
        <w:tc>
          <w:tcPr>
            <w:tcW w:w="108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11,</w:t>
            </w:r>
            <w:r>
              <w:rPr>
                <w:rFonts w:hint="eastAsia" w:ascii="ＭＳ Ｐゴシック" w:hAnsi="ＭＳ Ｐゴシック" w:eastAsia="ＭＳ Ｐゴシック"/>
                <w:color w:val="auto"/>
                <w:sz w:val="20"/>
                <w:highlight w:val="none"/>
              </w:rPr>
              <w:t>0</w:t>
            </w:r>
            <w:r>
              <w:rPr>
                <w:rFonts w:hint="default" w:ascii="ＭＳ Ｐゴシック" w:hAnsi="ＭＳ Ｐゴシック" w:eastAsia="ＭＳ Ｐゴシック"/>
                <w:color w:val="auto"/>
                <w:sz w:val="20"/>
                <w:highlight w:val="none"/>
              </w:rPr>
              <w:t>56</w:t>
            </w:r>
          </w:p>
        </w:tc>
        <w:tc>
          <w:tcPr>
            <w:tcW w:w="108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95.7</w:t>
            </w:r>
            <w:r>
              <w:rPr>
                <w:rFonts w:hint="eastAsia" w:ascii="ＭＳ Ｐゴシック" w:hAnsi="ＭＳ Ｐゴシック" w:eastAsia="ＭＳ Ｐゴシック"/>
                <w:color w:val="auto"/>
                <w:sz w:val="20"/>
                <w:highlight w:val="none"/>
              </w:rPr>
              <w:t>％</w:t>
            </w:r>
          </w:p>
        </w:tc>
        <w:tc>
          <w:tcPr>
            <w:tcW w:w="108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11,5</w:t>
            </w:r>
            <w:r>
              <w:rPr>
                <w:rFonts w:hint="eastAsia" w:ascii="ＭＳ Ｐゴシック" w:hAnsi="ＭＳ Ｐゴシック" w:eastAsia="ＭＳ Ｐゴシック"/>
                <w:color w:val="auto"/>
                <w:sz w:val="20"/>
                <w:highlight w:val="none"/>
              </w:rPr>
              <w:t>62</w:t>
            </w:r>
          </w:p>
        </w:tc>
        <w:tc>
          <w:tcPr>
            <w:tcW w:w="108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5</w:t>
            </w:r>
            <w:r>
              <w:rPr>
                <w:rFonts w:hint="default"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681</w:t>
            </w:r>
          </w:p>
        </w:tc>
        <w:tc>
          <w:tcPr>
            <w:tcW w:w="108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49.1</w:t>
            </w:r>
            <w:r>
              <w:rPr>
                <w:rFonts w:hint="eastAsia" w:ascii="ＭＳ Ｐゴシック" w:hAnsi="ＭＳ Ｐゴシック" w:eastAsia="ＭＳ Ｐゴシック"/>
                <w:color w:val="auto"/>
                <w:sz w:val="20"/>
                <w:highlight w:val="none"/>
              </w:rPr>
              <w:t>％</w:t>
            </w:r>
          </w:p>
        </w:tc>
      </w:tr>
      <w:tr>
        <w:trPr>
          <w:cantSplit/>
          <w:trHeight w:val="369" w:hRule="atLeast"/>
        </w:trPr>
        <w:tc>
          <w:tcPr>
            <w:tcW w:w="421"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126"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ind w:right="-110" w:rightChars="-50"/>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計</w:t>
            </w:r>
          </w:p>
        </w:tc>
        <w:tc>
          <w:tcPr>
            <w:tcW w:w="108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396,733</w:t>
            </w:r>
          </w:p>
        </w:tc>
        <w:tc>
          <w:tcPr>
            <w:tcW w:w="108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412,494</w:t>
            </w:r>
          </w:p>
        </w:tc>
        <w:tc>
          <w:tcPr>
            <w:tcW w:w="108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104.</w:t>
            </w:r>
            <w:r>
              <w:rPr>
                <w:rFonts w:hint="default" w:ascii="ＭＳ Ｐゴシック" w:hAnsi="ＭＳ Ｐゴシック" w:eastAsia="ＭＳ Ｐゴシック"/>
                <w:color w:val="auto"/>
                <w:sz w:val="20"/>
                <w:highlight w:val="none"/>
              </w:rPr>
              <w:t>0</w:t>
            </w:r>
            <w:r>
              <w:rPr>
                <w:rFonts w:hint="eastAsia" w:ascii="ＭＳ Ｐゴシック" w:hAnsi="ＭＳ Ｐゴシック" w:eastAsia="ＭＳ Ｐゴシック"/>
                <w:color w:val="auto"/>
                <w:sz w:val="20"/>
                <w:highlight w:val="none"/>
              </w:rPr>
              <w:t>％</w:t>
            </w:r>
          </w:p>
        </w:tc>
        <w:tc>
          <w:tcPr>
            <w:tcW w:w="108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418,843</w:t>
            </w:r>
          </w:p>
        </w:tc>
        <w:tc>
          <w:tcPr>
            <w:tcW w:w="108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418,016</w:t>
            </w:r>
          </w:p>
        </w:tc>
        <w:tc>
          <w:tcPr>
            <w:tcW w:w="108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9</w:t>
            </w:r>
            <w:r>
              <w:rPr>
                <w:rFonts w:hint="eastAsia" w:ascii="ＭＳ Ｐゴシック" w:hAnsi="ＭＳ Ｐゴシック" w:eastAsia="ＭＳ Ｐゴシック"/>
                <w:color w:val="auto"/>
                <w:sz w:val="20"/>
                <w:highlight w:val="none"/>
              </w:rPr>
              <w:t>9</w:t>
            </w:r>
            <w:r>
              <w:rPr>
                <w:rFonts w:hint="default" w:ascii="ＭＳ Ｐゴシック" w:hAnsi="ＭＳ Ｐゴシック" w:eastAsia="ＭＳ Ｐゴシック"/>
                <w:color w:val="auto"/>
                <w:sz w:val="20"/>
                <w:highlight w:val="none"/>
              </w:rPr>
              <w:t>.8</w:t>
            </w:r>
            <w:r>
              <w:rPr>
                <w:rFonts w:hint="eastAsia" w:ascii="ＭＳ Ｐゴシック" w:hAnsi="ＭＳ Ｐゴシック" w:eastAsia="ＭＳ Ｐゴシック"/>
                <w:color w:val="auto"/>
                <w:sz w:val="20"/>
                <w:highlight w:val="none"/>
              </w:rPr>
              <w:t>％</w:t>
            </w:r>
          </w:p>
        </w:tc>
      </w:tr>
      <w:tr>
        <w:trPr>
          <w:cantSplit/>
          <w:trHeight w:val="340" w:hRule="atLeast"/>
        </w:trPr>
        <w:tc>
          <w:tcPr>
            <w:tcW w:w="421" w:type="dxa"/>
            <w:vMerge w:val="restart"/>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extDirection w:val="tbRlV"/>
            <w:vAlign w:val="center"/>
          </w:tcPr>
          <w:p>
            <w:pPr>
              <w:pStyle w:val="0"/>
              <w:widowControl w:val="1"/>
              <w:autoSpaceDE w:val="0"/>
              <w:autoSpaceDN w:val="0"/>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介護給付費</w:t>
            </w:r>
          </w:p>
        </w:tc>
        <w:tc>
          <w:tcPr>
            <w:tcW w:w="212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ind w:right="-110" w:rightChars="-50"/>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居宅サービス</w:t>
            </w:r>
          </w:p>
        </w:tc>
        <w:tc>
          <w:tcPr>
            <w:tcW w:w="1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3,948,330</w:t>
            </w:r>
          </w:p>
        </w:tc>
        <w:tc>
          <w:tcPr>
            <w:tcW w:w="10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4,022,601</w:t>
            </w:r>
          </w:p>
        </w:tc>
        <w:tc>
          <w:tcPr>
            <w:tcW w:w="10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10</w:t>
            </w:r>
            <w:r>
              <w:rPr>
                <w:rFonts w:hint="default" w:ascii="ＭＳ Ｐゴシック" w:hAnsi="ＭＳ Ｐゴシック" w:eastAsia="ＭＳ Ｐゴシック"/>
                <w:color w:val="auto"/>
                <w:sz w:val="20"/>
                <w:highlight w:val="none"/>
              </w:rPr>
              <w:t>1.</w:t>
            </w:r>
            <w:r>
              <w:rPr>
                <w:rFonts w:hint="eastAsia" w:ascii="ＭＳ Ｐゴシック" w:hAnsi="ＭＳ Ｐゴシック" w:eastAsia="ＭＳ Ｐゴシック"/>
                <w:color w:val="auto"/>
                <w:sz w:val="20"/>
                <w:highlight w:val="none"/>
              </w:rPr>
              <w:t>9</w:t>
            </w:r>
            <w:r>
              <w:rPr>
                <w:rFonts w:hint="eastAsia" w:ascii="ＭＳ Ｐゴシック" w:hAnsi="ＭＳ Ｐゴシック" w:eastAsia="ＭＳ Ｐゴシック"/>
                <w:color w:val="auto"/>
                <w:sz w:val="20"/>
                <w:highlight w:val="none"/>
              </w:rPr>
              <w:t>％</w:t>
            </w:r>
          </w:p>
        </w:tc>
        <w:tc>
          <w:tcPr>
            <w:tcW w:w="1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4,191,213</w:t>
            </w:r>
          </w:p>
        </w:tc>
        <w:tc>
          <w:tcPr>
            <w:tcW w:w="10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4,108,118</w:t>
            </w:r>
          </w:p>
        </w:tc>
        <w:tc>
          <w:tcPr>
            <w:tcW w:w="10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9</w:t>
            </w:r>
            <w:r>
              <w:rPr>
                <w:rFonts w:hint="eastAsia" w:ascii="ＭＳ Ｐゴシック" w:hAnsi="ＭＳ Ｐゴシック" w:eastAsia="ＭＳ Ｐゴシック"/>
                <w:color w:val="auto"/>
                <w:sz w:val="20"/>
                <w:highlight w:val="none"/>
              </w:rPr>
              <w:t>8.0</w:t>
            </w:r>
            <w:r>
              <w:rPr>
                <w:rFonts w:hint="eastAsia" w:ascii="ＭＳ Ｐゴシック" w:hAnsi="ＭＳ Ｐゴシック" w:eastAsia="ＭＳ Ｐゴシック"/>
                <w:color w:val="auto"/>
                <w:sz w:val="20"/>
                <w:highlight w:val="none"/>
              </w:rPr>
              <w:t>％</w:t>
            </w:r>
          </w:p>
        </w:tc>
      </w:tr>
      <w:tr>
        <w:trPr>
          <w:cantSplit/>
          <w:trHeight w:val="340" w:hRule="atLeast"/>
        </w:trPr>
        <w:tc>
          <w:tcPr>
            <w:tcW w:w="421" w:type="dxa"/>
            <w:vMerge w:val="continue"/>
            <w:tcBorders>
              <w:top w:val="none" w:color="auto" w:sz="0"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1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ind w:right="-110" w:rightChars="-50"/>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地域密着型サービス</w:t>
            </w:r>
          </w:p>
        </w:tc>
        <w:tc>
          <w:tcPr>
            <w:tcW w:w="1086"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1,521,237</w:t>
            </w:r>
          </w:p>
        </w:tc>
        <w:tc>
          <w:tcPr>
            <w:tcW w:w="108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1,403,630</w:t>
            </w:r>
          </w:p>
        </w:tc>
        <w:tc>
          <w:tcPr>
            <w:tcW w:w="108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92.3</w:t>
            </w:r>
            <w:r>
              <w:rPr>
                <w:rFonts w:hint="eastAsia" w:ascii="ＭＳ Ｐゴシック" w:hAnsi="ＭＳ Ｐゴシック" w:eastAsia="ＭＳ Ｐゴシック"/>
                <w:color w:val="auto"/>
                <w:sz w:val="20"/>
                <w:highlight w:val="none"/>
              </w:rPr>
              <w:t>％</w:t>
            </w:r>
          </w:p>
        </w:tc>
        <w:tc>
          <w:tcPr>
            <w:tcW w:w="108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1,588,808</w:t>
            </w:r>
          </w:p>
        </w:tc>
        <w:tc>
          <w:tcPr>
            <w:tcW w:w="108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1,466,666</w:t>
            </w:r>
          </w:p>
        </w:tc>
        <w:tc>
          <w:tcPr>
            <w:tcW w:w="108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92.3</w:t>
            </w:r>
            <w:r>
              <w:rPr>
                <w:rFonts w:hint="eastAsia" w:ascii="ＭＳ Ｐゴシック" w:hAnsi="ＭＳ Ｐゴシック" w:eastAsia="ＭＳ Ｐゴシック"/>
                <w:color w:val="auto"/>
                <w:sz w:val="20"/>
                <w:highlight w:val="none"/>
              </w:rPr>
              <w:t>％</w:t>
            </w:r>
          </w:p>
        </w:tc>
      </w:tr>
      <w:tr>
        <w:trPr>
          <w:cantSplit/>
          <w:trHeight w:val="340" w:hRule="atLeast"/>
        </w:trPr>
        <w:tc>
          <w:tcPr>
            <w:tcW w:w="421" w:type="dxa"/>
            <w:vMerge w:val="continue"/>
            <w:tcBorders>
              <w:top w:val="none" w:color="auto" w:sz="0"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126"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ind w:right="-110" w:rightChars="-50"/>
              <w:jc w:val="left"/>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施設サービス</w:t>
            </w:r>
          </w:p>
        </w:tc>
        <w:tc>
          <w:tcPr>
            <w:tcW w:w="108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000000" w:fill="FFFFFF"/>
            <w:vAlign w:val="center"/>
          </w:tcPr>
          <w:p>
            <w:pPr>
              <w:pStyle w:val="0"/>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3,469,944</w:t>
            </w:r>
          </w:p>
        </w:tc>
        <w:tc>
          <w:tcPr>
            <w:tcW w:w="108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3,122,249</w:t>
            </w:r>
          </w:p>
        </w:tc>
        <w:tc>
          <w:tcPr>
            <w:tcW w:w="108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90.0</w:t>
            </w:r>
            <w:r>
              <w:rPr>
                <w:rFonts w:hint="eastAsia" w:ascii="ＭＳ Ｐゴシック" w:hAnsi="ＭＳ Ｐゴシック" w:eastAsia="ＭＳ Ｐゴシック"/>
                <w:color w:val="auto"/>
                <w:sz w:val="20"/>
                <w:highlight w:val="none"/>
              </w:rPr>
              <w:t>％</w:t>
            </w:r>
          </w:p>
        </w:tc>
        <w:tc>
          <w:tcPr>
            <w:tcW w:w="108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3,505,867</w:t>
            </w:r>
          </w:p>
        </w:tc>
        <w:tc>
          <w:tcPr>
            <w:tcW w:w="108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3132,506</w:t>
            </w:r>
          </w:p>
        </w:tc>
        <w:tc>
          <w:tcPr>
            <w:tcW w:w="108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89.4</w:t>
            </w:r>
            <w:r>
              <w:rPr>
                <w:rFonts w:hint="eastAsia" w:ascii="ＭＳ Ｐゴシック" w:hAnsi="ＭＳ Ｐゴシック" w:eastAsia="ＭＳ Ｐゴシック"/>
                <w:color w:val="auto"/>
                <w:sz w:val="20"/>
                <w:highlight w:val="none"/>
              </w:rPr>
              <w:t>％</w:t>
            </w:r>
          </w:p>
        </w:tc>
      </w:tr>
      <w:tr>
        <w:trPr>
          <w:cantSplit/>
          <w:trHeight w:val="369" w:hRule="atLeast"/>
        </w:trPr>
        <w:tc>
          <w:tcPr>
            <w:tcW w:w="421" w:type="dxa"/>
            <w:vMerge w:val="continue"/>
            <w:tcBorders>
              <w:top w:val="none" w:color="auto" w:sz="0"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jc w:val="left"/>
              <w:rPr>
                <w:rFonts w:hint="default" w:ascii="ＭＳ Ｐゴシック" w:hAnsi="ＭＳ Ｐゴシック" w:eastAsia="ＭＳ Ｐゴシック"/>
                <w:color w:val="000000"/>
                <w:kern w:val="0"/>
                <w:sz w:val="20"/>
              </w:rPr>
            </w:pPr>
          </w:p>
        </w:tc>
        <w:tc>
          <w:tcPr>
            <w:tcW w:w="2126" w:type="dxa"/>
            <w:tcBorders>
              <w:top w:val="double" w:color="auto"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ind w:right="-110" w:rightChars="-50"/>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計</w:t>
            </w:r>
          </w:p>
        </w:tc>
        <w:tc>
          <w:tcPr>
            <w:tcW w:w="1086" w:type="dxa"/>
            <w:tcBorders>
              <w:top w:val="double" w:color="auto"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kern w:val="0"/>
                <w:sz w:val="20"/>
                <w:highlight w:val="none"/>
              </w:rPr>
              <w:t>8,939,511</w:t>
            </w:r>
            <w:r>
              <w:rPr>
                <w:rFonts w:hint="eastAsia" w:ascii="ＭＳ Ｐゴシック" w:hAnsi="ＭＳ Ｐゴシック" w:eastAsia="ＭＳ Ｐゴシック"/>
                <w:color w:val="auto"/>
                <w:kern w:val="0"/>
                <w:sz w:val="20"/>
                <w:highlight w:val="none"/>
              </w:rPr>
              <w:t xml:space="preserve"> </w:t>
            </w:r>
          </w:p>
        </w:tc>
        <w:tc>
          <w:tcPr>
            <w:tcW w:w="1087" w:type="dxa"/>
            <w:tcBorders>
              <w:top w:val="double" w:color="auto"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8,548,480</w:t>
            </w:r>
          </w:p>
        </w:tc>
        <w:tc>
          <w:tcPr>
            <w:tcW w:w="1087" w:type="dxa"/>
            <w:tcBorders>
              <w:top w:val="doub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95.</w:t>
            </w:r>
            <w:r>
              <w:rPr>
                <w:rFonts w:hint="eastAsia" w:ascii="ＭＳ Ｐゴシック" w:hAnsi="ＭＳ Ｐゴシック" w:eastAsia="ＭＳ Ｐゴシック"/>
                <w:color w:val="auto"/>
                <w:sz w:val="20"/>
                <w:highlight w:val="none"/>
              </w:rPr>
              <w:t>6</w:t>
            </w:r>
            <w:r>
              <w:rPr>
                <w:rFonts w:hint="eastAsia" w:ascii="ＭＳ Ｐゴシック" w:hAnsi="ＭＳ Ｐゴシック" w:eastAsia="ＭＳ Ｐゴシック"/>
                <w:color w:val="auto"/>
                <w:sz w:val="20"/>
                <w:highlight w:val="none"/>
              </w:rPr>
              <w:t>％</w:t>
            </w:r>
          </w:p>
        </w:tc>
        <w:tc>
          <w:tcPr>
            <w:tcW w:w="1086" w:type="dxa"/>
            <w:tcBorders>
              <w:top w:val="double" w:color="auto"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9,285,888</w:t>
            </w:r>
          </w:p>
        </w:tc>
        <w:tc>
          <w:tcPr>
            <w:tcW w:w="1087" w:type="dxa"/>
            <w:tcBorders>
              <w:top w:val="double" w:color="auto"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8,707,290</w:t>
            </w:r>
          </w:p>
        </w:tc>
        <w:tc>
          <w:tcPr>
            <w:tcW w:w="1087" w:type="dxa"/>
            <w:tcBorders>
              <w:top w:val="doub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9</w:t>
            </w:r>
            <w:r>
              <w:rPr>
                <w:rFonts w:hint="eastAsia" w:ascii="ＭＳ Ｐゴシック" w:hAnsi="ＭＳ Ｐゴシック" w:eastAsia="ＭＳ Ｐゴシック"/>
                <w:color w:val="auto"/>
                <w:sz w:val="20"/>
                <w:highlight w:val="none"/>
              </w:rPr>
              <w:t>3.8</w:t>
            </w:r>
            <w:r>
              <w:rPr>
                <w:rFonts w:hint="eastAsia" w:ascii="ＭＳ Ｐゴシック" w:hAnsi="ＭＳ Ｐゴシック" w:eastAsia="ＭＳ Ｐゴシック"/>
                <w:color w:val="auto"/>
                <w:sz w:val="20"/>
                <w:highlight w:val="none"/>
              </w:rPr>
              <w:t>％</w:t>
            </w:r>
          </w:p>
        </w:tc>
      </w:tr>
      <w:tr>
        <w:trPr>
          <w:cantSplit/>
          <w:trHeight w:val="369" w:hRule="atLeast"/>
        </w:trPr>
        <w:tc>
          <w:tcPr>
            <w:tcW w:w="2547" w:type="dxa"/>
            <w:gridSpan w:val="2"/>
            <w:tcBorders>
              <w:top w:val="single" w:color="auto" w:sz="12"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ind w:right="-110" w:rightChars="-50"/>
              <w:jc w:val="center"/>
              <w:rPr>
                <w:rFonts w:hint="default" w:ascii="ＭＳ Ｐゴシック" w:hAnsi="ＭＳ Ｐゴシック" w:eastAsia="ＭＳ Ｐゴシック"/>
                <w:color w:val="auto"/>
                <w:kern w:val="0"/>
                <w:sz w:val="20"/>
                <w:highlight w:val="none"/>
              </w:rPr>
            </w:pPr>
            <w:r>
              <w:rPr>
                <w:rFonts w:hint="eastAsia" w:ascii="ＭＳ Ｐゴシック" w:hAnsi="ＭＳ Ｐゴシック" w:eastAsia="ＭＳ Ｐゴシック"/>
                <w:color w:val="auto"/>
                <w:kern w:val="0"/>
                <w:sz w:val="20"/>
                <w:highlight w:val="none"/>
              </w:rPr>
              <w:t>計</w:t>
            </w:r>
          </w:p>
        </w:tc>
        <w:tc>
          <w:tcPr>
            <w:tcW w:w="1086" w:type="dxa"/>
            <w:tcBorders>
              <w:top w:val="single" w:color="auto" w:sz="12"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sz w:val="20"/>
                <w:highlight w:val="none"/>
              </w:rPr>
              <w:t>9,336,244</w:t>
            </w:r>
          </w:p>
        </w:tc>
        <w:tc>
          <w:tcPr>
            <w:tcW w:w="1087" w:type="dxa"/>
            <w:tcBorders>
              <w:top w:val="single" w:color="auto" w:sz="12"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sz w:val="20"/>
                <w:highlight w:val="none"/>
              </w:rPr>
              <w:t>8,960,974</w:t>
            </w:r>
          </w:p>
        </w:tc>
        <w:tc>
          <w:tcPr>
            <w:tcW w:w="1087" w:type="dxa"/>
            <w:tcBorders>
              <w:top w:val="single" w:color="auto" w:sz="12"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9</w:t>
            </w:r>
            <w:r>
              <w:rPr>
                <w:rFonts w:hint="eastAsia" w:ascii="ＭＳ Ｐゴシック" w:hAnsi="ＭＳ Ｐゴシック" w:eastAsia="ＭＳ Ｐゴシック"/>
                <w:color w:val="auto"/>
                <w:sz w:val="20"/>
                <w:highlight w:val="none"/>
              </w:rPr>
              <w:t>6.0</w:t>
            </w:r>
            <w:r>
              <w:rPr>
                <w:rFonts w:hint="eastAsia" w:ascii="ＭＳ Ｐゴシック" w:hAnsi="ＭＳ Ｐゴシック" w:eastAsia="ＭＳ Ｐゴシック"/>
                <w:color w:val="auto"/>
                <w:sz w:val="20"/>
                <w:highlight w:val="none"/>
              </w:rPr>
              <w:t>％</w:t>
            </w:r>
          </w:p>
        </w:tc>
        <w:tc>
          <w:tcPr>
            <w:tcW w:w="1086" w:type="dxa"/>
            <w:tcBorders>
              <w:top w:val="single" w:color="auto" w:sz="12"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sz w:val="20"/>
                <w:highlight w:val="none"/>
              </w:rPr>
              <w:t>9,704,731</w:t>
            </w:r>
          </w:p>
        </w:tc>
        <w:tc>
          <w:tcPr>
            <w:tcW w:w="1087" w:type="dxa"/>
            <w:tcBorders>
              <w:top w:val="single" w:color="auto" w:sz="12"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kern w:val="0"/>
                <w:sz w:val="20"/>
                <w:highlight w:val="none"/>
              </w:rPr>
            </w:pPr>
            <w:r>
              <w:rPr>
                <w:rFonts w:hint="default" w:ascii="ＭＳ Ｐゴシック" w:hAnsi="ＭＳ Ｐゴシック" w:eastAsia="ＭＳ Ｐゴシック"/>
                <w:color w:val="auto"/>
                <w:sz w:val="20"/>
                <w:highlight w:val="none"/>
              </w:rPr>
              <w:t>9,125,306</w:t>
            </w:r>
          </w:p>
        </w:tc>
        <w:tc>
          <w:tcPr>
            <w:tcW w:w="1087" w:type="dxa"/>
            <w:tcBorders>
              <w:top w:val="single" w:color="auto" w:sz="12"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9</w:t>
            </w:r>
            <w:r>
              <w:rPr>
                <w:rFonts w:hint="eastAsia" w:ascii="ＭＳ Ｐゴシック" w:hAnsi="ＭＳ Ｐゴシック" w:eastAsia="ＭＳ Ｐゴシック"/>
                <w:color w:val="auto"/>
                <w:sz w:val="20"/>
                <w:highlight w:val="none"/>
              </w:rPr>
              <w:t>4.0</w:t>
            </w:r>
            <w:r>
              <w:rPr>
                <w:rFonts w:hint="eastAsia" w:ascii="ＭＳ Ｐゴシック" w:hAnsi="ＭＳ Ｐゴシック" w:eastAsia="ＭＳ Ｐゴシック"/>
                <w:color w:val="auto"/>
                <w:sz w:val="20"/>
                <w:highlight w:val="none"/>
              </w:rPr>
              <w:t>％</w:t>
            </w:r>
          </w:p>
        </w:tc>
      </w:tr>
    </w:tbl>
    <w:p>
      <w:pPr>
        <w:pStyle w:val="0"/>
        <w:autoSpaceDE w:val="0"/>
        <w:autoSpaceDN w:val="0"/>
        <w:spacing w:before="74" w:beforeLines="20" w:beforeAutospacing="0" w:line="240" w:lineRule="exact"/>
        <w:ind w:left="284" w:leftChars="129"/>
        <w:jc w:val="right"/>
        <w:rPr>
          <w:rFonts w:hint="default"/>
          <w:color w:val="auto"/>
          <w:sz w:val="18"/>
          <w:highlight w:val="none"/>
        </w:rPr>
      </w:pPr>
      <w:r>
        <w:rPr>
          <w:rFonts w:hint="eastAsia"/>
          <w:color w:val="auto"/>
          <w:sz w:val="18"/>
          <w:highlight w:val="none"/>
        </w:rPr>
        <w:t>資料：令和３年度介護保険事業状況報告年報・令和４年度介護保険事業状況報告月報合計</w:t>
      </w:r>
    </w:p>
    <w:p>
      <w:pPr>
        <w:pStyle w:val="0"/>
        <w:autoSpaceDE w:val="0"/>
        <w:autoSpaceDN w:val="0"/>
        <w:spacing w:line="260" w:lineRule="exact"/>
        <w:ind w:left="284" w:leftChars="129"/>
        <w:jc w:val="right"/>
        <w:rPr>
          <w:rFonts w:hint="default"/>
          <w:color w:val="auto"/>
          <w:sz w:val="18"/>
          <w:highlight w:val="none"/>
        </w:rPr>
      </w:pPr>
      <w:r>
        <w:rPr>
          <w:rFonts w:hint="eastAsia"/>
          <w:color w:val="auto"/>
          <w:sz w:val="18"/>
          <w:highlight w:val="none"/>
        </w:rPr>
        <w:t>※千円未満を四捨五入しているため、内訳の合計と計が一致しない場合がある</w:t>
      </w:r>
    </w:p>
    <w:p>
      <w:pPr>
        <w:pStyle w:val="41"/>
        <w:rPr>
          <w:rFonts w:hint="default"/>
          <w:color w:val="auto"/>
          <w:highlight w:val="none"/>
        </w:rPr>
      </w:pPr>
    </w:p>
    <w:p>
      <w:pPr>
        <w:pStyle w:val="41"/>
        <w:rPr>
          <w:rFonts w:hint="default"/>
          <w:color w:val="auto"/>
          <w:highlight w:val="none"/>
        </w:rPr>
      </w:pPr>
      <w:r>
        <w:rPr>
          <w:rFonts w:hint="default"/>
          <w:color w:val="auto"/>
          <w:highlight w:val="none"/>
        </w:rPr>
        <w:br w:type="page"/>
      </w:r>
    </w:p>
    <w:p>
      <w:pPr>
        <w:pStyle w:val="22"/>
        <w:spacing w:after="76" w:afterLines="0" w:afterAutospacing="0"/>
        <w:rPr>
          <w:rFonts w:hint="default"/>
          <w:color w:val="auto"/>
          <w:highlight w:val="none"/>
        </w:rPr>
      </w:pPr>
      <w:bookmarkStart w:id="70" w:name="_Toc152160642"/>
      <w:r>
        <w:rPr>
          <w:rFonts w:hint="eastAsia"/>
          <w:color w:val="auto"/>
          <w:highlight w:val="none"/>
        </w:rPr>
        <w:t>２　事業の実施状況と評価</w:t>
      </w:r>
      <w:bookmarkEnd w:id="70"/>
    </w:p>
    <w:p>
      <w:pPr>
        <w:pStyle w:val="24"/>
        <w:spacing w:after="185" w:afterLines="50" w:afterAutospacing="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第８期計画においては、第７期計画の達成状況や第８期計画でめざすべき姿を実現するための必要な取組を踏まえ、目標を設定しました。進捗状況は次のとおりです。</w:t>
      </w:r>
    </w:p>
    <w:tbl>
      <w:tblPr>
        <w:tblStyle w:val="81"/>
        <w:tblW w:w="8781" w:type="dxa"/>
        <w:tblInd w:w="279" w:type="dxa"/>
        <w:tblLayout w:type="fixed"/>
        <w:tblLook w:firstRow="1" w:lastRow="0" w:firstColumn="1" w:lastColumn="0" w:noHBand="0" w:noVBand="1" w:val="04A0"/>
      </w:tblPr>
      <w:tblGrid>
        <w:gridCol w:w="8781"/>
      </w:tblGrid>
      <w:tr>
        <w:trPr/>
        <w:tc>
          <w:tcPr>
            <w:tcW w:w="8781" w:type="dxa"/>
            <w:vAlign w:val="top"/>
          </w:tcPr>
          <w:p>
            <w:pPr>
              <w:pStyle w:val="24"/>
              <w:ind w:left="0" w:leftChars="0" w:firstLine="0" w:firstLineChars="0"/>
              <w:rPr>
                <w:rFonts w:hint="default" w:ascii="メイリオ" w:hAnsi="メイリオ" w:eastAsia="メイリオ"/>
                <w:color w:val="auto"/>
                <w:highlight w:val="none"/>
              </w:rPr>
            </w:pPr>
            <w:r>
              <w:rPr>
                <w:rFonts w:hint="eastAsia" w:ascii="メイリオ" w:hAnsi="メイリオ" w:eastAsia="メイリオ"/>
                <w:color w:val="auto"/>
                <w:highlight w:val="none"/>
              </w:rPr>
              <w:t>評価：　◎達成　　　　　　　　　　△やや不十分　　　　　　　×未達成</w:t>
            </w:r>
          </w:p>
        </w:tc>
      </w:tr>
    </w:tbl>
    <w:p>
      <w:pPr>
        <w:pStyle w:val="41"/>
        <w:rPr>
          <w:rFonts w:hint="default"/>
          <w:color w:val="auto"/>
          <w:highlight w:val="none"/>
        </w:rPr>
      </w:pPr>
    </w:p>
    <w:p>
      <w:pPr>
        <w:pStyle w:val="26"/>
        <w:spacing w:after="76" w:afterLines="0" w:afterAutospacing="0"/>
        <w:rPr>
          <w:rFonts w:hint="default"/>
          <w:color w:val="auto"/>
          <w:highlight w:val="none"/>
        </w:rPr>
      </w:pPr>
      <w:bookmarkStart w:id="71" w:name="_Toc152160643"/>
      <w:r>
        <w:rPr>
          <w:rFonts w:hint="default"/>
          <w:color w:val="auto"/>
          <w:highlight w:val="none"/>
        </w:rPr>
        <w:t>（</w:t>
      </w:r>
      <w:r>
        <w:rPr>
          <w:rFonts w:hint="eastAsia"/>
          <w:color w:val="auto"/>
          <w:highlight w:val="none"/>
        </w:rPr>
        <w:t>１</w:t>
      </w:r>
      <w:r>
        <w:rPr>
          <w:rFonts w:hint="default"/>
          <w:color w:val="auto"/>
          <w:highlight w:val="none"/>
        </w:rPr>
        <w:t>）</w:t>
      </w:r>
      <w:r>
        <w:rPr>
          <w:rFonts w:hint="eastAsia"/>
          <w:color w:val="auto"/>
          <w:highlight w:val="none"/>
        </w:rPr>
        <w:t>生きがいを持って暮らし続けられるための支援の充実について</w:t>
      </w:r>
      <w:bookmarkEnd w:id="71"/>
    </w:p>
    <w:p>
      <w:pPr>
        <w:pStyle w:val="30"/>
        <w:spacing w:after="76" w:afterLines="0" w:afterAutospacing="0"/>
        <w:rPr>
          <w:rFonts w:hint="default"/>
          <w:color w:val="auto"/>
          <w:highlight w:val="none"/>
        </w:rPr>
      </w:pPr>
      <w:r>
        <w:rPr>
          <w:rFonts w:hint="eastAsia"/>
          <w:color w:val="auto"/>
          <w:highlight w:val="none"/>
        </w:rPr>
        <w:t>ア　成果指標の達成状況</w:t>
      </w:r>
    </w:p>
    <w:tbl>
      <w:tblPr>
        <w:tblStyle w:val="81"/>
        <w:tblW w:w="8646" w:type="dxa"/>
        <w:tblInd w:w="421" w:type="dxa"/>
        <w:tblLayout w:type="fixed"/>
        <w:tblLook w:firstRow="1" w:lastRow="0" w:firstColumn="1" w:lastColumn="0" w:noHBand="0" w:noVBand="1" w:val="04A0"/>
      </w:tblPr>
      <w:tblGrid>
        <w:gridCol w:w="3118"/>
        <w:gridCol w:w="1134"/>
        <w:gridCol w:w="1228"/>
        <w:gridCol w:w="1229"/>
        <w:gridCol w:w="1229"/>
        <w:gridCol w:w="708"/>
      </w:tblGrid>
      <w:tr>
        <w:trPr>
          <w:trHeight w:val="510" w:hRule="atLeast"/>
        </w:trPr>
        <w:tc>
          <w:tcPr>
            <w:tcW w:w="4252"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8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228" w:type="dxa"/>
            <w:shd w:val="clear" w:color="auto" w:fill="CCECFF"/>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2</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8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直近実績値</w:t>
            </w:r>
          </w:p>
        </w:tc>
        <w:tc>
          <w:tcPr>
            <w:tcW w:w="1229" w:type="dxa"/>
            <w:shd w:val="clear" w:color="auto" w:fill="CCECFF"/>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計画</w:t>
            </w:r>
          </w:p>
        </w:tc>
        <w:tc>
          <w:tcPr>
            <w:tcW w:w="1229" w:type="dxa"/>
            <w:shd w:val="clear" w:color="auto" w:fill="CCECFF"/>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5</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実績値</w:t>
            </w:r>
          </w:p>
        </w:tc>
        <w:tc>
          <w:tcPr>
            <w:tcW w:w="70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8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達成</w:t>
            </w:r>
          </w:p>
          <w:p>
            <w:pPr>
              <w:pStyle w:val="0"/>
              <w:widowControl w:val="1"/>
              <w:autoSpaceDE w:val="0"/>
              <w:autoSpaceDN w:val="0"/>
              <w:spacing w:line="28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状況</w:t>
            </w:r>
          </w:p>
        </w:tc>
      </w:tr>
      <w:tr>
        <w:trPr>
          <w:trHeight w:val="283" w:hRule="atLeast"/>
        </w:trPr>
        <w:tc>
          <w:tcPr>
            <w:tcW w:w="3118" w:type="dxa"/>
            <w:vMerge w:val="restart"/>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8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健康寿命</w:t>
            </w:r>
          </w:p>
        </w:tc>
        <w:tc>
          <w:tcPr>
            <w:tcW w:w="1134" w:type="dxa"/>
            <w:tcBorders>
              <w:top w:val="single" w:color="auto" w:sz="4" w:space="0"/>
              <w:left w:val="nil"/>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28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男性</w:t>
            </w:r>
          </w:p>
        </w:tc>
        <w:tc>
          <w:tcPr>
            <w:tcW w:w="1228" w:type="dxa"/>
            <w:shd w:val="clear" w:color="auto" w:fill="auto"/>
            <w:vAlign w:val="center"/>
          </w:tcPr>
          <w:p>
            <w:pPr>
              <w:pStyle w:val="0"/>
              <w:autoSpaceDE w:val="0"/>
              <w:autoSpaceDN w:val="0"/>
              <w:spacing w:line="28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81.00</w:t>
            </w:r>
            <w:r>
              <w:rPr>
                <w:rFonts w:hint="eastAsia" w:ascii="ＭＳ Ｐゴシック" w:hAnsi="ＭＳ Ｐゴシック" w:eastAsia="ＭＳ Ｐゴシック"/>
                <w:color w:val="auto"/>
                <w:sz w:val="21"/>
                <w:highlight w:val="none"/>
              </w:rPr>
              <w:t>年</w:t>
            </w:r>
          </w:p>
        </w:tc>
        <w:tc>
          <w:tcPr>
            <w:tcW w:w="1229" w:type="dxa"/>
            <w:shd w:val="clear" w:color="auto" w:fill="auto"/>
            <w:vAlign w:val="center"/>
          </w:tcPr>
          <w:p>
            <w:pPr>
              <w:pStyle w:val="0"/>
              <w:autoSpaceDE w:val="0"/>
              <w:autoSpaceDN w:val="0"/>
              <w:spacing w:line="28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維持</w:t>
            </w:r>
          </w:p>
        </w:tc>
        <w:tc>
          <w:tcPr>
            <w:tcW w:w="1229" w:type="dxa"/>
            <w:shd w:val="clear" w:color="auto" w:fill="auto"/>
            <w:vAlign w:val="center"/>
          </w:tcPr>
          <w:p>
            <w:pPr>
              <w:pStyle w:val="0"/>
              <w:autoSpaceDE w:val="0"/>
              <w:autoSpaceDN w:val="0"/>
              <w:spacing w:line="28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81.6</w:t>
            </w:r>
            <w:r>
              <w:rPr>
                <w:rFonts w:hint="eastAsia" w:ascii="ＭＳ Ｐゴシック" w:hAnsi="ＭＳ Ｐゴシック" w:eastAsia="ＭＳ Ｐゴシック"/>
                <w:color w:val="auto"/>
                <w:sz w:val="21"/>
                <w:highlight w:val="none"/>
              </w:rPr>
              <w:t>年</w:t>
            </w:r>
          </w:p>
        </w:tc>
        <w:tc>
          <w:tcPr>
            <w:tcW w:w="708"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8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p>
        </w:tc>
      </w:tr>
      <w:tr>
        <w:trPr>
          <w:trHeight w:val="283" w:hRule="atLeast"/>
        </w:trPr>
        <w:tc>
          <w:tcPr>
            <w:tcW w:w="3118" w:type="dxa"/>
            <w:vMerge w:val="continue"/>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80" w:lineRule="exact"/>
              <w:rPr>
                <w:rFonts w:hint="default" w:ascii="ＭＳ Ｐゴシック" w:hAnsi="ＭＳ Ｐゴシック" w:eastAsia="ＭＳ Ｐゴシック"/>
                <w:color w:val="000000" w:themeColor="text1"/>
                <w:sz w:val="21"/>
              </w:rPr>
            </w:pPr>
          </w:p>
        </w:tc>
        <w:tc>
          <w:tcPr>
            <w:tcW w:w="1134" w:type="dxa"/>
            <w:tcBorders>
              <w:top w:val="single" w:color="auto" w:sz="4" w:space="0"/>
              <w:left w:val="nil"/>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28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女性</w:t>
            </w:r>
          </w:p>
        </w:tc>
        <w:tc>
          <w:tcPr>
            <w:tcW w:w="1228" w:type="dxa"/>
            <w:shd w:val="clear" w:color="auto" w:fill="auto"/>
            <w:vAlign w:val="center"/>
          </w:tcPr>
          <w:p>
            <w:pPr>
              <w:pStyle w:val="0"/>
              <w:autoSpaceDE w:val="0"/>
              <w:autoSpaceDN w:val="0"/>
              <w:spacing w:line="28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85.15</w:t>
            </w:r>
            <w:r>
              <w:rPr>
                <w:rFonts w:hint="eastAsia" w:ascii="ＭＳ Ｐゴシック" w:hAnsi="ＭＳ Ｐゴシック" w:eastAsia="ＭＳ Ｐゴシック"/>
                <w:color w:val="auto"/>
                <w:sz w:val="21"/>
                <w:highlight w:val="none"/>
              </w:rPr>
              <w:t>年</w:t>
            </w:r>
          </w:p>
        </w:tc>
        <w:tc>
          <w:tcPr>
            <w:tcW w:w="1229" w:type="dxa"/>
            <w:shd w:val="clear" w:color="auto" w:fill="auto"/>
            <w:vAlign w:val="center"/>
          </w:tcPr>
          <w:p>
            <w:pPr>
              <w:pStyle w:val="0"/>
              <w:autoSpaceDE w:val="0"/>
              <w:autoSpaceDN w:val="0"/>
              <w:spacing w:line="28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維持</w:t>
            </w:r>
          </w:p>
        </w:tc>
        <w:tc>
          <w:tcPr>
            <w:tcW w:w="1229" w:type="dxa"/>
            <w:shd w:val="clear" w:color="auto" w:fill="auto"/>
            <w:vAlign w:val="center"/>
          </w:tcPr>
          <w:p>
            <w:pPr>
              <w:pStyle w:val="0"/>
              <w:autoSpaceDE w:val="0"/>
              <w:autoSpaceDN w:val="0"/>
              <w:spacing w:line="28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85.8</w:t>
            </w:r>
            <w:r>
              <w:rPr>
                <w:rFonts w:hint="eastAsia" w:ascii="ＭＳ Ｐゴシック" w:hAnsi="ＭＳ Ｐゴシック" w:eastAsia="ＭＳ Ｐゴシック"/>
                <w:color w:val="auto"/>
                <w:sz w:val="21"/>
                <w:highlight w:val="none"/>
              </w:rPr>
              <w:t>年</w:t>
            </w:r>
          </w:p>
        </w:tc>
        <w:tc>
          <w:tcPr>
            <w:tcW w:w="708"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8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p>
        </w:tc>
      </w:tr>
      <w:tr>
        <w:trPr>
          <w:trHeight w:val="283" w:hRule="atLeast"/>
        </w:trPr>
        <w:tc>
          <w:tcPr>
            <w:tcW w:w="4252" w:type="dxa"/>
            <w:gridSpan w:val="2"/>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autoSpaceDE w:val="0"/>
              <w:autoSpaceDN w:val="0"/>
              <w:spacing w:line="260" w:lineRule="exac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主観的健康感</w:t>
            </w:r>
          </w:p>
          <w:p>
            <w:pPr>
              <w:pStyle w:val="0"/>
              <w:autoSpaceDE w:val="0"/>
              <w:autoSpaceDN w:val="0"/>
              <w:spacing w:line="280" w:lineRule="exact"/>
              <w:jc w:val="lef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0"/>
                <w:highlight w:val="none"/>
              </w:rPr>
              <w:t>（ニーズ調査において、健康状態が「とてもよい」「まあよい」と回答した者の割合）</w:t>
            </w:r>
          </w:p>
        </w:tc>
        <w:tc>
          <w:tcPr>
            <w:tcW w:w="1228" w:type="dxa"/>
            <w:shd w:val="clear" w:color="auto" w:fill="auto"/>
            <w:vAlign w:val="center"/>
          </w:tcPr>
          <w:p>
            <w:pPr>
              <w:pStyle w:val="0"/>
              <w:autoSpaceDE w:val="0"/>
              <w:autoSpaceDN w:val="0"/>
              <w:spacing w:line="280" w:lineRule="exact"/>
              <w:jc w:val="right"/>
              <w:rPr>
                <w:rFonts w:hint="default" w:ascii="ＭＳ Ｐゴシック" w:hAnsi="ＭＳ Ｐゴシック" w:eastAsia="ＭＳ Ｐゴシック"/>
                <w:color w:val="auto"/>
                <w:sz w:val="21"/>
                <w:highlight w:val="none"/>
              </w:rPr>
            </w:pPr>
            <w:r>
              <w:rPr>
                <w:rFonts w:hint="default" w:ascii="ＭＳ Ｐゴシック" w:hAnsi="ＭＳ Ｐゴシック" w:eastAsia="ＭＳ Ｐゴシック"/>
                <w:color w:val="auto"/>
                <w:sz w:val="21"/>
                <w:highlight w:val="none"/>
              </w:rPr>
              <w:t>78.8</w:t>
            </w:r>
            <w:r>
              <w:rPr>
                <w:rFonts w:hint="default" w:ascii="ＭＳ Ｐゴシック" w:hAnsi="ＭＳ Ｐゴシック" w:eastAsia="ＭＳ Ｐゴシック"/>
                <w:color w:val="auto"/>
                <w:sz w:val="21"/>
                <w:highlight w:val="none"/>
              </w:rPr>
              <w:t>％</w:t>
            </w:r>
          </w:p>
        </w:tc>
        <w:tc>
          <w:tcPr>
            <w:tcW w:w="1229" w:type="dxa"/>
            <w:shd w:val="clear" w:color="auto" w:fill="auto"/>
            <w:vAlign w:val="center"/>
          </w:tcPr>
          <w:p>
            <w:pPr>
              <w:pStyle w:val="0"/>
              <w:autoSpaceDE w:val="0"/>
              <w:autoSpaceDN w:val="0"/>
              <w:spacing w:line="28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維持</w:t>
            </w:r>
          </w:p>
        </w:tc>
        <w:tc>
          <w:tcPr>
            <w:tcW w:w="1229" w:type="dxa"/>
            <w:shd w:val="clear" w:color="auto" w:fill="auto"/>
            <w:vAlign w:val="center"/>
          </w:tcPr>
          <w:p>
            <w:pPr>
              <w:pStyle w:val="0"/>
              <w:autoSpaceDE w:val="0"/>
              <w:autoSpaceDN w:val="0"/>
              <w:spacing w:line="28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77.0</w:t>
            </w:r>
            <w:r>
              <w:rPr>
                <w:rFonts w:hint="eastAsia" w:ascii="ＭＳ Ｐゴシック" w:hAnsi="ＭＳ Ｐゴシック" w:eastAsia="ＭＳ Ｐゴシック"/>
                <w:color w:val="auto"/>
                <w:sz w:val="21"/>
                <w:highlight w:val="none"/>
              </w:rPr>
              <w:t>％</w:t>
            </w:r>
          </w:p>
        </w:tc>
        <w:tc>
          <w:tcPr>
            <w:tcW w:w="708"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8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p>
        </w:tc>
      </w:tr>
      <w:tr>
        <w:trPr>
          <w:trHeight w:val="283" w:hRule="atLeast"/>
        </w:trPr>
        <w:tc>
          <w:tcPr>
            <w:tcW w:w="4252" w:type="dxa"/>
            <w:gridSpan w:val="2"/>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autoSpaceDE w:val="0"/>
              <w:autoSpaceDN w:val="0"/>
              <w:spacing w:line="280" w:lineRule="exact"/>
              <w:jc w:val="lef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0"/>
                <w:highlight w:val="none"/>
              </w:rPr>
              <w:t>要支援・要介護認定率</w:t>
            </w:r>
          </w:p>
        </w:tc>
        <w:tc>
          <w:tcPr>
            <w:tcW w:w="122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280" w:lineRule="exact"/>
              <w:jc w:val="right"/>
              <w:rPr>
                <w:rFonts w:hint="default" w:ascii="ＭＳ Ｐゴシック" w:hAnsi="ＭＳ Ｐゴシック" w:eastAsia="ＭＳ Ｐゴシック"/>
                <w:color w:val="auto"/>
                <w:sz w:val="21"/>
                <w:highlight w:val="none"/>
              </w:rPr>
            </w:pPr>
            <w:r>
              <w:rPr>
                <w:rFonts w:hint="default" w:ascii="ＭＳ Ｐゴシック" w:hAnsi="ＭＳ Ｐゴシック" w:eastAsia="ＭＳ Ｐゴシック"/>
                <w:color w:val="auto"/>
                <w:sz w:val="21"/>
                <w:highlight w:val="none"/>
              </w:rPr>
              <w:t>17.5</w:t>
            </w:r>
            <w:r>
              <w:rPr>
                <w:rFonts w:hint="default" w:ascii="ＭＳ Ｐゴシック" w:hAnsi="ＭＳ Ｐゴシック" w:eastAsia="ＭＳ Ｐゴシック"/>
                <w:color w:val="auto"/>
                <w:sz w:val="21"/>
                <w:highlight w:val="none"/>
              </w:rPr>
              <w:t>％</w:t>
            </w:r>
          </w:p>
        </w:tc>
        <w:tc>
          <w:tcPr>
            <w:tcW w:w="122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28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維持</w:t>
            </w:r>
          </w:p>
        </w:tc>
        <w:tc>
          <w:tcPr>
            <w:tcW w:w="122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28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18.0</w:t>
            </w:r>
            <w:r>
              <w:rPr>
                <w:rFonts w:hint="eastAsia" w:ascii="ＭＳ Ｐゴシック" w:hAnsi="ＭＳ Ｐゴシック" w:eastAsia="ＭＳ Ｐゴシック"/>
                <w:color w:val="auto"/>
                <w:sz w:val="21"/>
                <w:highlight w:val="none"/>
              </w:rPr>
              <w:t>％</w:t>
            </w:r>
          </w:p>
        </w:tc>
        <w:tc>
          <w:tcPr>
            <w:tcW w:w="708"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8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p>
        </w:tc>
      </w:tr>
    </w:tbl>
    <w:p>
      <w:pPr>
        <w:pStyle w:val="41"/>
        <w:rPr>
          <w:rFonts w:hint="default"/>
          <w:color w:val="auto"/>
          <w:highlight w:val="none"/>
        </w:rPr>
      </w:pPr>
    </w:p>
    <w:p>
      <w:pPr>
        <w:pStyle w:val="30"/>
        <w:spacing w:after="76" w:afterLines="0" w:afterAutospacing="0"/>
        <w:rPr>
          <w:rFonts w:hint="default"/>
          <w:color w:val="auto"/>
          <w:highlight w:val="none"/>
        </w:rPr>
      </w:pPr>
      <w:r>
        <w:rPr>
          <w:rFonts w:hint="eastAsia"/>
          <w:color w:val="auto"/>
          <w:highlight w:val="none"/>
        </w:rPr>
        <w:t>ア　</w:t>
      </w:r>
      <w:r>
        <w:rPr>
          <w:rFonts w:hint="default"/>
          <w:color w:val="auto"/>
          <w:highlight w:val="none"/>
        </w:rPr>
        <w:t>フレイル予防・重症化予防の取組</w:t>
      </w:r>
    </w:p>
    <w:p>
      <w:pPr>
        <w:pStyle w:val="77"/>
        <w:rPr>
          <w:rFonts w:hint="default"/>
          <w:color w:val="auto"/>
          <w:highlight w:val="none"/>
        </w:rPr>
      </w:pPr>
      <w:r>
        <w:rPr>
          <w:rFonts w:hint="eastAsia"/>
          <w:color w:val="auto"/>
          <w:highlight w:val="none"/>
        </w:rPr>
        <w:t>(</w:t>
      </w:r>
      <w:r>
        <w:rPr>
          <w:rFonts w:hint="eastAsia"/>
          <w:color w:val="auto"/>
          <w:highlight w:val="none"/>
        </w:rPr>
        <w:t>ア</w:t>
      </w:r>
      <w:r>
        <w:rPr>
          <w:rFonts w:hint="eastAsia"/>
          <w:color w:val="auto"/>
          <w:highlight w:val="none"/>
        </w:rPr>
        <w:t>)</w:t>
      </w:r>
      <w:r>
        <w:rPr>
          <w:rFonts w:hint="default"/>
          <w:color w:val="auto"/>
          <w:highlight w:val="none"/>
        </w:rPr>
        <w:t xml:space="preserve"> </w:t>
      </w:r>
      <w:r>
        <w:rPr>
          <w:rFonts w:hint="eastAsia"/>
          <w:color w:val="auto"/>
          <w:highlight w:val="none"/>
        </w:rPr>
        <w:t>通いの場</w:t>
      </w:r>
    </w:p>
    <w:p>
      <w:pPr>
        <w:pStyle w:val="44"/>
        <w:rPr>
          <w:rFonts w:hint="default"/>
          <w:color w:val="auto"/>
          <w:highlight w:val="none"/>
        </w:rPr>
      </w:pPr>
      <w:r>
        <w:rPr>
          <w:rFonts w:hint="eastAsia"/>
          <w:color w:val="auto"/>
          <w:highlight w:val="none"/>
        </w:rPr>
        <w:t>高齢者が身近な場所で健康づくり、介護予防に取り組むことができるよう、通いの場の箇所数を増やし、実施団体数の増加とともに、通いの場に参加する高齢者の割合も増加しました。</w:t>
      </w:r>
    </w:p>
    <w:p>
      <w:pPr>
        <w:pStyle w:val="44"/>
        <w:spacing w:after="185" w:afterLines="50" w:afterAutospacing="0"/>
        <w:rPr>
          <w:rFonts w:hint="default"/>
          <w:color w:val="auto"/>
          <w:highlight w:val="none"/>
        </w:rPr>
      </w:pPr>
      <w:r>
        <w:rPr>
          <w:rFonts w:hint="eastAsia"/>
          <w:color w:val="auto"/>
          <w:highlight w:val="none"/>
        </w:rPr>
        <w:t>通いの場の活動が継続されるよう専門職が出向き、支援を実施する必要があります。</w:t>
      </w:r>
    </w:p>
    <w:tbl>
      <w:tblPr>
        <w:tblStyle w:val="81"/>
        <w:tblW w:w="8357" w:type="dxa"/>
        <w:tblInd w:w="704" w:type="dxa"/>
        <w:tblLayout w:type="fixed"/>
        <w:tblLook w:firstRow="1" w:lastRow="0" w:firstColumn="1" w:lastColumn="0" w:noHBand="0" w:noVBand="1" w:val="04A0"/>
      </w:tblPr>
      <w:tblGrid>
        <w:gridCol w:w="3119"/>
        <w:gridCol w:w="992"/>
        <w:gridCol w:w="1181"/>
        <w:gridCol w:w="1181"/>
        <w:gridCol w:w="1182"/>
        <w:gridCol w:w="702"/>
      </w:tblGrid>
      <w:tr>
        <w:trPr>
          <w:trHeight w:val="510" w:hRule="atLeast"/>
        </w:trPr>
        <w:tc>
          <w:tcPr>
            <w:tcW w:w="4111"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18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3</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(2021</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18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4</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(2022</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18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5</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r>
              <w:rPr>
                <w:rFonts w:hint="default" w:ascii="ＭＳ Ｐゴシック" w:hAnsi="ＭＳ Ｐゴシック" w:eastAsia="ＭＳ Ｐゴシック"/>
                <w:color w:val="auto"/>
                <w:sz w:val="21"/>
                <w:highlight w:val="none"/>
              </w:rPr>
              <w:t>202</w:t>
            </w:r>
            <w:r>
              <w:rPr>
                <w:rFonts w:hint="eastAsia" w:ascii="ＭＳ Ｐゴシック" w:hAnsi="ＭＳ Ｐゴシック" w:eastAsia="ＭＳ Ｐゴシック"/>
                <w:color w:val="auto"/>
                <w:sz w:val="21"/>
                <w:highlight w:val="none"/>
              </w:rPr>
              <w:t>3</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見込み</w:t>
            </w:r>
          </w:p>
        </w:tc>
        <w:tc>
          <w:tcPr>
            <w:tcW w:w="70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8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達成</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状況</w:t>
            </w:r>
          </w:p>
        </w:tc>
      </w:tr>
      <w:tr>
        <w:trPr>
          <w:trHeight w:val="283" w:hRule="atLeast"/>
        </w:trPr>
        <w:tc>
          <w:tcPr>
            <w:tcW w:w="3119" w:type="dxa"/>
            <w:vMerge w:val="restart"/>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高齢者人口における参加者の</w:t>
            </w:r>
          </w:p>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割合（％）</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計画値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5.0</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6.0</w:t>
            </w:r>
          </w:p>
        </w:tc>
        <w:tc>
          <w:tcPr>
            <w:tcW w:w="118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6.0</w:t>
            </w:r>
          </w:p>
        </w:tc>
        <w:tc>
          <w:tcPr>
            <w:tcW w:w="702"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p>
        </w:tc>
      </w:tr>
      <w:tr>
        <w:trPr>
          <w:trHeight w:val="283" w:hRule="atLeast"/>
        </w:trPr>
        <w:tc>
          <w:tcPr>
            <w:tcW w:w="3119" w:type="dxa"/>
            <w:vMerge w:val="continue"/>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000000" w:themeColor="text1"/>
                <w:sz w:val="21"/>
              </w:rPr>
            </w:pP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実績値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4.8</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5.2</w:t>
            </w:r>
          </w:p>
        </w:tc>
        <w:tc>
          <w:tcPr>
            <w:tcW w:w="1182" w:type="dxa"/>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5.9</w:t>
            </w:r>
          </w:p>
        </w:tc>
        <w:tc>
          <w:tcPr>
            <w:tcW w:w="702" w:type="dxa"/>
            <w:vMerge w:val="continue"/>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000000" w:themeColor="text1"/>
                <w:sz w:val="21"/>
                <w:highlight w:val="yellow"/>
              </w:rPr>
            </w:pPr>
          </w:p>
        </w:tc>
      </w:tr>
      <w:tr>
        <w:trPr>
          <w:trHeight w:val="283" w:hRule="atLeast"/>
        </w:trPr>
        <w:tc>
          <w:tcPr>
            <w:tcW w:w="3119" w:type="dxa"/>
            <w:vMerge w:val="restart"/>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箇所数（か所）</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計画値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70</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80</w:t>
            </w:r>
          </w:p>
        </w:tc>
        <w:tc>
          <w:tcPr>
            <w:tcW w:w="1182" w:type="dxa"/>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90</w:t>
            </w:r>
          </w:p>
        </w:tc>
        <w:tc>
          <w:tcPr>
            <w:tcW w:w="702" w:type="dxa"/>
            <w:vMerge w:val="restart"/>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p>
        </w:tc>
      </w:tr>
      <w:tr>
        <w:trPr>
          <w:trHeight w:val="283" w:hRule="atLeast"/>
        </w:trPr>
        <w:tc>
          <w:tcPr>
            <w:tcW w:w="3119" w:type="dxa"/>
            <w:vMerge w:val="continue"/>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000000" w:themeColor="text1"/>
                <w:sz w:val="21"/>
              </w:rPr>
            </w:pP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実績値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76</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83</w:t>
            </w:r>
          </w:p>
        </w:tc>
        <w:tc>
          <w:tcPr>
            <w:tcW w:w="1182" w:type="dxa"/>
            <w:tcBorders>
              <w:top w:val="none" w:color="auto" w:sz="0"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98</w:t>
            </w:r>
          </w:p>
        </w:tc>
        <w:tc>
          <w:tcPr>
            <w:tcW w:w="702"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000000" w:themeColor="text1"/>
                <w:sz w:val="21"/>
              </w:rPr>
            </w:pPr>
          </w:p>
        </w:tc>
      </w:tr>
    </w:tbl>
    <w:p>
      <w:pPr>
        <w:pStyle w:val="41"/>
        <w:rPr>
          <w:rFonts w:hint="default"/>
          <w:color w:val="auto"/>
          <w:highlight w:val="none"/>
        </w:rPr>
      </w:pPr>
    </w:p>
    <w:p>
      <w:pPr>
        <w:pStyle w:val="77"/>
        <w:rPr>
          <w:rFonts w:hint="default"/>
          <w:color w:val="auto"/>
          <w:highlight w:val="none"/>
        </w:rPr>
      </w:pPr>
      <w:r>
        <w:rPr>
          <w:rFonts w:hint="eastAsia"/>
          <w:color w:val="auto"/>
          <w:highlight w:val="none"/>
        </w:rPr>
        <w:t>(</w:t>
      </w:r>
      <w:r>
        <w:rPr>
          <w:rFonts w:hint="eastAsia"/>
          <w:color w:val="auto"/>
          <w:highlight w:val="none"/>
        </w:rPr>
        <w:t>イ</w:t>
      </w:r>
      <w:r>
        <w:rPr>
          <w:rFonts w:hint="eastAsia"/>
          <w:color w:val="auto"/>
          <w:highlight w:val="none"/>
        </w:rPr>
        <w:t>)</w:t>
      </w:r>
      <w:r>
        <w:rPr>
          <w:rFonts w:hint="default"/>
          <w:color w:val="auto"/>
          <w:highlight w:val="none"/>
        </w:rPr>
        <w:t xml:space="preserve"> </w:t>
      </w:r>
      <w:r>
        <w:rPr>
          <w:rFonts w:hint="eastAsia"/>
          <w:color w:val="auto"/>
          <w:highlight w:val="none"/>
        </w:rPr>
        <w:t>「通いの場」における健康教育・健康相談</w:t>
      </w:r>
    </w:p>
    <w:p>
      <w:pPr>
        <w:pStyle w:val="44"/>
        <w:rPr>
          <w:rFonts w:hint="default"/>
          <w:color w:val="auto"/>
          <w:highlight w:val="none"/>
        </w:rPr>
      </w:pPr>
      <w:r>
        <w:rPr>
          <w:rFonts w:hint="eastAsia"/>
          <w:color w:val="auto"/>
          <w:highlight w:val="none"/>
        </w:rPr>
        <w:t>通いの場において、栄養や口腔に関する健康教育と健康相談などを実施するとともに、フレイルが心配される参加者に栄養指導等の支援につなげました。</w:t>
      </w:r>
    </w:p>
    <w:p>
      <w:pPr>
        <w:pStyle w:val="44"/>
        <w:rPr>
          <w:rFonts w:hint="default"/>
          <w:color w:val="auto"/>
          <w:highlight w:val="none"/>
        </w:rPr>
      </w:pPr>
      <w:r>
        <w:rPr>
          <w:rFonts w:hint="eastAsia"/>
          <w:color w:val="auto"/>
          <w:highlight w:val="none"/>
        </w:rPr>
        <w:t>今後、実施地域を拡大し、関係機関と連携し、地域の健康課題解決に向けた健康教育を推進する必要があります。</w:t>
      </w:r>
    </w:p>
    <w:p>
      <w:pPr>
        <w:pStyle w:val="0"/>
        <w:widowControl w:val="1"/>
        <w:jc w:val="left"/>
        <w:rPr>
          <w:rFonts w:hint="default"/>
          <w:color w:val="auto"/>
          <w:highlight w:val="none"/>
        </w:rPr>
      </w:pPr>
      <w:r>
        <w:rPr>
          <w:rFonts w:hint="default"/>
          <w:color w:val="auto"/>
          <w:highlight w:val="none"/>
        </w:rPr>
        <w:br w:type="page"/>
      </w:r>
    </w:p>
    <w:tbl>
      <w:tblPr>
        <w:tblStyle w:val="81"/>
        <w:tblW w:w="8357" w:type="dxa"/>
        <w:tblInd w:w="704" w:type="dxa"/>
        <w:tblLayout w:type="fixed"/>
        <w:tblLook w:firstRow="1" w:lastRow="0" w:firstColumn="1" w:lastColumn="0" w:noHBand="0" w:noVBand="1" w:val="04A0"/>
      </w:tblPr>
      <w:tblGrid>
        <w:gridCol w:w="3119"/>
        <w:gridCol w:w="992"/>
        <w:gridCol w:w="1181"/>
        <w:gridCol w:w="1181"/>
        <w:gridCol w:w="1182"/>
        <w:gridCol w:w="702"/>
      </w:tblGrid>
      <w:tr>
        <w:trPr>
          <w:trHeight w:val="510" w:hRule="atLeast"/>
        </w:trPr>
        <w:tc>
          <w:tcPr>
            <w:tcW w:w="4111"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sz w:val="21"/>
                <w:highlight w:val="none"/>
              </w:rPr>
            </w:pPr>
            <w:r>
              <w:rPr>
                <w:rFonts w:hint="eastAsia"/>
                <w:color w:val="auto"/>
                <w:highlight w:val="none"/>
              </w:rPr>
              <w:t xml:space="preserve"> </w:t>
            </w:r>
            <w:r>
              <w:rPr>
                <w:rFonts w:hint="eastAsia" w:ascii="ＭＳ Ｐゴシック" w:hAnsi="ＭＳ Ｐゴシック" w:eastAsia="ＭＳ Ｐゴシック"/>
                <w:color w:val="auto"/>
                <w:sz w:val="21"/>
                <w:highlight w:val="none"/>
              </w:rPr>
              <w:t>指標</w:t>
            </w:r>
          </w:p>
        </w:tc>
        <w:tc>
          <w:tcPr>
            <w:tcW w:w="118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3</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(2021</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18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4</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(2022</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18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5</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r>
              <w:rPr>
                <w:rFonts w:hint="default" w:ascii="ＭＳ Ｐゴシック" w:hAnsi="ＭＳ Ｐゴシック" w:eastAsia="ＭＳ Ｐゴシック"/>
                <w:color w:val="auto"/>
                <w:sz w:val="21"/>
                <w:highlight w:val="none"/>
              </w:rPr>
              <w:t>202</w:t>
            </w:r>
            <w:r>
              <w:rPr>
                <w:rFonts w:hint="eastAsia" w:ascii="ＭＳ Ｐゴシック" w:hAnsi="ＭＳ Ｐゴシック" w:eastAsia="ＭＳ Ｐゴシック"/>
                <w:color w:val="auto"/>
                <w:sz w:val="21"/>
                <w:highlight w:val="none"/>
              </w:rPr>
              <w:t>3</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見込み</w:t>
            </w:r>
          </w:p>
        </w:tc>
        <w:tc>
          <w:tcPr>
            <w:tcW w:w="70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8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達成</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状況</w:t>
            </w:r>
          </w:p>
        </w:tc>
      </w:tr>
      <w:tr>
        <w:trPr>
          <w:trHeight w:val="283" w:hRule="atLeast"/>
        </w:trPr>
        <w:tc>
          <w:tcPr>
            <w:tcW w:w="3119" w:type="dxa"/>
            <w:vMerge w:val="restart"/>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実施回数（回）</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計画値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w:t>
            </w:r>
          </w:p>
        </w:tc>
        <w:tc>
          <w:tcPr>
            <w:tcW w:w="118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35</w:t>
            </w:r>
          </w:p>
        </w:tc>
        <w:tc>
          <w:tcPr>
            <w:tcW w:w="702"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p>
        </w:tc>
      </w:tr>
      <w:tr>
        <w:trPr>
          <w:trHeight w:val="283" w:hRule="atLeast"/>
        </w:trPr>
        <w:tc>
          <w:tcPr>
            <w:tcW w:w="3119" w:type="dxa"/>
            <w:vMerge w:val="continue"/>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000000" w:themeColor="text1"/>
                <w:sz w:val="21"/>
              </w:rPr>
            </w:pP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実績値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67</w:t>
            </w:r>
          </w:p>
        </w:tc>
        <w:tc>
          <w:tcPr>
            <w:tcW w:w="1182" w:type="dxa"/>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71</w:t>
            </w:r>
          </w:p>
        </w:tc>
        <w:tc>
          <w:tcPr>
            <w:tcW w:w="702" w:type="dxa"/>
            <w:vMerge w:val="continue"/>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000000" w:themeColor="text1"/>
                <w:sz w:val="21"/>
                <w:highlight w:val="yellow"/>
              </w:rPr>
            </w:pPr>
          </w:p>
        </w:tc>
      </w:tr>
      <w:tr>
        <w:trPr>
          <w:trHeight w:val="283" w:hRule="atLeast"/>
        </w:trPr>
        <w:tc>
          <w:tcPr>
            <w:tcW w:w="3119" w:type="dxa"/>
            <w:vMerge w:val="restart"/>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延参加者数（人）</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計画値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300</w:t>
            </w:r>
          </w:p>
        </w:tc>
        <w:tc>
          <w:tcPr>
            <w:tcW w:w="1182" w:type="dxa"/>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525</w:t>
            </w:r>
          </w:p>
        </w:tc>
        <w:tc>
          <w:tcPr>
            <w:tcW w:w="702" w:type="dxa"/>
            <w:vMerge w:val="restart"/>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p>
        </w:tc>
      </w:tr>
      <w:tr>
        <w:trPr>
          <w:trHeight w:val="283" w:hRule="atLeast"/>
        </w:trPr>
        <w:tc>
          <w:tcPr>
            <w:tcW w:w="3119" w:type="dxa"/>
            <w:vMerge w:val="continue"/>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000000" w:themeColor="text1"/>
                <w:sz w:val="21"/>
              </w:rPr>
            </w:pP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実績値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17</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565</w:t>
            </w:r>
          </w:p>
        </w:tc>
        <w:tc>
          <w:tcPr>
            <w:tcW w:w="1182" w:type="dxa"/>
            <w:tcBorders>
              <w:top w:val="none" w:color="auto" w:sz="0"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1,022</w:t>
            </w:r>
          </w:p>
        </w:tc>
        <w:tc>
          <w:tcPr>
            <w:tcW w:w="702"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000000" w:themeColor="text1"/>
                <w:sz w:val="21"/>
              </w:rPr>
            </w:pPr>
          </w:p>
        </w:tc>
      </w:tr>
    </w:tbl>
    <w:p>
      <w:pPr>
        <w:pStyle w:val="41"/>
        <w:spacing w:line="240" w:lineRule="exact"/>
        <w:rPr>
          <w:rFonts w:hint="default"/>
          <w:color w:val="auto"/>
          <w:highlight w:val="none"/>
        </w:rPr>
      </w:pPr>
    </w:p>
    <w:p>
      <w:pPr>
        <w:pStyle w:val="77"/>
        <w:rPr>
          <w:rFonts w:hint="default"/>
          <w:color w:val="auto"/>
          <w:highlight w:val="none"/>
        </w:rPr>
      </w:pPr>
      <w:r>
        <w:rPr>
          <w:rFonts w:hint="eastAsia"/>
          <w:color w:val="auto"/>
          <w:highlight w:val="none"/>
        </w:rPr>
        <w:t>(</w:t>
      </w:r>
      <w:r>
        <w:rPr>
          <w:rFonts w:hint="eastAsia"/>
          <w:color w:val="auto"/>
          <w:highlight w:val="none"/>
        </w:rPr>
        <w:t>ウ</w:t>
      </w:r>
      <w:r>
        <w:rPr>
          <w:rFonts w:hint="eastAsia"/>
          <w:color w:val="auto"/>
          <w:highlight w:val="none"/>
        </w:rPr>
        <w:t>)</w:t>
      </w:r>
      <w:r>
        <w:rPr>
          <w:rFonts w:hint="default"/>
          <w:color w:val="auto"/>
          <w:highlight w:val="none"/>
        </w:rPr>
        <w:t xml:space="preserve"> </w:t>
      </w:r>
      <w:r>
        <w:rPr>
          <w:rFonts w:hint="eastAsia"/>
          <w:color w:val="auto"/>
          <w:highlight w:val="none"/>
        </w:rPr>
        <w:t>低栄養指導対象者の体重維持・改善者</w:t>
      </w:r>
    </w:p>
    <w:p>
      <w:pPr>
        <w:pStyle w:val="44"/>
        <w:rPr>
          <w:rFonts w:hint="default"/>
          <w:color w:val="auto"/>
          <w:highlight w:val="none"/>
        </w:rPr>
      </w:pPr>
      <w:r>
        <w:rPr>
          <w:rFonts w:hint="eastAsia"/>
          <w:color w:val="auto"/>
          <w:highlight w:val="none"/>
        </w:rPr>
        <w:t>後期高齢者健診受診者等から抽出した対象者に対して、個別の栄養指導を実施</w:t>
      </w:r>
      <w:r>
        <w:rPr>
          <w:rFonts w:hint="default"/>
          <w:color w:val="auto"/>
          <w:highlight w:val="none"/>
        </w:rPr>
        <w:t>し、体重の維持改善</w:t>
      </w:r>
      <w:r>
        <w:rPr>
          <w:rFonts w:hint="eastAsia"/>
          <w:color w:val="auto"/>
          <w:highlight w:val="none"/>
        </w:rPr>
        <w:t>につなげました。</w:t>
      </w:r>
    </w:p>
    <w:p>
      <w:pPr>
        <w:pStyle w:val="44"/>
        <w:spacing w:after="185" w:afterLines="50" w:afterAutospacing="0"/>
        <w:rPr>
          <w:rFonts w:hint="default"/>
          <w:color w:val="auto"/>
          <w:highlight w:val="none"/>
        </w:rPr>
      </w:pPr>
      <w:r>
        <w:rPr>
          <w:rFonts w:hint="eastAsia"/>
          <w:color w:val="auto"/>
          <w:highlight w:val="none"/>
        </w:rPr>
        <w:t>今後、実施地域を拡大し、医療機関と連携した実施体制を整える必要があります。</w:t>
      </w:r>
    </w:p>
    <w:tbl>
      <w:tblPr>
        <w:tblStyle w:val="81"/>
        <w:tblW w:w="8357" w:type="dxa"/>
        <w:tblInd w:w="704" w:type="dxa"/>
        <w:tblLayout w:type="fixed"/>
        <w:tblLook w:firstRow="1" w:lastRow="0" w:firstColumn="1" w:lastColumn="0" w:noHBand="0" w:noVBand="1" w:val="04A0"/>
      </w:tblPr>
      <w:tblGrid>
        <w:gridCol w:w="3119"/>
        <w:gridCol w:w="992"/>
        <w:gridCol w:w="1181"/>
        <w:gridCol w:w="1181"/>
        <w:gridCol w:w="1182"/>
        <w:gridCol w:w="702"/>
      </w:tblGrid>
      <w:tr>
        <w:trPr>
          <w:trHeight w:val="510" w:hRule="atLeast"/>
        </w:trPr>
        <w:tc>
          <w:tcPr>
            <w:tcW w:w="4111"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18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3</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(2021</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18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4</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(2022</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18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5</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r>
              <w:rPr>
                <w:rFonts w:hint="default" w:ascii="ＭＳ Ｐゴシック" w:hAnsi="ＭＳ Ｐゴシック" w:eastAsia="ＭＳ Ｐゴシック"/>
                <w:color w:val="auto"/>
                <w:sz w:val="21"/>
                <w:highlight w:val="none"/>
              </w:rPr>
              <w:t>202</w:t>
            </w:r>
            <w:r>
              <w:rPr>
                <w:rFonts w:hint="eastAsia" w:ascii="ＭＳ Ｐゴシック" w:hAnsi="ＭＳ Ｐゴシック" w:eastAsia="ＭＳ Ｐゴシック"/>
                <w:color w:val="auto"/>
                <w:sz w:val="21"/>
                <w:highlight w:val="none"/>
              </w:rPr>
              <w:t>3</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見込み</w:t>
            </w:r>
          </w:p>
        </w:tc>
        <w:tc>
          <w:tcPr>
            <w:tcW w:w="70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8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達成</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状況</w:t>
            </w:r>
          </w:p>
        </w:tc>
      </w:tr>
      <w:tr>
        <w:trPr>
          <w:trHeight w:val="283" w:hRule="atLeast"/>
        </w:trPr>
        <w:tc>
          <w:tcPr>
            <w:tcW w:w="3119" w:type="dxa"/>
            <w:vMerge w:val="restart"/>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体重維持・改善者の割合（％）</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計画値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80.0</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80.0</w:t>
            </w:r>
          </w:p>
        </w:tc>
        <w:tc>
          <w:tcPr>
            <w:tcW w:w="118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80.0</w:t>
            </w:r>
          </w:p>
        </w:tc>
        <w:tc>
          <w:tcPr>
            <w:tcW w:w="702"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p>
        </w:tc>
      </w:tr>
      <w:tr>
        <w:trPr>
          <w:trHeight w:val="283" w:hRule="atLeast"/>
        </w:trPr>
        <w:tc>
          <w:tcPr>
            <w:tcW w:w="3119" w:type="dxa"/>
            <w:vMerge w:val="continue"/>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000000" w:themeColor="text1"/>
                <w:sz w:val="21"/>
              </w:rPr>
            </w:pP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実績値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85.7</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85.7</w:t>
            </w:r>
          </w:p>
        </w:tc>
        <w:tc>
          <w:tcPr>
            <w:tcW w:w="1182" w:type="dxa"/>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70.0</w:t>
            </w:r>
          </w:p>
        </w:tc>
        <w:tc>
          <w:tcPr>
            <w:tcW w:w="702" w:type="dxa"/>
            <w:vMerge w:val="continue"/>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000000" w:themeColor="text1"/>
                <w:sz w:val="21"/>
              </w:rPr>
            </w:pPr>
          </w:p>
        </w:tc>
      </w:tr>
    </w:tbl>
    <w:p>
      <w:pPr>
        <w:pStyle w:val="41"/>
        <w:spacing w:line="240" w:lineRule="exact"/>
        <w:rPr>
          <w:rFonts w:hint="default"/>
          <w:color w:val="auto"/>
          <w:highlight w:val="none"/>
        </w:rPr>
      </w:pPr>
    </w:p>
    <w:p>
      <w:pPr>
        <w:pStyle w:val="77"/>
        <w:rPr>
          <w:rFonts w:hint="default"/>
          <w:color w:val="auto"/>
          <w:highlight w:val="none"/>
        </w:rPr>
      </w:pPr>
      <w:r>
        <w:rPr>
          <w:rFonts w:hint="eastAsia"/>
          <w:color w:val="auto"/>
          <w:highlight w:val="none"/>
        </w:rPr>
        <w:t>(</w:t>
      </w:r>
      <w:r>
        <w:rPr>
          <w:rFonts w:hint="eastAsia"/>
          <w:color w:val="auto"/>
          <w:highlight w:val="none"/>
        </w:rPr>
        <w:t>エ</w:t>
      </w:r>
      <w:r>
        <w:rPr>
          <w:rFonts w:hint="eastAsia"/>
          <w:color w:val="auto"/>
          <w:highlight w:val="none"/>
        </w:rPr>
        <w:t>)</w:t>
      </w:r>
      <w:r>
        <w:rPr>
          <w:rFonts w:hint="default"/>
          <w:color w:val="auto"/>
          <w:highlight w:val="none"/>
        </w:rPr>
        <w:t xml:space="preserve"> </w:t>
      </w:r>
      <w:r>
        <w:rPr>
          <w:rFonts w:hint="eastAsia"/>
          <w:color w:val="auto"/>
          <w:highlight w:val="none"/>
        </w:rPr>
        <w:t>生活習慣病重症化予防訪問</w:t>
      </w:r>
    </w:p>
    <w:p>
      <w:pPr>
        <w:pStyle w:val="44"/>
        <w:spacing w:after="185" w:afterLines="50" w:afterAutospacing="0"/>
        <w:rPr>
          <w:rFonts w:hint="default"/>
          <w:color w:val="auto"/>
          <w:highlight w:val="none"/>
        </w:rPr>
      </w:pPr>
      <w:r>
        <w:rPr>
          <w:rFonts w:hint="eastAsia"/>
          <w:color w:val="auto"/>
          <w:highlight w:val="none"/>
        </w:rPr>
        <w:t>後期高齢者健診受診者（集団健診）のうち、定期的な受診が確認できないなどにより、リスクの高い重症化予防対象者に受診勧奨を実施しまし</w:t>
      </w:r>
      <w:r>
        <w:rPr>
          <w:rFonts w:hint="default"/>
          <w:color w:val="auto"/>
          <w:highlight w:val="none"/>
        </w:rPr>
        <w:t>た。</w:t>
      </w:r>
    </w:p>
    <w:tbl>
      <w:tblPr>
        <w:tblStyle w:val="81"/>
        <w:tblW w:w="8357" w:type="dxa"/>
        <w:tblInd w:w="704" w:type="dxa"/>
        <w:tblLayout w:type="fixed"/>
        <w:tblLook w:firstRow="1" w:lastRow="0" w:firstColumn="1" w:lastColumn="0" w:noHBand="0" w:noVBand="1" w:val="04A0"/>
      </w:tblPr>
      <w:tblGrid>
        <w:gridCol w:w="3119"/>
        <w:gridCol w:w="992"/>
        <w:gridCol w:w="1181"/>
        <w:gridCol w:w="1181"/>
        <w:gridCol w:w="1182"/>
        <w:gridCol w:w="702"/>
      </w:tblGrid>
      <w:tr>
        <w:trPr>
          <w:trHeight w:val="510" w:hRule="atLeast"/>
        </w:trPr>
        <w:tc>
          <w:tcPr>
            <w:tcW w:w="4111"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18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3</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(2021</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18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4</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(2022</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18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5</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r>
              <w:rPr>
                <w:rFonts w:hint="default" w:ascii="ＭＳ Ｐゴシック" w:hAnsi="ＭＳ Ｐゴシック" w:eastAsia="ＭＳ Ｐゴシック"/>
                <w:color w:val="auto"/>
                <w:sz w:val="21"/>
                <w:highlight w:val="none"/>
              </w:rPr>
              <w:t>202</w:t>
            </w:r>
            <w:r>
              <w:rPr>
                <w:rFonts w:hint="eastAsia" w:ascii="ＭＳ Ｐゴシック" w:hAnsi="ＭＳ Ｐゴシック" w:eastAsia="ＭＳ Ｐゴシック"/>
                <w:color w:val="auto"/>
                <w:sz w:val="21"/>
                <w:highlight w:val="none"/>
              </w:rPr>
              <w:t>3</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見込み</w:t>
            </w:r>
          </w:p>
        </w:tc>
        <w:tc>
          <w:tcPr>
            <w:tcW w:w="70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8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達成</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状況</w:t>
            </w:r>
          </w:p>
        </w:tc>
      </w:tr>
      <w:tr>
        <w:trPr>
          <w:trHeight w:val="283" w:hRule="atLeast"/>
        </w:trPr>
        <w:tc>
          <w:tcPr>
            <w:tcW w:w="3119" w:type="dxa"/>
            <w:vMerge w:val="restart"/>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訪問実施回数（回）</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計画値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3</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30</w:t>
            </w:r>
          </w:p>
        </w:tc>
        <w:tc>
          <w:tcPr>
            <w:tcW w:w="118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40</w:t>
            </w:r>
          </w:p>
        </w:tc>
        <w:tc>
          <w:tcPr>
            <w:tcW w:w="702"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p>
        </w:tc>
      </w:tr>
      <w:tr>
        <w:trPr>
          <w:trHeight w:val="283" w:hRule="atLeast"/>
        </w:trPr>
        <w:tc>
          <w:tcPr>
            <w:tcW w:w="3119" w:type="dxa"/>
            <w:vMerge w:val="continue"/>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000000" w:themeColor="text1"/>
                <w:sz w:val="21"/>
              </w:rPr>
            </w:pP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実績値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8</w:t>
            </w:r>
          </w:p>
        </w:tc>
        <w:tc>
          <w:tcPr>
            <w:tcW w:w="1182" w:type="dxa"/>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4</w:t>
            </w:r>
          </w:p>
        </w:tc>
        <w:tc>
          <w:tcPr>
            <w:tcW w:w="702" w:type="dxa"/>
            <w:vMerge w:val="continue"/>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000000" w:themeColor="text1"/>
                <w:sz w:val="21"/>
              </w:rPr>
            </w:pPr>
          </w:p>
        </w:tc>
      </w:tr>
    </w:tbl>
    <w:p>
      <w:pPr>
        <w:pStyle w:val="41"/>
        <w:spacing w:line="320" w:lineRule="exact"/>
        <w:rPr>
          <w:rFonts w:hint="default"/>
          <w:color w:val="auto"/>
          <w:highlight w:val="none"/>
        </w:rPr>
      </w:pPr>
    </w:p>
    <w:p>
      <w:pPr>
        <w:pStyle w:val="30"/>
        <w:spacing w:after="76" w:afterLines="0" w:afterAutospacing="0"/>
        <w:rPr>
          <w:rFonts w:hint="default"/>
          <w:color w:val="auto"/>
          <w:highlight w:val="none"/>
        </w:rPr>
      </w:pPr>
      <w:r>
        <w:rPr>
          <w:rFonts w:hint="eastAsia"/>
          <w:color w:val="auto"/>
          <w:highlight w:val="none"/>
        </w:rPr>
        <w:t>イ　</w:t>
      </w:r>
      <w:r>
        <w:rPr>
          <w:rFonts w:hint="default"/>
          <w:color w:val="auto"/>
          <w:highlight w:val="none"/>
        </w:rPr>
        <w:t>リハビリテーションの推進</w:t>
      </w:r>
    </w:p>
    <w:p>
      <w:pPr>
        <w:pStyle w:val="44"/>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広島県地域リハビリサポートセンターと短期集中型サービスを行っている事業所が参加し、地域リハビリテーション連絡会を３回開催しました。</w:t>
      </w:r>
    </w:p>
    <w:p>
      <w:pPr>
        <w:pStyle w:val="44"/>
        <w:spacing w:after="185" w:afterLines="50" w:afterAutospacing="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退院後の連携、いきいき百歳体操の評価や介護予防に効果のあるオリジナル体操の作成に向けて検討を重ね、地域における介護予防の取組を強化しました。</w:t>
      </w:r>
    </w:p>
    <w:tbl>
      <w:tblPr>
        <w:tblStyle w:val="81"/>
        <w:tblW w:w="8357" w:type="dxa"/>
        <w:tblInd w:w="704" w:type="dxa"/>
        <w:tblLayout w:type="fixed"/>
        <w:tblLook w:firstRow="1" w:lastRow="0" w:firstColumn="1" w:lastColumn="0" w:noHBand="0" w:noVBand="1" w:val="04A0"/>
      </w:tblPr>
      <w:tblGrid>
        <w:gridCol w:w="3119"/>
        <w:gridCol w:w="992"/>
        <w:gridCol w:w="1181"/>
        <w:gridCol w:w="1181"/>
        <w:gridCol w:w="1182"/>
        <w:gridCol w:w="702"/>
      </w:tblGrid>
      <w:tr>
        <w:trPr>
          <w:trHeight w:val="510" w:hRule="atLeast"/>
        </w:trPr>
        <w:tc>
          <w:tcPr>
            <w:tcW w:w="4111"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18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3</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(2021</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18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4</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(2022</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18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5</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r>
              <w:rPr>
                <w:rFonts w:hint="default" w:ascii="ＭＳ Ｐゴシック" w:hAnsi="ＭＳ Ｐゴシック" w:eastAsia="ＭＳ Ｐゴシック"/>
                <w:color w:val="auto"/>
                <w:sz w:val="21"/>
                <w:highlight w:val="none"/>
              </w:rPr>
              <w:t>202</w:t>
            </w:r>
            <w:r>
              <w:rPr>
                <w:rFonts w:hint="eastAsia" w:ascii="ＭＳ Ｐゴシック" w:hAnsi="ＭＳ Ｐゴシック" w:eastAsia="ＭＳ Ｐゴシック"/>
                <w:color w:val="auto"/>
                <w:sz w:val="21"/>
                <w:highlight w:val="none"/>
              </w:rPr>
              <w:t>3</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見込み</w:t>
            </w:r>
          </w:p>
        </w:tc>
        <w:tc>
          <w:tcPr>
            <w:tcW w:w="70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8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達成</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状況</w:t>
            </w:r>
          </w:p>
        </w:tc>
      </w:tr>
      <w:tr>
        <w:trPr>
          <w:trHeight w:val="340" w:hRule="atLeast"/>
        </w:trPr>
        <w:tc>
          <w:tcPr>
            <w:tcW w:w="3119" w:type="dxa"/>
            <w:vMerge w:val="restart"/>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bookmarkStart w:id="72" w:name="_Hlk149927054"/>
            <w:r>
              <w:rPr>
                <w:rFonts w:hint="eastAsia" w:ascii="ＭＳ Ｐゴシック" w:hAnsi="ＭＳ Ｐゴシック" w:eastAsia="ＭＳ Ｐゴシック"/>
                <w:color w:val="auto"/>
                <w:sz w:val="21"/>
                <w:highlight w:val="none"/>
              </w:rPr>
              <w:t>認定者１万人当たりの訪問リハビリテーション提供事業所数</w:t>
            </w:r>
          </w:p>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（か所）</w:t>
            </w:r>
            <w:bookmarkEnd w:id="72"/>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計画値</w:t>
            </w:r>
          </w:p>
        </w:tc>
        <w:tc>
          <w:tcPr>
            <w:tcW w:w="3544" w:type="dxa"/>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15.29</w:t>
            </w:r>
            <w:r>
              <w:rPr>
                <w:rFonts w:hint="eastAsia" w:ascii="ＭＳ Ｐゴシック" w:hAnsi="ＭＳ Ｐゴシック" w:eastAsia="ＭＳ Ｐゴシック"/>
                <w:color w:val="auto"/>
                <w:sz w:val="21"/>
                <w:highlight w:val="none"/>
              </w:rPr>
              <w:t>か所を維持</w:t>
            </w:r>
          </w:p>
        </w:tc>
        <w:tc>
          <w:tcPr>
            <w:tcW w:w="702"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p>
        </w:tc>
      </w:tr>
      <w:tr>
        <w:trPr>
          <w:trHeight w:val="340" w:hRule="atLeast"/>
        </w:trPr>
        <w:tc>
          <w:tcPr>
            <w:tcW w:w="3119" w:type="dxa"/>
            <w:vMerge w:val="continue"/>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000000" w:themeColor="text1"/>
                <w:sz w:val="21"/>
              </w:rPr>
            </w:pP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実績値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14.32</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p>
        </w:tc>
        <w:tc>
          <w:tcPr>
            <w:tcW w:w="1182" w:type="dxa"/>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p>
        </w:tc>
        <w:tc>
          <w:tcPr>
            <w:tcW w:w="702" w:type="dxa"/>
            <w:vMerge w:val="continue"/>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000000" w:themeColor="text1"/>
                <w:sz w:val="21"/>
              </w:rPr>
            </w:pPr>
          </w:p>
        </w:tc>
      </w:tr>
      <w:tr>
        <w:trPr>
          <w:trHeight w:val="340" w:hRule="atLeast"/>
        </w:trPr>
        <w:tc>
          <w:tcPr>
            <w:tcW w:w="3119" w:type="dxa"/>
            <w:vMerge w:val="restart"/>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認定者１万人当たりの通所リハビリテーション提供事業所数</w:t>
            </w:r>
          </w:p>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（か所）</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計画値</w:t>
            </w:r>
          </w:p>
        </w:tc>
        <w:tc>
          <w:tcPr>
            <w:tcW w:w="3544" w:type="dxa"/>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18.68</w:t>
            </w:r>
            <w:r>
              <w:rPr>
                <w:rFonts w:hint="eastAsia" w:ascii="ＭＳ Ｐゴシック" w:hAnsi="ＭＳ Ｐゴシック" w:eastAsia="ＭＳ Ｐゴシック"/>
                <w:color w:val="auto"/>
                <w:sz w:val="21"/>
                <w:highlight w:val="none"/>
              </w:rPr>
              <w:t>か所を維持</w:t>
            </w:r>
          </w:p>
        </w:tc>
        <w:tc>
          <w:tcPr>
            <w:tcW w:w="702"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p>
        </w:tc>
      </w:tr>
      <w:tr>
        <w:trPr>
          <w:trHeight w:val="340" w:hRule="atLeast"/>
        </w:trPr>
        <w:tc>
          <w:tcPr>
            <w:tcW w:w="3119" w:type="dxa"/>
            <w:vMerge w:val="continue"/>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000000" w:themeColor="text1"/>
                <w:sz w:val="21"/>
              </w:rPr>
            </w:pP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実績値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15.91</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p>
        </w:tc>
        <w:tc>
          <w:tcPr>
            <w:tcW w:w="1182" w:type="dxa"/>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p>
        </w:tc>
        <w:tc>
          <w:tcPr>
            <w:tcW w:w="702" w:type="dxa"/>
            <w:vMerge w:val="continue"/>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000000" w:themeColor="text1"/>
                <w:sz w:val="21"/>
              </w:rPr>
            </w:pPr>
          </w:p>
        </w:tc>
      </w:tr>
    </w:tbl>
    <w:p>
      <w:pPr>
        <w:pStyle w:val="41"/>
        <w:rPr>
          <w:rFonts w:hint="default"/>
          <w:color w:val="auto"/>
          <w:highlight w:val="none"/>
        </w:rPr>
      </w:pPr>
    </w:p>
    <w:p>
      <w:pPr>
        <w:pStyle w:val="0"/>
        <w:widowControl w:val="1"/>
        <w:jc w:val="left"/>
        <w:rPr>
          <w:rFonts w:hint="default"/>
          <w:color w:val="auto"/>
          <w:highlight w:val="none"/>
        </w:rPr>
      </w:pPr>
      <w:r>
        <w:rPr>
          <w:rFonts w:hint="default"/>
          <w:color w:val="auto"/>
          <w:highlight w:val="none"/>
        </w:rPr>
        <w:br w:type="page"/>
      </w:r>
    </w:p>
    <w:p>
      <w:pPr>
        <w:pStyle w:val="30"/>
        <w:spacing w:after="76" w:afterLines="0" w:afterAutospacing="0"/>
        <w:rPr>
          <w:rFonts w:hint="default"/>
          <w:color w:val="auto"/>
          <w:highlight w:val="none"/>
        </w:rPr>
      </w:pPr>
      <w:r>
        <w:rPr>
          <w:rFonts w:hint="eastAsia"/>
          <w:color w:val="auto"/>
          <w:highlight w:val="none"/>
        </w:rPr>
        <w:t>ウ　</w:t>
      </w:r>
      <w:r>
        <w:rPr>
          <w:rFonts w:hint="default"/>
          <w:color w:val="auto"/>
          <w:highlight w:val="none"/>
        </w:rPr>
        <w:t>自立支援に資するケアマネジメントの推進</w:t>
      </w:r>
    </w:p>
    <w:p>
      <w:pPr>
        <w:pStyle w:val="44"/>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高齢者の自立支援に向けて、多職種の専門職から助言や意見をもらい、介護支援専門員のアセスメント能力の向上を図っています。</w:t>
      </w:r>
    </w:p>
    <w:p>
      <w:pPr>
        <w:pStyle w:val="44"/>
        <w:spacing w:after="185" w:afterLines="50" w:afterAutospacing="0"/>
        <w:rPr>
          <w:rFonts w:hint="default"/>
          <w:color w:val="auto"/>
          <w:highlight w:val="none"/>
        </w:rPr>
      </w:pPr>
      <w:r>
        <w:rPr>
          <w:rFonts w:hint="eastAsia"/>
          <w:color w:val="auto"/>
          <w:highlight w:val="none"/>
        </w:rPr>
        <w:t>日常生活圏域ごとにケア会議を実施し、地域のインフォーマルな支援も含めた自立に向けた支援ができる体制をつくる必要があります。</w:t>
      </w:r>
    </w:p>
    <w:tbl>
      <w:tblPr>
        <w:tblStyle w:val="81"/>
        <w:tblW w:w="8357" w:type="dxa"/>
        <w:tblInd w:w="704" w:type="dxa"/>
        <w:tblLayout w:type="fixed"/>
        <w:tblLook w:firstRow="1" w:lastRow="0" w:firstColumn="1" w:lastColumn="0" w:noHBand="0" w:noVBand="1" w:val="04A0"/>
      </w:tblPr>
      <w:tblGrid>
        <w:gridCol w:w="3119"/>
        <w:gridCol w:w="992"/>
        <w:gridCol w:w="1181"/>
        <w:gridCol w:w="1181"/>
        <w:gridCol w:w="1182"/>
        <w:gridCol w:w="702"/>
      </w:tblGrid>
      <w:tr>
        <w:trPr>
          <w:trHeight w:val="510" w:hRule="atLeast"/>
        </w:trPr>
        <w:tc>
          <w:tcPr>
            <w:tcW w:w="4111"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18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3</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(2021</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18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4</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(2022</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18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5</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r>
              <w:rPr>
                <w:rFonts w:hint="default" w:ascii="ＭＳ Ｐゴシック" w:hAnsi="ＭＳ Ｐゴシック" w:eastAsia="ＭＳ Ｐゴシック"/>
                <w:color w:val="auto"/>
                <w:sz w:val="21"/>
                <w:highlight w:val="none"/>
              </w:rPr>
              <w:t>202</w:t>
            </w:r>
            <w:r>
              <w:rPr>
                <w:rFonts w:hint="eastAsia" w:ascii="ＭＳ Ｐゴシック" w:hAnsi="ＭＳ Ｐゴシック" w:eastAsia="ＭＳ Ｐゴシック"/>
                <w:color w:val="auto"/>
                <w:sz w:val="21"/>
                <w:highlight w:val="none"/>
              </w:rPr>
              <w:t>3</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見込み</w:t>
            </w:r>
          </w:p>
        </w:tc>
        <w:tc>
          <w:tcPr>
            <w:tcW w:w="70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8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達成</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状況</w:t>
            </w:r>
          </w:p>
        </w:tc>
      </w:tr>
      <w:tr>
        <w:trPr>
          <w:trHeight w:val="283" w:hRule="atLeast"/>
        </w:trPr>
        <w:tc>
          <w:tcPr>
            <w:tcW w:w="3119" w:type="dxa"/>
            <w:vMerge w:val="restart"/>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自立支援型地域ケア会議</w:t>
            </w:r>
          </w:p>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実施回数（回）</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計画値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4</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4</w:t>
            </w:r>
          </w:p>
        </w:tc>
        <w:tc>
          <w:tcPr>
            <w:tcW w:w="118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4</w:t>
            </w:r>
          </w:p>
        </w:tc>
        <w:tc>
          <w:tcPr>
            <w:tcW w:w="702"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p>
        </w:tc>
      </w:tr>
      <w:tr>
        <w:trPr>
          <w:trHeight w:val="283" w:hRule="atLeast"/>
        </w:trPr>
        <w:tc>
          <w:tcPr>
            <w:tcW w:w="3119" w:type="dxa"/>
            <w:vMerge w:val="continue"/>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000000" w:themeColor="text1"/>
                <w:sz w:val="21"/>
              </w:rPr>
            </w:pP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実績値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4</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6</w:t>
            </w:r>
          </w:p>
        </w:tc>
        <w:tc>
          <w:tcPr>
            <w:tcW w:w="1182" w:type="dxa"/>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7</w:t>
            </w:r>
          </w:p>
        </w:tc>
        <w:tc>
          <w:tcPr>
            <w:tcW w:w="702" w:type="dxa"/>
            <w:vMerge w:val="continue"/>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000000" w:themeColor="text1"/>
                <w:sz w:val="21"/>
              </w:rPr>
            </w:pPr>
          </w:p>
        </w:tc>
      </w:tr>
    </w:tbl>
    <w:p>
      <w:pPr>
        <w:pStyle w:val="41"/>
        <w:rPr>
          <w:rFonts w:hint="default"/>
          <w:color w:val="auto"/>
          <w:highlight w:val="none"/>
        </w:rPr>
      </w:pPr>
    </w:p>
    <w:p>
      <w:pPr>
        <w:pStyle w:val="30"/>
        <w:spacing w:after="76" w:afterLines="0" w:afterAutospacing="0"/>
        <w:rPr>
          <w:rFonts w:hint="default"/>
          <w:color w:val="auto"/>
          <w:highlight w:val="none"/>
        </w:rPr>
      </w:pPr>
      <w:r>
        <w:rPr>
          <w:rFonts w:hint="eastAsia"/>
          <w:color w:val="auto"/>
          <w:highlight w:val="none"/>
        </w:rPr>
        <w:t>エ　高齢者の社会参画の促進</w:t>
      </w:r>
    </w:p>
    <w:p>
      <w:pPr>
        <w:pStyle w:val="44"/>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市老人クラブ連合会には、活動支援の補助金を交付しており、市老人クラブ連合会、廿日市商工会議所及び市との共同企画で老人クラブ会員が地元お店利用する際の割引がある老人クラブカードを作成し、老人クラブへの加入のきっかけづくりを行いました。</w:t>
      </w:r>
    </w:p>
    <w:p>
      <w:pPr>
        <w:pStyle w:val="44"/>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令和４（</w:t>
      </w:r>
      <w:r>
        <w:rPr>
          <w:rFonts w:hint="eastAsia" w:ascii="BIZ UDPゴシック" w:hAnsi="BIZ UDPゴシック" w:eastAsia="BIZ UDPゴシック"/>
          <w:color w:val="auto"/>
          <w:highlight w:val="none"/>
        </w:rPr>
        <w:t>2022</w:t>
      </w:r>
      <w:r>
        <w:rPr>
          <w:rFonts w:hint="eastAsia" w:ascii="BIZ UDPゴシック" w:hAnsi="BIZ UDPゴシック" w:eastAsia="BIZ UDPゴシック"/>
          <w:color w:val="auto"/>
          <w:highlight w:val="none"/>
        </w:rPr>
        <w:t>）年度から、廿らつプラチナボランティアポイントの対象活動内容に、認知症カフェを追加して活動範囲を拡大しました。</w:t>
      </w:r>
    </w:p>
    <w:p>
      <w:pPr>
        <w:pStyle w:val="44"/>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地域の中の身近なところで健康づくり、介護予防を行うため、一般高齢者サロンの立ち上げ及び運営の支援を行いました。</w:t>
      </w:r>
    </w:p>
    <w:p>
      <w:pPr>
        <w:pStyle w:val="41"/>
        <w:rPr>
          <w:rFonts w:hint="default"/>
          <w:color w:val="auto"/>
          <w:highlight w:val="none"/>
        </w:rPr>
      </w:pPr>
    </w:p>
    <w:p>
      <w:pPr>
        <w:pStyle w:val="30"/>
        <w:spacing w:after="76" w:afterLines="0" w:afterAutospacing="0"/>
        <w:rPr>
          <w:rFonts w:hint="default"/>
          <w:color w:val="auto"/>
          <w:highlight w:val="none"/>
        </w:rPr>
      </w:pPr>
      <w:r>
        <w:rPr>
          <w:rFonts w:hint="eastAsia"/>
          <w:color w:val="auto"/>
          <w:highlight w:val="none"/>
        </w:rPr>
        <w:t>オ　就労的活動の支援</w:t>
      </w:r>
    </w:p>
    <w:p>
      <w:pPr>
        <w:pStyle w:val="44"/>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就業機会確保などの目的から市シルバー人材センターへ補助金を交付し、民間企業への会員派遣や入会説明の広報活動などの支援を行いました。</w:t>
      </w:r>
    </w:p>
    <w:p>
      <w:pPr>
        <w:pStyle w:val="44"/>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廿日市市介護予防・生活支援員養成研修を実施し、生活援助型訪問サービス事業者の確保に努めました。</w:t>
      </w:r>
    </w:p>
    <w:p>
      <w:pPr>
        <w:pStyle w:val="44"/>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福祉・介護人材の確保に向けたセミナー」を開催し、市内事業所が説明会を行い雇用へつながるよう支援を行いました。</w:t>
      </w:r>
    </w:p>
    <w:p>
      <w:pPr>
        <w:pStyle w:val="0"/>
        <w:widowControl w:val="1"/>
        <w:jc w:val="left"/>
        <w:rPr>
          <w:rFonts w:hint="default"/>
          <w:color w:val="auto"/>
          <w:highlight w:val="none"/>
        </w:rPr>
      </w:pPr>
      <w:r>
        <w:rPr>
          <w:rFonts w:hint="default"/>
          <w:color w:val="auto"/>
          <w:highlight w:val="none"/>
        </w:rPr>
        <w:br w:type="page"/>
      </w:r>
    </w:p>
    <w:p>
      <w:pPr>
        <w:pStyle w:val="26"/>
        <w:spacing w:after="76" w:afterLines="0" w:afterAutospacing="0"/>
        <w:rPr>
          <w:rFonts w:hint="default"/>
          <w:color w:val="auto"/>
          <w:highlight w:val="none"/>
        </w:rPr>
      </w:pPr>
      <w:bookmarkStart w:id="73" w:name="_Toc152160644"/>
      <w:r>
        <w:rPr>
          <w:rFonts w:hint="default"/>
          <w:color w:val="auto"/>
          <w:highlight w:val="none"/>
        </w:rPr>
        <w:t>（</w:t>
      </w:r>
      <w:r>
        <w:rPr>
          <w:rFonts w:hint="eastAsia"/>
          <w:color w:val="auto"/>
          <w:highlight w:val="none"/>
        </w:rPr>
        <w:t>２</w:t>
      </w:r>
      <w:r>
        <w:rPr>
          <w:rFonts w:hint="default"/>
          <w:color w:val="auto"/>
          <w:highlight w:val="none"/>
        </w:rPr>
        <w:t>）</w:t>
      </w:r>
      <w:r>
        <w:rPr>
          <w:rFonts w:hint="eastAsia"/>
          <w:color w:val="auto"/>
          <w:highlight w:val="none"/>
        </w:rPr>
        <w:t>認知症とともに暮らす地域の実現について</w:t>
      </w:r>
      <w:bookmarkEnd w:id="73"/>
    </w:p>
    <w:p>
      <w:pPr>
        <w:pStyle w:val="30"/>
        <w:spacing w:after="76" w:afterLines="0" w:afterAutospacing="0"/>
        <w:rPr>
          <w:rFonts w:hint="default"/>
          <w:color w:val="auto"/>
          <w:highlight w:val="none"/>
        </w:rPr>
      </w:pPr>
      <w:r>
        <w:rPr>
          <w:rFonts w:hint="eastAsia"/>
          <w:color w:val="auto"/>
          <w:highlight w:val="none"/>
        </w:rPr>
        <w:t>ア　成果指標の達成状況</w:t>
      </w:r>
    </w:p>
    <w:tbl>
      <w:tblPr>
        <w:tblStyle w:val="81"/>
        <w:tblW w:w="8646" w:type="dxa"/>
        <w:tblInd w:w="421" w:type="dxa"/>
        <w:tblLayout w:type="fixed"/>
        <w:tblLook w:firstRow="1" w:lastRow="0" w:firstColumn="1" w:lastColumn="0" w:noHBand="0" w:noVBand="1" w:val="04A0"/>
      </w:tblPr>
      <w:tblGrid>
        <w:gridCol w:w="2409"/>
        <w:gridCol w:w="1985"/>
        <w:gridCol w:w="1276"/>
        <w:gridCol w:w="850"/>
        <w:gridCol w:w="1418"/>
        <w:gridCol w:w="708"/>
      </w:tblGrid>
      <w:tr>
        <w:trPr>
          <w:trHeight w:val="510" w:hRule="atLeast"/>
        </w:trPr>
        <w:tc>
          <w:tcPr>
            <w:tcW w:w="4394"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8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276" w:type="dxa"/>
            <w:shd w:val="clear" w:color="auto" w:fill="CCECFF"/>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2</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8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直近実績値</w:t>
            </w:r>
          </w:p>
        </w:tc>
        <w:tc>
          <w:tcPr>
            <w:tcW w:w="850" w:type="dxa"/>
            <w:shd w:val="clear" w:color="auto" w:fill="CCECFF"/>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計画</w:t>
            </w:r>
          </w:p>
        </w:tc>
        <w:tc>
          <w:tcPr>
            <w:tcW w:w="1418" w:type="dxa"/>
            <w:shd w:val="clear" w:color="auto" w:fill="CCECFF"/>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5</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実績値</w:t>
            </w:r>
          </w:p>
        </w:tc>
        <w:tc>
          <w:tcPr>
            <w:tcW w:w="70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8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達成</w:t>
            </w:r>
          </w:p>
          <w:p>
            <w:pPr>
              <w:pStyle w:val="0"/>
              <w:widowControl w:val="1"/>
              <w:autoSpaceDE w:val="0"/>
              <w:autoSpaceDN w:val="0"/>
              <w:spacing w:line="28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状況</w:t>
            </w:r>
          </w:p>
        </w:tc>
      </w:tr>
      <w:tr>
        <w:trPr>
          <w:trHeight w:val="695" w:hRule="atLeast"/>
        </w:trPr>
        <w:tc>
          <w:tcPr>
            <w:tcW w:w="2409" w:type="dxa"/>
            <w:vMerge w:val="restart"/>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80" w:lineRule="exact"/>
              <w:rPr>
                <w:rFonts w:hint="default" w:ascii="ＭＳ Ｐゴシック" w:hAnsi="ＭＳ Ｐゴシック" w:eastAsia="ＭＳ Ｐゴシック"/>
                <w:color w:val="auto"/>
                <w:sz w:val="21"/>
                <w:highlight w:val="none"/>
              </w:rPr>
            </w:pPr>
            <w:bookmarkStart w:id="74" w:name="_Hlk149928722"/>
            <w:bookmarkEnd w:id="74"/>
            <w:r>
              <w:rPr>
                <w:rFonts w:hint="eastAsia" w:ascii="ＭＳ Ｐゴシック" w:hAnsi="ＭＳ Ｐゴシック" w:eastAsia="ＭＳ Ｐゴシック"/>
                <w:color w:val="auto"/>
                <w:sz w:val="21"/>
                <w:highlight w:val="none"/>
              </w:rPr>
              <w:t>認知症の相談窓口の認知度（ニーズ調査において、認知症の相談窓口を「知っている」と回答した者の割合）</w:t>
            </w:r>
          </w:p>
        </w:tc>
        <w:tc>
          <w:tcPr>
            <w:tcW w:w="1985" w:type="dxa"/>
            <w:tcBorders>
              <w:top w:val="single" w:color="auto" w:sz="4" w:space="0"/>
              <w:left w:val="nil"/>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28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自分や家族に認知症の症状がある人</w:t>
            </w:r>
          </w:p>
        </w:tc>
        <w:tc>
          <w:tcPr>
            <w:tcW w:w="1276" w:type="dxa"/>
            <w:shd w:val="clear" w:color="auto" w:fill="auto"/>
            <w:vAlign w:val="center"/>
          </w:tcPr>
          <w:p>
            <w:pPr>
              <w:pStyle w:val="0"/>
              <w:autoSpaceDE w:val="0"/>
              <w:autoSpaceDN w:val="0"/>
              <w:spacing w:line="28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53.0</w:t>
            </w:r>
            <w:r>
              <w:rPr>
                <w:rFonts w:hint="eastAsia" w:ascii="ＭＳ Ｐゴシック" w:hAnsi="ＭＳ Ｐゴシック" w:eastAsia="ＭＳ Ｐゴシック"/>
                <w:color w:val="auto"/>
                <w:sz w:val="21"/>
                <w:highlight w:val="none"/>
              </w:rPr>
              <w:t>％</w:t>
            </w:r>
          </w:p>
        </w:tc>
        <w:tc>
          <w:tcPr>
            <w:tcW w:w="850" w:type="dxa"/>
            <w:shd w:val="clear" w:color="auto" w:fill="auto"/>
            <w:vAlign w:val="center"/>
          </w:tcPr>
          <w:p>
            <w:pPr>
              <w:pStyle w:val="0"/>
              <w:autoSpaceDE w:val="0"/>
              <w:autoSpaceDN w:val="0"/>
              <w:spacing w:line="28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増加</w:t>
            </w:r>
          </w:p>
        </w:tc>
        <w:tc>
          <w:tcPr>
            <w:tcW w:w="1418" w:type="dxa"/>
            <w:shd w:val="clear" w:color="auto" w:fill="auto"/>
            <w:vAlign w:val="center"/>
          </w:tcPr>
          <w:p>
            <w:pPr>
              <w:pStyle w:val="0"/>
              <w:autoSpaceDE w:val="0"/>
              <w:autoSpaceDN w:val="0"/>
              <w:spacing w:line="28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57.3</w:t>
            </w:r>
            <w:r>
              <w:rPr>
                <w:rFonts w:hint="eastAsia" w:ascii="ＭＳ Ｐゴシック" w:hAnsi="ＭＳ Ｐゴシック" w:eastAsia="ＭＳ Ｐゴシック"/>
                <w:color w:val="auto"/>
                <w:sz w:val="21"/>
                <w:highlight w:val="none"/>
              </w:rPr>
              <w:t>％</w:t>
            </w:r>
          </w:p>
        </w:tc>
        <w:tc>
          <w:tcPr>
            <w:tcW w:w="708"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8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p>
        </w:tc>
      </w:tr>
      <w:tr>
        <w:trPr>
          <w:trHeight w:val="695" w:hRule="atLeast"/>
        </w:trPr>
        <w:tc>
          <w:tcPr>
            <w:tcW w:w="2409" w:type="dxa"/>
            <w:vMerge w:val="continue"/>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80" w:lineRule="exact"/>
              <w:rPr>
                <w:rFonts w:hint="default" w:ascii="ＭＳ Ｐゴシック" w:hAnsi="ＭＳ Ｐゴシック" w:eastAsia="ＭＳ Ｐゴシック"/>
                <w:color w:val="000000" w:themeColor="text1"/>
                <w:sz w:val="21"/>
              </w:rPr>
            </w:pPr>
          </w:p>
        </w:tc>
        <w:tc>
          <w:tcPr>
            <w:tcW w:w="1985" w:type="dxa"/>
            <w:tcBorders>
              <w:top w:val="single" w:color="auto" w:sz="4" w:space="0"/>
              <w:left w:val="nil"/>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28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自分や家族に認知症の症状がない人</w:t>
            </w:r>
          </w:p>
        </w:tc>
        <w:tc>
          <w:tcPr>
            <w:tcW w:w="1276" w:type="dxa"/>
            <w:shd w:val="clear" w:color="auto" w:fill="auto"/>
            <w:vAlign w:val="center"/>
          </w:tcPr>
          <w:p>
            <w:pPr>
              <w:pStyle w:val="0"/>
              <w:autoSpaceDE w:val="0"/>
              <w:autoSpaceDN w:val="0"/>
              <w:spacing w:line="28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29.8</w:t>
            </w:r>
            <w:r>
              <w:rPr>
                <w:rFonts w:hint="eastAsia" w:ascii="ＭＳ Ｐゴシック" w:hAnsi="ＭＳ Ｐゴシック" w:eastAsia="ＭＳ Ｐゴシック"/>
                <w:color w:val="auto"/>
                <w:sz w:val="21"/>
                <w:highlight w:val="none"/>
              </w:rPr>
              <w:t>％</w:t>
            </w:r>
          </w:p>
        </w:tc>
        <w:tc>
          <w:tcPr>
            <w:tcW w:w="850" w:type="dxa"/>
            <w:shd w:val="clear" w:color="auto" w:fill="auto"/>
            <w:vAlign w:val="center"/>
          </w:tcPr>
          <w:p>
            <w:pPr>
              <w:pStyle w:val="0"/>
              <w:autoSpaceDE w:val="0"/>
              <w:autoSpaceDN w:val="0"/>
              <w:spacing w:line="28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増加</w:t>
            </w:r>
          </w:p>
        </w:tc>
        <w:tc>
          <w:tcPr>
            <w:tcW w:w="1418" w:type="dxa"/>
            <w:shd w:val="clear" w:color="auto" w:fill="auto"/>
            <w:vAlign w:val="center"/>
          </w:tcPr>
          <w:p>
            <w:pPr>
              <w:pStyle w:val="0"/>
              <w:autoSpaceDE w:val="0"/>
              <w:autoSpaceDN w:val="0"/>
              <w:spacing w:line="28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27.0</w:t>
            </w:r>
            <w:r>
              <w:rPr>
                <w:rFonts w:hint="eastAsia" w:ascii="ＭＳ Ｐゴシック" w:hAnsi="ＭＳ Ｐゴシック" w:eastAsia="ＭＳ Ｐゴシック"/>
                <w:color w:val="auto"/>
                <w:sz w:val="21"/>
                <w:highlight w:val="none"/>
              </w:rPr>
              <w:t>％</w:t>
            </w:r>
          </w:p>
        </w:tc>
        <w:tc>
          <w:tcPr>
            <w:tcW w:w="708"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8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p>
        </w:tc>
      </w:tr>
      <w:tr>
        <w:trPr>
          <w:trHeight w:val="695" w:hRule="atLeast"/>
        </w:trPr>
        <w:tc>
          <w:tcPr>
            <w:tcW w:w="2409" w:type="dxa"/>
            <w:vMerge w:val="restart"/>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8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認知症の理解促進</w:t>
            </w:r>
          </w:p>
          <w:p>
            <w:pPr>
              <w:pStyle w:val="0"/>
              <w:autoSpaceDE w:val="0"/>
              <w:autoSpaceDN w:val="0"/>
              <w:spacing w:line="28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（ニーズ調査において、認知症の取組について「いずれも知らない」と回答した者の割合）</w:t>
            </w:r>
          </w:p>
        </w:tc>
        <w:tc>
          <w:tcPr>
            <w:tcW w:w="1985" w:type="dxa"/>
            <w:tcBorders>
              <w:top w:val="single" w:color="auto" w:sz="4" w:space="0"/>
              <w:left w:val="nil"/>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28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自分や家族に認知症の症状がある人</w:t>
            </w:r>
          </w:p>
        </w:tc>
        <w:tc>
          <w:tcPr>
            <w:tcW w:w="1276" w:type="dxa"/>
            <w:shd w:val="clear" w:color="auto" w:fill="auto"/>
            <w:vAlign w:val="center"/>
          </w:tcPr>
          <w:p>
            <w:pPr>
              <w:pStyle w:val="0"/>
              <w:autoSpaceDE w:val="0"/>
              <w:autoSpaceDN w:val="0"/>
              <w:spacing w:line="28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39.0</w:t>
            </w:r>
            <w:r>
              <w:rPr>
                <w:rFonts w:hint="eastAsia" w:ascii="ＭＳ Ｐゴシック" w:hAnsi="ＭＳ Ｐゴシック" w:eastAsia="ＭＳ Ｐゴシック"/>
                <w:color w:val="auto"/>
                <w:sz w:val="21"/>
                <w:highlight w:val="none"/>
              </w:rPr>
              <w:t>％</w:t>
            </w:r>
          </w:p>
        </w:tc>
        <w:tc>
          <w:tcPr>
            <w:tcW w:w="850" w:type="dxa"/>
            <w:shd w:val="clear" w:color="auto" w:fill="auto"/>
            <w:vAlign w:val="center"/>
          </w:tcPr>
          <w:p>
            <w:pPr>
              <w:pStyle w:val="0"/>
              <w:autoSpaceDE w:val="0"/>
              <w:autoSpaceDN w:val="0"/>
              <w:spacing w:line="28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増加</w:t>
            </w:r>
          </w:p>
        </w:tc>
        <w:tc>
          <w:tcPr>
            <w:tcW w:w="1418" w:type="dxa"/>
            <w:shd w:val="clear" w:color="auto" w:fill="auto"/>
            <w:vAlign w:val="center"/>
          </w:tcPr>
          <w:p>
            <w:pPr>
              <w:pStyle w:val="0"/>
              <w:autoSpaceDE w:val="0"/>
              <w:autoSpaceDN w:val="0"/>
              <w:spacing w:line="28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66.8</w:t>
            </w:r>
            <w:r>
              <w:rPr>
                <w:rFonts w:hint="eastAsia" w:ascii="ＭＳ Ｐゴシック" w:hAnsi="ＭＳ Ｐゴシック" w:eastAsia="ＭＳ Ｐゴシック"/>
                <w:color w:val="auto"/>
                <w:sz w:val="21"/>
                <w:highlight w:val="none"/>
              </w:rPr>
              <w:t>％</w:t>
            </w:r>
          </w:p>
          <w:p>
            <w:pPr>
              <w:pStyle w:val="0"/>
              <w:autoSpaceDE w:val="0"/>
              <w:autoSpaceDN w:val="0"/>
              <w:spacing w:line="280" w:lineRule="exact"/>
              <w:ind w:left="-66" w:leftChars="-30" w:right="-66" w:rightChars="-3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16"/>
                <w:highlight w:val="none"/>
              </w:rPr>
              <w:t>＊選択肢が異なる</w:t>
            </w:r>
          </w:p>
        </w:tc>
        <w:tc>
          <w:tcPr>
            <w:tcW w:w="708"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8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p>
        </w:tc>
      </w:tr>
      <w:tr>
        <w:trPr>
          <w:trHeight w:val="695" w:hRule="atLeast"/>
        </w:trPr>
        <w:tc>
          <w:tcPr>
            <w:tcW w:w="2409" w:type="dxa"/>
            <w:vMerge w:val="continue"/>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80" w:lineRule="exact"/>
              <w:rPr>
                <w:rFonts w:hint="default" w:ascii="ＭＳ Ｐゴシック" w:hAnsi="ＭＳ Ｐゴシック" w:eastAsia="ＭＳ Ｐゴシック"/>
                <w:color w:val="000000" w:themeColor="text1"/>
                <w:sz w:val="21"/>
              </w:rPr>
            </w:pPr>
          </w:p>
        </w:tc>
        <w:tc>
          <w:tcPr>
            <w:tcW w:w="1985" w:type="dxa"/>
            <w:tcBorders>
              <w:top w:val="single" w:color="auto" w:sz="4" w:space="0"/>
              <w:left w:val="nil"/>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28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自分や家族に認知症の症状がない人</w:t>
            </w:r>
          </w:p>
        </w:tc>
        <w:tc>
          <w:tcPr>
            <w:tcW w:w="1276" w:type="dxa"/>
            <w:shd w:val="clear" w:color="auto" w:fill="auto"/>
            <w:vAlign w:val="center"/>
          </w:tcPr>
          <w:p>
            <w:pPr>
              <w:pStyle w:val="0"/>
              <w:autoSpaceDE w:val="0"/>
              <w:autoSpaceDN w:val="0"/>
              <w:spacing w:line="28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56.1</w:t>
            </w:r>
            <w:r>
              <w:rPr>
                <w:rFonts w:hint="eastAsia" w:ascii="ＭＳ Ｐゴシック" w:hAnsi="ＭＳ Ｐゴシック" w:eastAsia="ＭＳ Ｐゴシック"/>
                <w:color w:val="auto"/>
                <w:sz w:val="21"/>
                <w:highlight w:val="none"/>
              </w:rPr>
              <w:t>％</w:t>
            </w:r>
          </w:p>
        </w:tc>
        <w:tc>
          <w:tcPr>
            <w:tcW w:w="850" w:type="dxa"/>
            <w:shd w:val="clear" w:color="auto" w:fill="auto"/>
            <w:vAlign w:val="center"/>
          </w:tcPr>
          <w:p>
            <w:pPr>
              <w:pStyle w:val="0"/>
              <w:autoSpaceDE w:val="0"/>
              <w:autoSpaceDN w:val="0"/>
              <w:spacing w:line="28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増加</w:t>
            </w:r>
          </w:p>
        </w:tc>
        <w:tc>
          <w:tcPr>
            <w:tcW w:w="1418" w:type="dxa"/>
            <w:shd w:val="clear" w:color="auto" w:fill="auto"/>
            <w:vAlign w:val="center"/>
          </w:tcPr>
          <w:p>
            <w:pPr>
              <w:pStyle w:val="0"/>
              <w:autoSpaceDE w:val="0"/>
              <w:autoSpaceDN w:val="0"/>
              <w:spacing w:line="28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75.1</w:t>
            </w:r>
            <w:r>
              <w:rPr>
                <w:rFonts w:hint="eastAsia" w:ascii="ＭＳ Ｐゴシック" w:hAnsi="ＭＳ Ｐゴシック" w:eastAsia="ＭＳ Ｐゴシック"/>
                <w:color w:val="auto"/>
                <w:sz w:val="21"/>
                <w:highlight w:val="none"/>
              </w:rPr>
              <w:t>％</w:t>
            </w:r>
          </w:p>
          <w:p>
            <w:pPr>
              <w:pStyle w:val="0"/>
              <w:autoSpaceDE w:val="0"/>
              <w:autoSpaceDN w:val="0"/>
              <w:spacing w:line="280" w:lineRule="exact"/>
              <w:ind w:left="-66" w:leftChars="-30" w:right="-66" w:rightChars="-3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16"/>
                <w:highlight w:val="none"/>
              </w:rPr>
              <w:t>＊選択肢が異なる</w:t>
            </w:r>
          </w:p>
        </w:tc>
        <w:tc>
          <w:tcPr>
            <w:tcW w:w="708"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8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p>
        </w:tc>
      </w:tr>
    </w:tbl>
    <w:p>
      <w:pPr>
        <w:pStyle w:val="41"/>
        <w:rPr>
          <w:rFonts w:hint="default"/>
          <w:color w:val="auto"/>
          <w:highlight w:val="none"/>
        </w:rPr>
      </w:pPr>
    </w:p>
    <w:p>
      <w:pPr>
        <w:pStyle w:val="30"/>
        <w:spacing w:after="76" w:afterLines="0" w:afterAutospacing="0"/>
        <w:rPr>
          <w:rFonts w:hint="default"/>
          <w:color w:val="auto"/>
          <w:highlight w:val="none"/>
        </w:rPr>
      </w:pPr>
      <w:r>
        <w:rPr>
          <w:rFonts w:hint="eastAsia"/>
          <w:color w:val="auto"/>
          <w:highlight w:val="none"/>
        </w:rPr>
        <w:t>ア　</w:t>
      </w:r>
      <w:r>
        <w:rPr>
          <w:rFonts w:hint="default"/>
          <w:color w:val="auto"/>
          <w:highlight w:val="none"/>
        </w:rPr>
        <w:t>認知症サポーターの活動の充実と支援する仕組みの構築</w:t>
      </w:r>
    </w:p>
    <w:p>
      <w:pPr>
        <w:pStyle w:val="44"/>
        <w:rPr>
          <w:rFonts w:hint="default"/>
          <w:color w:val="auto"/>
          <w:highlight w:val="none"/>
        </w:rPr>
      </w:pPr>
      <w:r>
        <w:rPr>
          <w:rFonts w:hint="eastAsia"/>
          <w:color w:val="auto"/>
          <w:highlight w:val="none"/>
        </w:rPr>
        <w:t>認知症サポーター養成講座やステップアップ講座を実施しました。</w:t>
      </w:r>
    </w:p>
    <w:p>
      <w:pPr>
        <w:pStyle w:val="44"/>
        <w:spacing w:after="185" w:afterLines="50" w:afterAutospacing="0"/>
        <w:rPr>
          <w:rFonts w:hint="default"/>
          <w:color w:val="auto"/>
          <w:highlight w:val="none"/>
        </w:rPr>
      </w:pPr>
      <w:r>
        <w:rPr>
          <w:rFonts w:hint="eastAsia"/>
          <w:color w:val="auto"/>
          <w:highlight w:val="none"/>
        </w:rPr>
        <w:t>企業や学校における認知症サポーター養成講座の実施回数を増やし、受講した人に対して認知症カフェなどの地域の社会資源への参加を促すなど、認知症サポーターが活躍できる場を提供していくことが必要です。</w:t>
      </w:r>
    </w:p>
    <w:tbl>
      <w:tblPr>
        <w:tblStyle w:val="81"/>
        <w:tblW w:w="8357" w:type="dxa"/>
        <w:tblInd w:w="704" w:type="dxa"/>
        <w:tblLayout w:type="fixed"/>
        <w:tblLook w:firstRow="1" w:lastRow="0" w:firstColumn="1" w:lastColumn="0" w:noHBand="0" w:noVBand="1" w:val="04A0"/>
      </w:tblPr>
      <w:tblGrid>
        <w:gridCol w:w="1559"/>
        <w:gridCol w:w="1560"/>
        <w:gridCol w:w="992"/>
        <w:gridCol w:w="1181"/>
        <w:gridCol w:w="1181"/>
        <w:gridCol w:w="1182"/>
        <w:gridCol w:w="702"/>
      </w:tblGrid>
      <w:tr>
        <w:trPr>
          <w:trHeight w:val="510" w:hRule="atLeast"/>
        </w:trPr>
        <w:tc>
          <w:tcPr>
            <w:tcW w:w="4111" w:type="dxa"/>
            <w:gridSpan w:val="3"/>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18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3</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(2021</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18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4</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(2022</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18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5</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r>
              <w:rPr>
                <w:rFonts w:hint="default" w:ascii="ＭＳ Ｐゴシック" w:hAnsi="ＭＳ Ｐゴシック" w:eastAsia="ＭＳ Ｐゴシック"/>
                <w:color w:val="auto"/>
                <w:sz w:val="21"/>
                <w:highlight w:val="none"/>
              </w:rPr>
              <w:t>202</w:t>
            </w:r>
            <w:r>
              <w:rPr>
                <w:rFonts w:hint="eastAsia" w:ascii="ＭＳ Ｐゴシック" w:hAnsi="ＭＳ Ｐゴシック" w:eastAsia="ＭＳ Ｐゴシック"/>
                <w:color w:val="auto"/>
                <w:sz w:val="21"/>
                <w:highlight w:val="none"/>
              </w:rPr>
              <w:t>3</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見込み</w:t>
            </w:r>
          </w:p>
        </w:tc>
        <w:tc>
          <w:tcPr>
            <w:tcW w:w="70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8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達成</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状況</w:t>
            </w:r>
          </w:p>
        </w:tc>
      </w:tr>
      <w:tr>
        <w:trPr>
          <w:trHeight w:val="283" w:hRule="atLeast"/>
        </w:trPr>
        <w:tc>
          <w:tcPr>
            <w:tcW w:w="1559" w:type="dxa"/>
            <w:vMerge w:val="restart"/>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認知症サポーター・ステップアップ講座</w:t>
            </w:r>
          </w:p>
        </w:tc>
        <w:tc>
          <w:tcPr>
            <w:tcW w:w="1560" w:type="dxa"/>
            <w:vMerge w:val="restart"/>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開催回数（回）</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計画値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w:t>
            </w:r>
          </w:p>
        </w:tc>
        <w:tc>
          <w:tcPr>
            <w:tcW w:w="118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3</w:t>
            </w:r>
          </w:p>
        </w:tc>
        <w:tc>
          <w:tcPr>
            <w:tcW w:w="702"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p>
        </w:tc>
      </w:tr>
      <w:tr>
        <w:trPr>
          <w:trHeight w:val="283" w:hRule="atLeast"/>
        </w:trPr>
        <w:tc>
          <w:tcPr>
            <w:tcW w:w="1559" w:type="dxa"/>
            <w:vMerge w:val="continue"/>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000000" w:themeColor="text1"/>
                <w:sz w:val="21"/>
              </w:rPr>
            </w:pPr>
          </w:p>
        </w:tc>
        <w:tc>
          <w:tcPr>
            <w:tcW w:w="1560" w:type="dxa"/>
            <w:vMerge w:val="continue"/>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000000" w:themeColor="text1"/>
                <w:sz w:val="21"/>
              </w:rPr>
            </w:pP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実績値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w:t>
            </w:r>
          </w:p>
        </w:tc>
        <w:tc>
          <w:tcPr>
            <w:tcW w:w="1182" w:type="dxa"/>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3</w:t>
            </w:r>
          </w:p>
        </w:tc>
        <w:tc>
          <w:tcPr>
            <w:tcW w:w="702" w:type="dxa"/>
            <w:vMerge w:val="continue"/>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000000" w:themeColor="text1"/>
                <w:sz w:val="21"/>
                <w:highlight w:val="yellow"/>
              </w:rPr>
            </w:pPr>
          </w:p>
        </w:tc>
      </w:tr>
      <w:tr>
        <w:trPr>
          <w:trHeight w:val="283" w:hRule="atLeast"/>
        </w:trPr>
        <w:tc>
          <w:tcPr>
            <w:tcW w:w="1559" w:type="dxa"/>
            <w:vMerge w:val="continue"/>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top"/>
          </w:tcPr>
          <w:p>
            <w:pPr>
              <w:pStyle w:val="0"/>
              <w:autoSpaceDE w:val="0"/>
              <w:autoSpaceDN w:val="0"/>
              <w:spacing w:line="240" w:lineRule="exact"/>
              <w:rPr>
                <w:rFonts w:hint="default" w:ascii="ＭＳ Ｐゴシック" w:hAnsi="ＭＳ Ｐゴシック" w:eastAsia="ＭＳ Ｐゴシック"/>
                <w:color w:val="000000" w:themeColor="text1"/>
                <w:sz w:val="21"/>
              </w:rPr>
            </w:pPr>
          </w:p>
        </w:tc>
        <w:tc>
          <w:tcPr>
            <w:tcW w:w="1560" w:type="dxa"/>
            <w:vMerge w:val="restart"/>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0"/>
                <w:highlight w:val="none"/>
              </w:rPr>
              <w:t>受講者数（人）</w:t>
            </w:r>
          </w:p>
        </w:tc>
        <w:tc>
          <w:tcPr>
            <w:tcW w:w="992" w:type="dxa"/>
            <w:tcBorders>
              <w:top w:val="none" w:color="auto" w:sz="0" w:space="0"/>
              <w:left w:val="single" w:color="000000" w:sz="4" w:space="0"/>
              <w:bottom w:val="none" w:color="auto" w:sz="0" w:space="0"/>
              <w:right w:val="none" w:color="auto" w:sz="0" w:space="0"/>
              <w:tl2br w:val="none" w:color="auto" w:sz="0" w:space="0"/>
              <w:tr2bl w:val="none" w:color="auto" w:sz="0" w:space="0"/>
            </w:tcBorders>
            <w:vAlign w:val="top"/>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計画値</w:t>
            </w:r>
          </w:p>
        </w:tc>
        <w:tc>
          <w:tcPr>
            <w:tcW w:w="1181" w:type="dxa"/>
            <w:vAlign w:val="top"/>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5</w:t>
            </w:r>
          </w:p>
        </w:tc>
        <w:tc>
          <w:tcPr>
            <w:tcW w:w="1181" w:type="dxa"/>
            <w:vAlign w:val="top"/>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10</w:t>
            </w:r>
          </w:p>
        </w:tc>
        <w:tc>
          <w:tcPr>
            <w:tcW w:w="1182" w:type="dxa"/>
            <w:vAlign w:val="top"/>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15</w:t>
            </w:r>
          </w:p>
        </w:tc>
        <w:tc>
          <w:tcPr>
            <w:tcW w:w="702" w:type="dxa"/>
            <w:vMerge w:val="restart"/>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p>
        </w:tc>
      </w:tr>
      <w:tr>
        <w:trPr>
          <w:trHeight w:val="283" w:hRule="atLeast"/>
        </w:trPr>
        <w:tc>
          <w:tcPr>
            <w:tcW w:w="1559" w:type="dxa"/>
            <w:vMerge w:val="continue"/>
            <w:tcBorders>
              <w:top w:val="none" w:color="auto" w:sz="0" w:space="0"/>
              <w:left w:val="single" w:color="auto" w:sz="4" w:space="0"/>
              <w:bottom w:val="none" w:color="auto" w:sz="0" w:space="0"/>
              <w:right w:val="single" w:color="000000" w:sz="4" w:space="0"/>
              <w:tl2br w:val="none" w:color="auto" w:sz="0" w:space="0"/>
              <w:tr2bl w:val="none" w:color="auto" w:sz="0" w:space="0"/>
            </w:tcBorders>
            <w:vAlign w:val="top"/>
          </w:tcPr>
          <w:p>
            <w:pPr>
              <w:pStyle w:val="0"/>
              <w:autoSpaceDE w:val="0"/>
              <w:autoSpaceDN w:val="0"/>
              <w:spacing w:line="240" w:lineRule="exact"/>
              <w:rPr>
                <w:rFonts w:hint="default" w:ascii="ＭＳ Ｐゴシック" w:hAnsi="ＭＳ Ｐゴシック" w:eastAsia="ＭＳ Ｐゴシック"/>
                <w:color w:val="000000" w:themeColor="text1"/>
                <w:sz w:val="21"/>
              </w:rPr>
            </w:pPr>
          </w:p>
        </w:tc>
        <w:tc>
          <w:tcPr>
            <w:tcW w:w="1560" w:type="dxa"/>
            <w:vMerge w:val="continue"/>
            <w:tcBorders>
              <w:top w:val="none" w:color="auto" w:sz="0" w:space="0"/>
              <w:left w:val="single" w:color="auto" w:sz="4" w:space="0"/>
              <w:bottom w:val="none" w:color="auto" w:sz="0" w:space="0"/>
              <w:right w:val="single" w:color="000000" w:sz="4" w:space="0"/>
              <w:tl2br w:val="none" w:color="auto" w:sz="0" w:space="0"/>
              <w:tr2bl w:val="none" w:color="auto" w:sz="0" w:space="0"/>
            </w:tcBorders>
            <w:vAlign w:val="top"/>
          </w:tcPr>
          <w:p>
            <w:pPr>
              <w:pStyle w:val="0"/>
              <w:autoSpaceDE w:val="0"/>
              <w:autoSpaceDN w:val="0"/>
              <w:spacing w:line="240" w:lineRule="exact"/>
              <w:rPr>
                <w:rFonts w:hint="default" w:ascii="ＭＳ Ｐゴシック" w:hAnsi="ＭＳ Ｐゴシック" w:eastAsia="ＭＳ Ｐゴシック"/>
                <w:color w:val="000000" w:themeColor="text1"/>
                <w:sz w:val="21"/>
              </w:rPr>
            </w:pPr>
          </w:p>
        </w:tc>
        <w:tc>
          <w:tcPr>
            <w:tcW w:w="992" w:type="dxa"/>
            <w:tcBorders>
              <w:top w:val="none" w:color="auto" w:sz="0" w:space="0"/>
              <w:left w:val="single" w:color="000000" w:sz="4" w:space="0"/>
              <w:bottom w:val="none" w:color="auto" w:sz="0" w:space="0"/>
              <w:right w:val="none" w:color="auto" w:sz="0" w:space="0"/>
              <w:tl2br w:val="none" w:color="auto" w:sz="0" w:space="0"/>
              <w:tr2bl w:val="none" w:color="auto" w:sz="0" w:space="0"/>
            </w:tcBorders>
            <w:vAlign w:val="top"/>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実績値</w:t>
            </w:r>
          </w:p>
        </w:tc>
        <w:tc>
          <w:tcPr>
            <w:tcW w:w="1181" w:type="dxa"/>
            <w:vAlign w:val="top"/>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15</w:t>
            </w:r>
          </w:p>
        </w:tc>
        <w:tc>
          <w:tcPr>
            <w:tcW w:w="1181" w:type="dxa"/>
            <w:vAlign w:val="top"/>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44</w:t>
            </w:r>
          </w:p>
        </w:tc>
        <w:tc>
          <w:tcPr>
            <w:tcW w:w="1182" w:type="dxa"/>
            <w:vAlign w:val="top"/>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40</w:t>
            </w:r>
          </w:p>
        </w:tc>
        <w:tc>
          <w:tcPr>
            <w:tcW w:w="702" w:type="dxa"/>
            <w:vMerge w:val="continue"/>
            <w:vAlign w:val="top"/>
          </w:tcPr>
          <w:p>
            <w:pPr>
              <w:pStyle w:val="0"/>
              <w:autoSpaceDE w:val="0"/>
              <w:autoSpaceDN w:val="0"/>
              <w:jc w:val="center"/>
              <w:rPr>
                <w:rFonts w:hint="default" w:ascii="ＭＳ Ｐゴシック" w:hAnsi="ＭＳ Ｐゴシック" w:eastAsia="ＭＳ Ｐゴシック"/>
                <w:color w:val="000000" w:themeColor="text1"/>
                <w:sz w:val="21"/>
              </w:rPr>
            </w:pPr>
          </w:p>
        </w:tc>
      </w:tr>
    </w:tbl>
    <w:p>
      <w:pPr>
        <w:pStyle w:val="41"/>
        <w:rPr>
          <w:rFonts w:hint="default"/>
          <w:color w:val="auto"/>
          <w:highlight w:val="none"/>
        </w:rPr>
      </w:pPr>
    </w:p>
    <w:p>
      <w:pPr>
        <w:pStyle w:val="30"/>
        <w:spacing w:after="76" w:afterLines="0" w:afterAutospacing="0"/>
        <w:rPr>
          <w:rFonts w:hint="default"/>
          <w:color w:val="auto"/>
          <w:highlight w:val="none"/>
        </w:rPr>
      </w:pPr>
      <w:r>
        <w:rPr>
          <w:rFonts w:hint="eastAsia"/>
          <w:color w:val="auto"/>
          <w:highlight w:val="none"/>
        </w:rPr>
        <w:t>イ　認知症の理解促進及び本人発信支援</w:t>
      </w:r>
    </w:p>
    <w:p>
      <w:pPr>
        <w:pStyle w:val="44"/>
        <w:rPr>
          <w:rFonts w:hint="default"/>
          <w:color w:val="auto"/>
          <w:highlight w:val="none"/>
        </w:rPr>
      </w:pPr>
      <w:r>
        <w:rPr>
          <w:rFonts w:hint="eastAsia"/>
          <w:color w:val="auto"/>
          <w:highlight w:val="none"/>
        </w:rPr>
        <w:t>認知症カフェ等で、認知症の人自らが活躍できる場の設置や当事者や家族と話し合い、一体的支援を推進できるよう関係機関と調整を図りました。</w:t>
      </w:r>
    </w:p>
    <w:p>
      <w:pPr>
        <w:pStyle w:val="44"/>
        <w:rPr>
          <w:rFonts w:hint="default"/>
          <w:color w:val="auto"/>
          <w:highlight w:val="none"/>
        </w:rPr>
      </w:pPr>
      <w:r>
        <w:rPr>
          <w:rFonts w:hint="eastAsia"/>
          <w:color w:val="auto"/>
          <w:highlight w:val="none"/>
        </w:rPr>
        <w:t>認知症に対する理解がより一層深まり、認知症の人が自らの意見が発信でき、活躍できる場が広がるよう、関係機関と調整を図りながら実施する必要があります。</w:t>
      </w:r>
    </w:p>
    <w:p>
      <w:pPr>
        <w:pStyle w:val="41"/>
        <w:rPr>
          <w:rFonts w:hint="default"/>
          <w:color w:val="auto"/>
          <w:highlight w:val="none"/>
        </w:rPr>
      </w:pPr>
    </w:p>
    <w:p>
      <w:pPr>
        <w:pStyle w:val="30"/>
        <w:spacing w:after="76" w:afterLines="0" w:afterAutospacing="0"/>
        <w:rPr>
          <w:rFonts w:hint="default"/>
          <w:color w:val="auto"/>
          <w:highlight w:val="none"/>
        </w:rPr>
      </w:pPr>
      <w:r>
        <w:rPr>
          <w:rFonts w:hint="eastAsia"/>
          <w:color w:val="auto"/>
          <w:highlight w:val="none"/>
        </w:rPr>
        <w:t>ウ　認知症の人とその家族への支援体制の強化</w:t>
      </w:r>
    </w:p>
    <w:p>
      <w:pPr>
        <w:pStyle w:val="44"/>
        <w:rPr>
          <w:rFonts w:hint="default"/>
          <w:color w:val="auto"/>
          <w:highlight w:val="none"/>
        </w:rPr>
      </w:pPr>
      <w:r>
        <w:rPr>
          <w:rFonts w:hint="eastAsia"/>
          <w:color w:val="auto"/>
          <w:highlight w:val="none"/>
        </w:rPr>
        <w:t>認知症の人やその家族等が認知症地域支援推進員に相談を行ったことで、必要な支援や医療機関への受診へつながりました。</w:t>
      </w:r>
    </w:p>
    <w:p>
      <w:pPr>
        <w:pStyle w:val="44"/>
        <w:rPr>
          <w:rFonts w:hint="default"/>
          <w:color w:val="auto"/>
          <w:highlight w:val="none"/>
        </w:rPr>
      </w:pPr>
      <w:r>
        <w:rPr>
          <w:rFonts w:hint="eastAsia"/>
          <w:color w:val="auto"/>
          <w:highlight w:val="none"/>
        </w:rPr>
        <w:t>各地域包括支援センターや商業施設等で「もの忘れ相談会」を実施し、早めの支援につなげることができました。</w:t>
      </w:r>
    </w:p>
    <w:p>
      <w:pPr>
        <w:pStyle w:val="30"/>
        <w:spacing w:after="76" w:afterLines="0" w:afterAutospacing="0"/>
        <w:rPr>
          <w:rFonts w:hint="default"/>
          <w:color w:val="auto"/>
          <w:highlight w:val="none"/>
        </w:rPr>
      </w:pPr>
      <w:r>
        <w:rPr>
          <w:rFonts w:hint="eastAsia"/>
          <w:color w:val="auto"/>
          <w:highlight w:val="none"/>
        </w:rPr>
        <w:t>エ　認知症バリアフリーの推進</w:t>
      </w:r>
    </w:p>
    <w:p>
      <w:pPr>
        <w:pStyle w:val="44"/>
        <w:rPr>
          <w:rFonts w:hint="default"/>
          <w:color w:val="auto"/>
          <w:highlight w:val="none"/>
        </w:rPr>
      </w:pPr>
      <w:r>
        <w:rPr>
          <w:rFonts w:hint="eastAsia"/>
          <w:color w:val="auto"/>
          <w:highlight w:val="none"/>
        </w:rPr>
        <w:t>はつかいち見守り安心ネットワークにより、認知症の人が外出したまま行方不明になった場合の早期発見に向けた取組を行いました。</w:t>
      </w:r>
    </w:p>
    <w:p>
      <w:pPr>
        <w:pStyle w:val="44"/>
        <w:rPr>
          <w:rFonts w:hint="default"/>
          <w:color w:val="auto"/>
          <w:highlight w:val="none"/>
        </w:rPr>
      </w:pPr>
      <w:r>
        <w:rPr>
          <w:rFonts w:hint="eastAsia"/>
          <w:color w:val="auto"/>
          <w:highlight w:val="none"/>
        </w:rPr>
        <w:t>ネットワーク登録者のうち希望する人に、二次元コードを印刷した見守りシールを交付し、速やかに保護につなげるシステムが利用できるように周知しました。</w:t>
      </w:r>
    </w:p>
    <w:p>
      <w:pPr>
        <w:pStyle w:val="44"/>
        <w:rPr>
          <w:rFonts w:hint="default"/>
          <w:color w:val="auto"/>
          <w:highlight w:val="none"/>
        </w:rPr>
      </w:pPr>
      <w:r>
        <w:rPr>
          <w:rFonts w:hint="eastAsia"/>
          <w:color w:val="auto"/>
          <w:highlight w:val="none"/>
        </w:rPr>
        <w:t>健康に関するイベント等で、はつかいち見守り安心ネットワークや見守りシール交付事業について広く啓発しました。引き続き取組んでいく必要があります。</w:t>
      </w:r>
    </w:p>
    <w:p>
      <w:pPr>
        <w:pStyle w:val="41"/>
        <w:rPr>
          <w:rFonts w:hint="default"/>
          <w:color w:val="auto"/>
          <w:highlight w:val="none"/>
        </w:rPr>
      </w:pPr>
    </w:p>
    <w:p>
      <w:pPr>
        <w:pStyle w:val="26"/>
        <w:spacing w:after="76" w:afterLines="0" w:afterAutospacing="0"/>
        <w:rPr>
          <w:rFonts w:hint="default"/>
          <w:color w:val="auto"/>
          <w:highlight w:val="none"/>
        </w:rPr>
      </w:pPr>
      <w:bookmarkStart w:id="75" w:name="_Hlk149932164"/>
      <w:bookmarkStart w:id="76" w:name="_Toc152160645"/>
      <w:r>
        <w:rPr>
          <w:rFonts w:hint="default"/>
          <w:color w:val="auto"/>
          <w:highlight w:val="none"/>
        </w:rPr>
        <w:t>（</w:t>
      </w:r>
      <w:r>
        <w:rPr>
          <w:rFonts w:hint="eastAsia"/>
          <w:color w:val="auto"/>
          <w:highlight w:val="none"/>
        </w:rPr>
        <w:t>３</w:t>
      </w:r>
      <w:r>
        <w:rPr>
          <w:rFonts w:hint="default"/>
          <w:color w:val="auto"/>
          <w:highlight w:val="none"/>
        </w:rPr>
        <w:t>）</w:t>
      </w:r>
      <w:r>
        <w:rPr>
          <w:rFonts w:hint="eastAsia"/>
          <w:color w:val="auto"/>
          <w:highlight w:val="none"/>
        </w:rPr>
        <w:t>地域で暮らし続けられる体制の構築について</w:t>
      </w:r>
      <w:bookmarkEnd w:id="76"/>
    </w:p>
    <w:p>
      <w:pPr>
        <w:pStyle w:val="30"/>
        <w:spacing w:after="76" w:afterLines="0" w:afterAutospacing="0"/>
        <w:rPr>
          <w:rFonts w:hint="default"/>
          <w:color w:val="auto"/>
          <w:highlight w:val="none"/>
        </w:rPr>
      </w:pPr>
      <w:r>
        <w:rPr>
          <w:rFonts w:hint="eastAsia"/>
          <w:color w:val="auto"/>
          <w:highlight w:val="none"/>
        </w:rPr>
        <w:t>ア　成果指標の達成状況</w:t>
      </w:r>
    </w:p>
    <w:tbl>
      <w:tblPr>
        <w:tblStyle w:val="81"/>
        <w:tblW w:w="8646" w:type="dxa"/>
        <w:tblInd w:w="421" w:type="dxa"/>
        <w:tblLayout w:type="fixed"/>
        <w:tblLook w:firstRow="1" w:lastRow="0" w:firstColumn="1" w:lastColumn="0" w:noHBand="0" w:noVBand="1" w:val="04A0"/>
      </w:tblPr>
      <w:tblGrid>
        <w:gridCol w:w="4252"/>
        <w:gridCol w:w="1228"/>
        <w:gridCol w:w="1229"/>
        <w:gridCol w:w="1229"/>
        <w:gridCol w:w="708"/>
      </w:tblGrid>
      <w:tr>
        <w:trPr>
          <w:trHeight w:val="510" w:hRule="atLeast"/>
        </w:trPr>
        <w:tc>
          <w:tcPr>
            <w:tcW w:w="425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8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228" w:type="dxa"/>
            <w:shd w:val="clear" w:color="auto" w:fill="CCECFF"/>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2</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8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直近実績値</w:t>
            </w:r>
          </w:p>
        </w:tc>
        <w:tc>
          <w:tcPr>
            <w:tcW w:w="1229" w:type="dxa"/>
            <w:shd w:val="clear" w:color="auto" w:fill="CCECFF"/>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計画</w:t>
            </w:r>
          </w:p>
        </w:tc>
        <w:tc>
          <w:tcPr>
            <w:tcW w:w="1229" w:type="dxa"/>
            <w:shd w:val="clear" w:color="auto" w:fill="CCECFF"/>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5</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実績値</w:t>
            </w:r>
          </w:p>
        </w:tc>
        <w:tc>
          <w:tcPr>
            <w:tcW w:w="70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8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達成</w:t>
            </w:r>
          </w:p>
          <w:p>
            <w:pPr>
              <w:pStyle w:val="0"/>
              <w:widowControl w:val="1"/>
              <w:autoSpaceDE w:val="0"/>
              <w:autoSpaceDN w:val="0"/>
              <w:spacing w:line="28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状況</w:t>
            </w:r>
          </w:p>
        </w:tc>
      </w:tr>
      <w:tr>
        <w:trPr>
          <w:trHeight w:val="283" w:hRule="atLeast"/>
        </w:trPr>
        <w:tc>
          <w:tcPr>
            <w:tcW w:w="4252"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autoSpaceDE w:val="0"/>
              <w:autoSpaceDN w:val="0"/>
              <w:spacing w:line="280" w:lineRule="exact"/>
              <w:jc w:val="lef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地域への満足度</w:t>
            </w:r>
          </w:p>
          <w:p>
            <w:pPr>
              <w:pStyle w:val="0"/>
              <w:autoSpaceDE w:val="0"/>
              <w:autoSpaceDN w:val="0"/>
              <w:spacing w:line="280" w:lineRule="exact"/>
              <w:jc w:val="lef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（ニーズ調査において、高齢になっても自宅での生活を安心して継続できる地域だと「思う」「どちらかというと思う」と回答した者の割合）</w:t>
            </w:r>
          </w:p>
        </w:tc>
        <w:tc>
          <w:tcPr>
            <w:tcW w:w="1228" w:type="dxa"/>
            <w:shd w:val="clear" w:color="auto" w:fill="auto"/>
            <w:vAlign w:val="center"/>
          </w:tcPr>
          <w:p>
            <w:pPr>
              <w:pStyle w:val="0"/>
              <w:autoSpaceDE w:val="0"/>
              <w:autoSpaceDN w:val="0"/>
              <w:spacing w:line="28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53.0</w:t>
            </w:r>
            <w:r>
              <w:rPr>
                <w:rFonts w:hint="eastAsia" w:ascii="ＭＳ Ｐゴシック" w:hAnsi="ＭＳ Ｐゴシック" w:eastAsia="ＭＳ Ｐゴシック"/>
                <w:color w:val="auto"/>
                <w:sz w:val="21"/>
                <w:highlight w:val="none"/>
              </w:rPr>
              <w:t>％</w:t>
            </w:r>
          </w:p>
        </w:tc>
        <w:tc>
          <w:tcPr>
            <w:tcW w:w="1229" w:type="dxa"/>
            <w:shd w:val="clear" w:color="auto" w:fill="auto"/>
            <w:vAlign w:val="center"/>
          </w:tcPr>
          <w:p>
            <w:pPr>
              <w:pStyle w:val="0"/>
              <w:autoSpaceDE w:val="0"/>
              <w:autoSpaceDN w:val="0"/>
              <w:spacing w:line="28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増加</w:t>
            </w:r>
          </w:p>
        </w:tc>
        <w:tc>
          <w:tcPr>
            <w:tcW w:w="1229" w:type="dxa"/>
            <w:shd w:val="clear" w:color="auto" w:fill="auto"/>
            <w:vAlign w:val="center"/>
          </w:tcPr>
          <w:p>
            <w:pPr>
              <w:pStyle w:val="0"/>
              <w:autoSpaceDE w:val="0"/>
              <w:autoSpaceDN w:val="0"/>
              <w:spacing w:line="28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62.0</w:t>
            </w:r>
            <w:r>
              <w:rPr>
                <w:rFonts w:hint="eastAsia" w:ascii="ＭＳ Ｐゴシック" w:hAnsi="ＭＳ Ｐゴシック" w:eastAsia="ＭＳ Ｐゴシック"/>
                <w:color w:val="auto"/>
                <w:sz w:val="21"/>
                <w:highlight w:val="none"/>
              </w:rPr>
              <w:t>％</w:t>
            </w:r>
          </w:p>
        </w:tc>
        <w:tc>
          <w:tcPr>
            <w:tcW w:w="708"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8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p>
        </w:tc>
      </w:tr>
    </w:tbl>
    <w:p>
      <w:pPr>
        <w:pStyle w:val="41"/>
        <w:rPr>
          <w:rFonts w:hint="default"/>
          <w:color w:val="auto"/>
          <w:highlight w:val="none"/>
        </w:rPr>
      </w:pPr>
    </w:p>
    <w:p>
      <w:pPr>
        <w:pStyle w:val="30"/>
        <w:spacing w:after="76" w:afterLines="0" w:afterAutospacing="0"/>
        <w:rPr>
          <w:rFonts w:hint="default"/>
          <w:color w:val="auto"/>
          <w:highlight w:val="none"/>
        </w:rPr>
      </w:pPr>
      <w:r>
        <w:rPr>
          <w:rFonts w:hint="eastAsia"/>
          <w:color w:val="auto"/>
          <w:highlight w:val="none"/>
        </w:rPr>
        <w:t>ア　</w:t>
      </w:r>
      <w:r>
        <w:rPr>
          <w:rFonts w:hint="default"/>
          <w:color w:val="auto"/>
          <w:highlight w:val="none"/>
        </w:rPr>
        <w:t>生活支援体制の充実</w:t>
      </w:r>
    </w:p>
    <w:p>
      <w:pPr>
        <w:pStyle w:val="44"/>
        <w:rPr>
          <w:rFonts w:hint="default"/>
          <w:color w:val="auto"/>
          <w:highlight w:val="none"/>
        </w:rPr>
      </w:pPr>
      <w:r>
        <w:rPr>
          <w:rFonts w:hint="eastAsia"/>
          <w:color w:val="auto"/>
          <w:highlight w:val="none"/>
        </w:rPr>
        <w:t>地域で開催されている協議の場の中で、住民が地域の困りごとに気づくような働きかけや、協議が継続して行われるように支援を行いました。</w:t>
      </w:r>
    </w:p>
    <w:p>
      <w:pPr>
        <w:pStyle w:val="44"/>
        <w:rPr>
          <w:rFonts w:hint="default"/>
          <w:color w:val="auto"/>
          <w:highlight w:val="none"/>
        </w:rPr>
      </w:pPr>
      <w:bookmarkEnd w:id="75"/>
      <w:r>
        <w:rPr>
          <w:rFonts w:hint="eastAsia"/>
          <w:color w:val="auto"/>
          <w:highlight w:val="none"/>
        </w:rPr>
        <w:t>住民立場での「自分の地域」のエリアを把握し、その地域に合った働きかけを引き続き行なう必要があります。</w:t>
      </w:r>
    </w:p>
    <w:p>
      <w:pPr>
        <w:pStyle w:val="44"/>
        <w:spacing w:after="185" w:afterLines="50" w:afterAutospacing="0"/>
        <w:rPr>
          <w:rFonts w:hint="default"/>
          <w:color w:val="auto"/>
          <w:spacing w:val="-6"/>
          <w:highlight w:val="none"/>
        </w:rPr>
      </w:pPr>
      <w:r>
        <w:rPr>
          <w:rFonts w:hint="eastAsia"/>
          <w:color w:val="auto"/>
          <w:spacing w:val="-6"/>
          <w:highlight w:val="none"/>
        </w:rPr>
        <w:t>会議内容をより深めるため、テーマに関わりがある人に参加を促す必要があります。</w:t>
      </w:r>
    </w:p>
    <w:tbl>
      <w:tblPr>
        <w:tblStyle w:val="81"/>
        <w:tblW w:w="8357" w:type="dxa"/>
        <w:tblInd w:w="704" w:type="dxa"/>
        <w:tblLayout w:type="fixed"/>
        <w:tblLook w:firstRow="1" w:lastRow="0" w:firstColumn="1" w:lastColumn="0" w:noHBand="0" w:noVBand="1" w:val="04A0"/>
      </w:tblPr>
      <w:tblGrid>
        <w:gridCol w:w="1985"/>
        <w:gridCol w:w="1134"/>
        <w:gridCol w:w="992"/>
        <w:gridCol w:w="1181"/>
        <w:gridCol w:w="1181"/>
        <w:gridCol w:w="1182"/>
        <w:gridCol w:w="702"/>
      </w:tblGrid>
      <w:tr>
        <w:trPr>
          <w:trHeight w:val="510" w:hRule="atLeast"/>
        </w:trPr>
        <w:tc>
          <w:tcPr>
            <w:tcW w:w="4111" w:type="dxa"/>
            <w:gridSpan w:val="3"/>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18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3</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(2021</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18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4</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(2022</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18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5</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r>
              <w:rPr>
                <w:rFonts w:hint="default" w:ascii="ＭＳ Ｐゴシック" w:hAnsi="ＭＳ Ｐゴシック" w:eastAsia="ＭＳ Ｐゴシック"/>
                <w:color w:val="auto"/>
                <w:sz w:val="21"/>
                <w:highlight w:val="none"/>
              </w:rPr>
              <w:t>202</w:t>
            </w:r>
            <w:r>
              <w:rPr>
                <w:rFonts w:hint="eastAsia" w:ascii="ＭＳ Ｐゴシック" w:hAnsi="ＭＳ Ｐゴシック" w:eastAsia="ＭＳ Ｐゴシック"/>
                <w:color w:val="auto"/>
                <w:sz w:val="21"/>
                <w:highlight w:val="none"/>
              </w:rPr>
              <w:t>3</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見込み</w:t>
            </w:r>
          </w:p>
        </w:tc>
        <w:tc>
          <w:tcPr>
            <w:tcW w:w="70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8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達成</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状況</w:t>
            </w:r>
          </w:p>
        </w:tc>
      </w:tr>
      <w:tr>
        <w:trPr>
          <w:trHeight w:val="283" w:hRule="atLeast"/>
        </w:trPr>
        <w:tc>
          <w:tcPr>
            <w:tcW w:w="1985" w:type="dxa"/>
            <w:vMerge w:val="restart"/>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生活支援コーディネーターが支援する住民主体の話し合い（協議体での話し合い）</w:t>
            </w:r>
          </w:p>
        </w:tc>
        <w:tc>
          <w:tcPr>
            <w:tcW w:w="1134" w:type="dxa"/>
            <w:vMerge w:val="restart"/>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実施回数（回）</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計画値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112</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126</w:t>
            </w:r>
          </w:p>
        </w:tc>
        <w:tc>
          <w:tcPr>
            <w:tcW w:w="118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140</w:t>
            </w:r>
          </w:p>
        </w:tc>
        <w:tc>
          <w:tcPr>
            <w:tcW w:w="702"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p>
        </w:tc>
      </w:tr>
      <w:tr>
        <w:trPr>
          <w:trHeight w:val="283" w:hRule="atLeast"/>
        </w:trPr>
        <w:tc>
          <w:tcPr>
            <w:tcW w:w="1985" w:type="dxa"/>
            <w:vMerge w:val="continue"/>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000000" w:themeColor="text1"/>
                <w:sz w:val="21"/>
              </w:rPr>
            </w:pPr>
          </w:p>
        </w:tc>
        <w:tc>
          <w:tcPr>
            <w:tcW w:w="1134" w:type="dxa"/>
            <w:vMerge w:val="continue"/>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000000" w:themeColor="text1"/>
                <w:sz w:val="21"/>
              </w:rPr>
            </w:pP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実績値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224</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265</w:t>
            </w:r>
          </w:p>
        </w:tc>
        <w:tc>
          <w:tcPr>
            <w:tcW w:w="1182" w:type="dxa"/>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300</w:t>
            </w:r>
          </w:p>
        </w:tc>
        <w:tc>
          <w:tcPr>
            <w:tcW w:w="702" w:type="dxa"/>
            <w:vMerge w:val="continue"/>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000000" w:themeColor="text1"/>
                <w:sz w:val="21"/>
                <w:highlight w:val="yellow"/>
              </w:rPr>
            </w:pPr>
          </w:p>
        </w:tc>
      </w:tr>
      <w:tr>
        <w:trPr>
          <w:trHeight w:val="283" w:hRule="atLeast"/>
        </w:trPr>
        <w:tc>
          <w:tcPr>
            <w:tcW w:w="1985" w:type="dxa"/>
            <w:vMerge w:val="continue"/>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000000" w:themeColor="text1"/>
                <w:sz w:val="21"/>
              </w:rPr>
            </w:pPr>
          </w:p>
        </w:tc>
        <w:tc>
          <w:tcPr>
            <w:tcW w:w="1134" w:type="dxa"/>
            <w:vMerge w:val="restart"/>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延参加者</w:t>
            </w:r>
          </w:p>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数（人）</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計画値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560</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630</w:t>
            </w:r>
          </w:p>
        </w:tc>
        <w:tc>
          <w:tcPr>
            <w:tcW w:w="1182" w:type="dxa"/>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700</w:t>
            </w:r>
          </w:p>
        </w:tc>
        <w:tc>
          <w:tcPr>
            <w:tcW w:w="702" w:type="dxa"/>
            <w:vMerge w:val="restart"/>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p>
        </w:tc>
      </w:tr>
      <w:tr>
        <w:trPr>
          <w:trHeight w:val="283" w:hRule="atLeast"/>
        </w:trPr>
        <w:tc>
          <w:tcPr>
            <w:tcW w:w="1985" w:type="dxa"/>
            <w:vMerge w:val="continue"/>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000000" w:themeColor="text1"/>
                <w:sz w:val="21"/>
              </w:rPr>
            </w:pPr>
          </w:p>
        </w:tc>
        <w:tc>
          <w:tcPr>
            <w:tcW w:w="1134" w:type="dxa"/>
            <w:vMerge w:val="continue"/>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000000" w:themeColor="text1"/>
                <w:sz w:val="21"/>
              </w:rPr>
            </w:pP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実績値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2,882</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3,249</w:t>
            </w:r>
          </w:p>
        </w:tc>
        <w:tc>
          <w:tcPr>
            <w:tcW w:w="1182" w:type="dxa"/>
            <w:tcBorders>
              <w:top w:val="none" w:color="auto" w:sz="0"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3,600</w:t>
            </w:r>
          </w:p>
        </w:tc>
        <w:tc>
          <w:tcPr>
            <w:tcW w:w="702"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000000" w:themeColor="text1"/>
                <w:sz w:val="21"/>
              </w:rPr>
            </w:pPr>
          </w:p>
        </w:tc>
      </w:tr>
    </w:tbl>
    <w:p>
      <w:pPr>
        <w:pStyle w:val="41"/>
        <w:rPr>
          <w:rFonts w:hint="default"/>
          <w:color w:val="auto"/>
          <w:highlight w:val="none"/>
        </w:rPr>
      </w:pPr>
    </w:p>
    <w:p>
      <w:pPr>
        <w:pStyle w:val="30"/>
        <w:spacing w:after="76" w:afterLines="0" w:afterAutospacing="0"/>
        <w:rPr>
          <w:rFonts w:hint="default"/>
          <w:color w:val="auto"/>
          <w:highlight w:val="none"/>
        </w:rPr>
      </w:pPr>
      <w:r>
        <w:rPr>
          <w:rFonts w:hint="eastAsia"/>
          <w:color w:val="auto"/>
          <w:highlight w:val="none"/>
        </w:rPr>
        <w:t>イ　地域ケア会議の充実</w:t>
      </w:r>
    </w:p>
    <w:p>
      <w:pPr>
        <w:pStyle w:val="44"/>
        <w:rPr>
          <w:rFonts w:hint="default"/>
          <w:color w:val="auto"/>
          <w:highlight w:val="none"/>
        </w:rPr>
      </w:pPr>
      <w:r>
        <w:rPr>
          <w:rFonts w:hint="eastAsia"/>
          <w:color w:val="auto"/>
          <w:highlight w:val="none"/>
        </w:rPr>
        <w:t>各日常生活圏域で地域ケア会議を開催しました。</w:t>
      </w:r>
    </w:p>
    <w:p>
      <w:pPr>
        <w:pStyle w:val="44"/>
        <w:spacing w:after="185" w:afterLines="50" w:afterAutospacing="0" w:line="360" w:lineRule="exact"/>
        <w:rPr>
          <w:rFonts w:hint="default"/>
          <w:color w:val="auto"/>
          <w:highlight w:val="none"/>
        </w:rPr>
      </w:pPr>
      <w:r>
        <w:rPr>
          <w:rFonts w:hint="eastAsia"/>
          <w:color w:val="auto"/>
          <w:highlight w:val="none"/>
        </w:rPr>
        <w:t>個別ケースの課題を積み上げ、地域の課題を分析するとともに、課題の解決に向けた取組を進めることが必要です。</w:t>
      </w:r>
    </w:p>
    <w:tbl>
      <w:tblPr>
        <w:tblStyle w:val="81"/>
        <w:tblW w:w="8357" w:type="dxa"/>
        <w:tblInd w:w="704" w:type="dxa"/>
        <w:tblLayout w:type="fixed"/>
        <w:tblLook w:firstRow="1" w:lastRow="0" w:firstColumn="1" w:lastColumn="0" w:noHBand="0" w:noVBand="1" w:val="04A0"/>
      </w:tblPr>
      <w:tblGrid>
        <w:gridCol w:w="3119"/>
        <w:gridCol w:w="992"/>
        <w:gridCol w:w="1181"/>
        <w:gridCol w:w="1181"/>
        <w:gridCol w:w="1182"/>
        <w:gridCol w:w="702"/>
      </w:tblGrid>
      <w:tr>
        <w:trPr>
          <w:trHeight w:val="510" w:hRule="atLeast"/>
        </w:trPr>
        <w:tc>
          <w:tcPr>
            <w:tcW w:w="4111"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18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3</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(2021</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18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4</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(2022</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18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5</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r>
              <w:rPr>
                <w:rFonts w:hint="default" w:ascii="ＭＳ Ｐゴシック" w:hAnsi="ＭＳ Ｐゴシック" w:eastAsia="ＭＳ Ｐゴシック"/>
                <w:color w:val="auto"/>
                <w:sz w:val="21"/>
                <w:highlight w:val="none"/>
              </w:rPr>
              <w:t>202</w:t>
            </w:r>
            <w:r>
              <w:rPr>
                <w:rFonts w:hint="eastAsia" w:ascii="ＭＳ Ｐゴシック" w:hAnsi="ＭＳ Ｐゴシック" w:eastAsia="ＭＳ Ｐゴシック"/>
                <w:color w:val="auto"/>
                <w:sz w:val="21"/>
                <w:highlight w:val="none"/>
              </w:rPr>
              <w:t>3</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見込み</w:t>
            </w:r>
          </w:p>
        </w:tc>
        <w:tc>
          <w:tcPr>
            <w:tcW w:w="70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8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達成</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状況</w:t>
            </w:r>
          </w:p>
        </w:tc>
      </w:tr>
      <w:tr>
        <w:trPr>
          <w:trHeight w:val="283" w:hRule="atLeast"/>
        </w:trPr>
        <w:tc>
          <w:tcPr>
            <w:tcW w:w="3119" w:type="dxa"/>
            <w:vMerge w:val="restart"/>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地域ケア会議</w:t>
            </w:r>
          </w:p>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default" w:ascii="ＭＳ Ｐゴシック" w:hAnsi="ＭＳ Ｐゴシック" w:eastAsia="ＭＳ Ｐゴシック"/>
                <w:color w:val="auto"/>
                <w:sz w:val="21"/>
                <w:highlight w:val="none"/>
              </w:rPr>
              <w:t>実施回数</w:t>
            </w:r>
            <w:r>
              <w:rPr>
                <w:rFonts w:hint="eastAsia" w:ascii="ＭＳ Ｐゴシック" w:hAnsi="ＭＳ Ｐゴシック" w:eastAsia="ＭＳ Ｐゴシック"/>
                <w:color w:val="auto"/>
                <w:sz w:val="21"/>
                <w:highlight w:val="none"/>
              </w:rPr>
              <w:t>（回）</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計画値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65</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75</w:t>
            </w:r>
          </w:p>
        </w:tc>
        <w:tc>
          <w:tcPr>
            <w:tcW w:w="118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85</w:t>
            </w:r>
          </w:p>
        </w:tc>
        <w:tc>
          <w:tcPr>
            <w:tcW w:w="702"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p>
        </w:tc>
      </w:tr>
      <w:tr>
        <w:trPr>
          <w:trHeight w:val="283" w:hRule="atLeast"/>
        </w:trPr>
        <w:tc>
          <w:tcPr>
            <w:tcW w:w="3119" w:type="dxa"/>
            <w:vMerge w:val="continue"/>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000000" w:themeColor="text1"/>
                <w:sz w:val="21"/>
              </w:rPr>
            </w:pP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実績値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46</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93</w:t>
            </w:r>
          </w:p>
        </w:tc>
        <w:tc>
          <w:tcPr>
            <w:tcW w:w="1182" w:type="dxa"/>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110</w:t>
            </w:r>
          </w:p>
        </w:tc>
        <w:tc>
          <w:tcPr>
            <w:tcW w:w="702" w:type="dxa"/>
            <w:vMerge w:val="continue"/>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000000" w:themeColor="text1"/>
                <w:sz w:val="21"/>
              </w:rPr>
            </w:pPr>
          </w:p>
        </w:tc>
      </w:tr>
    </w:tbl>
    <w:p>
      <w:pPr>
        <w:pStyle w:val="30"/>
        <w:spacing w:after="76" w:afterLines="0" w:afterAutospacing="0"/>
        <w:rPr>
          <w:rFonts w:hint="default"/>
          <w:color w:val="auto"/>
          <w:highlight w:val="none"/>
        </w:rPr>
      </w:pPr>
      <w:r>
        <w:rPr>
          <w:rFonts w:hint="eastAsia"/>
          <w:color w:val="auto"/>
          <w:highlight w:val="none"/>
        </w:rPr>
        <w:t>ウ　</w:t>
      </w:r>
      <w:r>
        <w:rPr>
          <w:rFonts w:hint="default"/>
          <w:color w:val="auto"/>
          <w:highlight w:val="none"/>
        </w:rPr>
        <w:t>住まいに関する情報提供・相談体制の充実</w:t>
      </w:r>
    </w:p>
    <w:p>
      <w:pPr>
        <w:pStyle w:val="44"/>
        <w:rPr>
          <w:rFonts w:hint="default"/>
          <w:color w:val="auto"/>
          <w:highlight w:val="none"/>
        </w:rPr>
      </w:pPr>
      <w:r>
        <w:rPr>
          <w:rFonts w:hint="eastAsia"/>
          <w:color w:val="auto"/>
          <w:highlight w:val="none"/>
        </w:rPr>
        <w:t>広島県居住支援協議会では、庁内関係課や不動産業者等と現状や課題について意見交換を行うとともに、生活支援センターをはじめ、より現場で対応している職員が課題やその対応策等を協議する機会を持ちました。</w:t>
      </w:r>
    </w:p>
    <w:p>
      <w:pPr>
        <w:pStyle w:val="44"/>
        <w:spacing w:after="185" w:afterLines="50" w:afterAutospacing="0" w:line="360" w:lineRule="exact"/>
        <w:rPr>
          <w:rFonts w:hint="default"/>
          <w:color w:val="auto"/>
          <w:highlight w:val="none"/>
        </w:rPr>
      </w:pPr>
      <w:r>
        <w:rPr>
          <w:rFonts w:hint="eastAsia"/>
          <w:color w:val="auto"/>
          <w:highlight w:val="none"/>
        </w:rPr>
        <w:t>令和４（</w:t>
      </w:r>
      <w:r>
        <w:rPr>
          <w:rFonts w:hint="eastAsia"/>
          <w:color w:val="auto"/>
          <w:highlight w:val="none"/>
        </w:rPr>
        <w:t>2022</w:t>
      </w:r>
      <w:r>
        <w:rPr>
          <w:rFonts w:hint="eastAsia"/>
          <w:color w:val="auto"/>
          <w:highlight w:val="none"/>
        </w:rPr>
        <w:t>）</w:t>
      </w:r>
      <w:r>
        <w:rPr>
          <w:rFonts w:hint="default"/>
          <w:color w:val="auto"/>
          <w:highlight w:val="none"/>
        </w:rPr>
        <w:t>年度には廿日市市居住支援協議会</w:t>
      </w:r>
      <w:r>
        <w:rPr>
          <w:rFonts w:hint="eastAsia"/>
          <w:color w:val="auto"/>
          <w:highlight w:val="none"/>
        </w:rPr>
        <w:t>が</w:t>
      </w:r>
      <w:r>
        <w:rPr>
          <w:rFonts w:hint="default"/>
          <w:color w:val="auto"/>
          <w:highlight w:val="none"/>
        </w:rPr>
        <w:t>立ち上がり、庁内の関係課と不動産業者等との連携を深め、住居に関する課題解決に向けた動きを進め</w:t>
      </w:r>
      <w:r>
        <w:rPr>
          <w:rFonts w:hint="eastAsia"/>
          <w:color w:val="auto"/>
          <w:highlight w:val="none"/>
        </w:rPr>
        <w:t>ました</w:t>
      </w:r>
      <w:r>
        <w:rPr>
          <w:rFonts w:hint="default"/>
          <w:color w:val="auto"/>
          <w:highlight w:val="none"/>
        </w:rPr>
        <w:t>。</w:t>
      </w:r>
    </w:p>
    <w:tbl>
      <w:tblPr>
        <w:tblStyle w:val="81"/>
        <w:tblW w:w="8357" w:type="dxa"/>
        <w:tblInd w:w="704" w:type="dxa"/>
        <w:tblLayout w:type="fixed"/>
        <w:tblLook w:firstRow="1" w:lastRow="0" w:firstColumn="1" w:lastColumn="0" w:noHBand="0" w:noVBand="1" w:val="04A0"/>
      </w:tblPr>
      <w:tblGrid>
        <w:gridCol w:w="3119"/>
        <w:gridCol w:w="992"/>
        <w:gridCol w:w="1181"/>
        <w:gridCol w:w="1181"/>
        <w:gridCol w:w="1182"/>
        <w:gridCol w:w="702"/>
      </w:tblGrid>
      <w:tr>
        <w:trPr>
          <w:trHeight w:val="510" w:hRule="atLeast"/>
        </w:trPr>
        <w:tc>
          <w:tcPr>
            <w:tcW w:w="4111"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18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3</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(2021</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18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4</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(2022</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18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5</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r>
              <w:rPr>
                <w:rFonts w:hint="default" w:ascii="ＭＳ Ｐゴシック" w:hAnsi="ＭＳ Ｐゴシック" w:eastAsia="ＭＳ Ｐゴシック"/>
                <w:color w:val="auto"/>
                <w:sz w:val="21"/>
                <w:highlight w:val="none"/>
              </w:rPr>
              <w:t>202</w:t>
            </w:r>
            <w:r>
              <w:rPr>
                <w:rFonts w:hint="eastAsia" w:ascii="ＭＳ Ｐゴシック" w:hAnsi="ＭＳ Ｐゴシック" w:eastAsia="ＭＳ Ｐゴシック"/>
                <w:color w:val="auto"/>
                <w:sz w:val="21"/>
                <w:highlight w:val="none"/>
              </w:rPr>
              <w:t>3</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見込み</w:t>
            </w:r>
          </w:p>
        </w:tc>
        <w:tc>
          <w:tcPr>
            <w:tcW w:w="70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8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達成</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状況</w:t>
            </w:r>
          </w:p>
        </w:tc>
      </w:tr>
      <w:tr>
        <w:trPr>
          <w:trHeight w:val="283" w:hRule="atLeast"/>
        </w:trPr>
        <w:tc>
          <w:tcPr>
            <w:tcW w:w="3119" w:type="dxa"/>
            <w:vMerge w:val="restart"/>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広島県居住支援協議会等の連携会議　実施回数（回）</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計画値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4</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4</w:t>
            </w:r>
          </w:p>
        </w:tc>
        <w:tc>
          <w:tcPr>
            <w:tcW w:w="118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4</w:t>
            </w:r>
          </w:p>
        </w:tc>
        <w:tc>
          <w:tcPr>
            <w:tcW w:w="702"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p>
        </w:tc>
      </w:tr>
      <w:tr>
        <w:trPr>
          <w:trHeight w:val="283" w:hRule="atLeast"/>
        </w:trPr>
        <w:tc>
          <w:tcPr>
            <w:tcW w:w="3119" w:type="dxa"/>
            <w:vMerge w:val="continue"/>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000000" w:themeColor="text1"/>
                <w:sz w:val="21"/>
              </w:rPr>
            </w:pP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実績値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5</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4</w:t>
            </w:r>
          </w:p>
        </w:tc>
        <w:tc>
          <w:tcPr>
            <w:tcW w:w="1182" w:type="dxa"/>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p>
        </w:tc>
        <w:tc>
          <w:tcPr>
            <w:tcW w:w="702" w:type="dxa"/>
            <w:vMerge w:val="continue"/>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000000" w:themeColor="text1"/>
                <w:sz w:val="21"/>
              </w:rPr>
            </w:pPr>
          </w:p>
        </w:tc>
      </w:tr>
    </w:tbl>
    <w:p>
      <w:pPr>
        <w:pStyle w:val="41"/>
        <w:rPr>
          <w:rFonts w:hint="default"/>
          <w:color w:val="auto"/>
          <w:highlight w:val="none"/>
        </w:rPr>
      </w:pPr>
    </w:p>
    <w:p>
      <w:pPr>
        <w:pStyle w:val="30"/>
        <w:spacing w:after="76" w:afterLines="0" w:afterAutospacing="0"/>
        <w:rPr>
          <w:rFonts w:hint="default"/>
          <w:color w:val="auto"/>
          <w:highlight w:val="none"/>
        </w:rPr>
      </w:pPr>
      <w:r>
        <w:rPr>
          <w:rFonts w:hint="eastAsia"/>
          <w:color w:val="auto"/>
          <w:highlight w:val="none"/>
        </w:rPr>
        <w:t>エ　</w:t>
      </w:r>
      <w:r>
        <w:rPr>
          <w:rFonts w:hint="default"/>
          <w:color w:val="auto"/>
          <w:highlight w:val="none"/>
        </w:rPr>
        <w:t>住民意識の啓発などを通じた地域における防災体制の構築</w:t>
      </w:r>
    </w:p>
    <w:p>
      <w:pPr>
        <w:pStyle w:val="44"/>
        <w:rPr>
          <w:rFonts w:hint="default"/>
          <w:color w:val="auto"/>
          <w:highlight w:val="none"/>
        </w:rPr>
      </w:pPr>
      <w:r>
        <w:rPr>
          <w:rFonts w:hint="eastAsia"/>
          <w:color w:val="auto"/>
          <w:highlight w:val="none"/>
        </w:rPr>
        <w:t>出前トークの実施や地域で行う防災訓練等への支援を行うとともに、コロナ禍において、出前トークの内容を周知できるよう、市ホームページで</w:t>
      </w:r>
      <w:r>
        <w:rPr>
          <w:rFonts w:hint="default"/>
          <w:color w:val="auto"/>
          <w:highlight w:val="none"/>
        </w:rPr>
        <w:t>動画の配信を行</w:t>
      </w:r>
      <w:r>
        <w:rPr>
          <w:rFonts w:hint="eastAsia"/>
          <w:color w:val="auto"/>
          <w:highlight w:val="none"/>
        </w:rPr>
        <w:t>いまし</w:t>
      </w:r>
      <w:r>
        <w:rPr>
          <w:rFonts w:hint="default"/>
          <w:color w:val="auto"/>
          <w:highlight w:val="none"/>
        </w:rPr>
        <w:t>た。</w:t>
      </w:r>
    </w:p>
    <w:p>
      <w:pPr>
        <w:pStyle w:val="44"/>
        <w:spacing w:after="185" w:afterLines="50" w:afterAutospacing="0" w:line="360" w:lineRule="exact"/>
        <w:rPr>
          <w:rFonts w:hint="default"/>
          <w:color w:val="auto"/>
          <w:highlight w:val="none"/>
        </w:rPr>
      </w:pPr>
      <w:r>
        <w:rPr>
          <w:rFonts w:hint="eastAsia"/>
          <w:color w:val="auto"/>
          <w:highlight w:val="none"/>
        </w:rPr>
        <w:t>コロナ禍の影響により、出前トークなどの実施回数が大きく減少しましたが、今後は、直接実施のほか、動画配信による学習やリモート開催などについても引き続き取り組む必要があります。</w:t>
      </w:r>
    </w:p>
    <w:tbl>
      <w:tblPr>
        <w:tblStyle w:val="81"/>
        <w:tblW w:w="8357" w:type="dxa"/>
        <w:tblInd w:w="704" w:type="dxa"/>
        <w:tblLayout w:type="fixed"/>
        <w:tblLook w:firstRow="1" w:lastRow="0" w:firstColumn="1" w:lastColumn="0" w:noHBand="0" w:noVBand="1" w:val="04A0"/>
      </w:tblPr>
      <w:tblGrid>
        <w:gridCol w:w="3119"/>
        <w:gridCol w:w="992"/>
        <w:gridCol w:w="1181"/>
        <w:gridCol w:w="1181"/>
        <w:gridCol w:w="1182"/>
        <w:gridCol w:w="702"/>
      </w:tblGrid>
      <w:tr>
        <w:trPr>
          <w:trHeight w:val="510" w:hRule="atLeast"/>
        </w:trPr>
        <w:tc>
          <w:tcPr>
            <w:tcW w:w="4111"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18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3</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(2021</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18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4</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(2022</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18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5</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r>
              <w:rPr>
                <w:rFonts w:hint="default" w:ascii="ＭＳ Ｐゴシック" w:hAnsi="ＭＳ Ｐゴシック" w:eastAsia="ＭＳ Ｐゴシック"/>
                <w:color w:val="auto"/>
                <w:sz w:val="21"/>
                <w:highlight w:val="none"/>
              </w:rPr>
              <w:t>202</w:t>
            </w:r>
            <w:r>
              <w:rPr>
                <w:rFonts w:hint="eastAsia" w:ascii="ＭＳ Ｐゴシック" w:hAnsi="ＭＳ Ｐゴシック" w:eastAsia="ＭＳ Ｐゴシック"/>
                <w:color w:val="auto"/>
                <w:sz w:val="21"/>
                <w:highlight w:val="none"/>
              </w:rPr>
              <w:t>3</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見込み</w:t>
            </w:r>
          </w:p>
        </w:tc>
        <w:tc>
          <w:tcPr>
            <w:tcW w:w="70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8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達成</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状況</w:t>
            </w:r>
          </w:p>
        </w:tc>
      </w:tr>
      <w:tr>
        <w:trPr>
          <w:trHeight w:val="283" w:hRule="atLeast"/>
        </w:trPr>
        <w:tc>
          <w:tcPr>
            <w:tcW w:w="3119" w:type="dxa"/>
            <w:vMerge w:val="restart"/>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出前トークや防災訓練実施回数</w:t>
            </w:r>
          </w:p>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（回）</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計画値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50</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70</w:t>
            </w:r>
          </w:p>
        </w:tc>
        <w:tc>
          <w:tcPr>
            <w:tcW w:w="118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90</w:t>
            </w:r>
          </w:p>
        </w:tc>
        <w:tc>
          <w:tcPr>
            <w:tcW w:w="702"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p>
        </w:tc>
      </w:tr>
      <w:tr>
        <w:trPr>
          <w:trHeight w:val="283" w:hRule="atLeast"/>
        </w:trPr>
        <w:tc>
          <w:tcPr>
            <w:tcW w:w="3119" w:type="dxa"/>
            <w:vMerge w:val="continue"/>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000000" w:themeColor="text1"/>
                <w:sz w:val="21"/>
              </w:rPr>
            </w:pP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実績値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18</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31</w:t>
            </w:r>
          </w:p>
        </w:tc>
        <w:tc>
          <w:tcPr>
            <w:tcW w:w="1182" w:type="dxa"/>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p>
        </w:tc>
        <w:tc>
          <w:tcPr>
            <w:tcW w:w="702" w:type="dxa"/>
            <w:vMerge w:val="continue"/>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000000" w:themeColor="text1"/>
                <w:sz w:val="21"/>
              </w:rPr>
            </w:pPr>
          </w:p>
        </w:tc>
      </w:tr>
    </w:tbl>
    <w:p>
      <w:pPr>
        <w:pStyle w:val="41"/>
        <w:rPr>
          <w:rFonts w:hint="default"/>
          <w:color w:val="auto"/>
          <w:highlight w:val="none"/>
        </w:rPr>
      </w:pPr>
    </w:p>
    <w:p>
      <w:pPr>
        <w:pStyle w:val="30"/>
        <w:spacing w:after="76" w:afterLines="0" w:afterAutospacing="0"/>
        <w:ind w:left="800" w:hanging="360" w:hangingChars="150"/>
        <w:rPr>
          <w:rFonts w:hint="default"/>
          <w:color w:val="auto"/>
          <w:highlight w:val="none"/>
        </w:rPr>
      </w:pPr>
      <w:r>
        <w:rPr>
          <w:rFonts w:hint="eastAsia"/>
          <w:color w:val="auto"/>
          <w:highlight w:val="none"/>
        </w:rPr>
        <w:t>オ　</w:t>
      </w:r>
      <w:r>
        <w:rPr>
          <w:rFonts w:hint="default"/>
          <w:color w:val="auto"/>
          <w:highlight w:val="none"/>
        </w:rPr>
        <w:t>介護事業所における災害時の避難訓練の実施、感染症発生時の事前準備状況の確認</w:t>
      </w:r>
    </w:p>
    <w:p>
      <w:pPr>
        <w:pStyle w:val="44"/>
        <w:rPr>
          <w:rFonts w:hint="default"/>
          <w:color w:val="auto"/>
          <w:highlight w:val="none"/>
        </w:rPr>
      </w:pPr>
      <w:r>
        <w:rPr>
          <w:rFonts w:hint="eastAsia"/>
          <w:color w:val="auto"/>
          <w:highlight w:val="none"/>
        </w:rPr>
        <w:t>非常災害対策計画の策定について、地域密着型サービス事業所</w:t>
      </w:r>
      <w:r>
        <w:rPr>
          <w:rFonts w:hint="default"/>
          <w:color w:val="auto"/>
          <w:highlight w:val="none"/>
        </w:rPr>
        <w:t>44</w:t>
      </w:r>
      <w:r>
        <w:rPr>
          <w:rFonts w:hint="default"/>
          <w:color w:val="auto"/>
          <w:highlight w:val="none"/>
        </w:rPr>
        <w:t>事業所中</w:t>
      </w:r>
      <w:r>
        <w:rPr>
          <w:rFonts w:hint="default"/>
          <w:color w:val="auto"/>
          <w:highlight w:val="none"/>
        </w:rPr>
        <w:t>30</w:t>
      </w:r>
      <w:r>
        <w:rPr>
          <w:rFonts w:hint="default"/>
          <w:color w:val="auto"/>
          <w:highlight w:val="none"/>
        </w:rPr>
        <w:t>事業所</w:t>
      </w:r>
      <w:r>
        <w:rPr>
          <w:rFonts w:hint="eastAsia"/>
          <w:color w:val="auto"/>
          <w:highlight w:val="none"/>
        </w:rPr>
        <w:t>が策定し、未策定の事業所の大部分が避難訓練は実施済みでした。</w:t>
      </w:r>
    </w:p>
    <w:p>
      <w:pPr>
        <w:pStyle w:val="44"/>
        <w:spacing w:after="185" w:afterLines="50" w:afterAutospacing="0" w:line="360" w:lineRule="exact"/>
        <w:rPr>
          <w:rFonts w:hint="default"/>
          <w:color w:val="auto"/>
          <w:highlight w:val="none"/>
        </w:rPr>
      </w:pPr>
      <w:r>
        <w:rPr>
          <w:rFonts w:hint="eastAsia"/>
          <w:color w:val="auto"/>
          <w:highlight w:val="none"/>
        </w:rPr>
        <w:t>各介護保険施設等の状況や地域の実情を踏まえ、実際に災害が起こった際に利用者の安全が確保できるよう、「運営推進会議」等において、地域の関係者と課題や対応策を共有できる体制づくりが必要です。</w:t>
      </w:r>
    </w:p>
    <w:tbl>
      <w:tblPr>
        <w:tblStyle w:val="81"/>
        <w:tblW w:w="8357" w:type="dxa"/>
        <w:tblInd w:w="704" w:type="dxa"/>
        <w:tblLayout w:type="fixed"/>
        <w:tblLook w:firstRow="1" w:lastRow="0" w:firstColumn="1" w:lastColumn="0" w:noHBand="0" w:noVBand="1" w:val="04A0"/>
      </w:tblPr>
      <w:tblGrid>
        <w:gridCol w:w="3119"/>
        <w:gridCol w:w="992"/>
        <w:gridCol w:w="1181"/>
        <w:gridCol w:w="1181"/>
        <w:gridCol w:w="1182"/>
        <w:gridCol w:w="702"/>
      </w:tblGrid>
      <w:tr>
        <w:trPr>
          <w:trHeight w:val="510" w:hRule="atLeast"/>
        </w:trPr>
        <w:tc>
          <w:tcPr>
            <w:tcW w:w="4111"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18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3</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(2021</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18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4</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(2022</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18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5</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r>
              <w:rPr>
                <w:rFonts w:hint="default" w:ascii="ＭＳ Ｐゴシック" w:hAnsi="ＭＳ Ｐゴシック" w:eastAsia="ＭＳ Ｐゴシック"/>
                <w:color w:val="auto"/>
                <w:sz w:val="21"/>
                <w:highlight w:val="none"/>
              </w:rPr>
              <w:t>202</w:t>
            </w:r>
            <w:r>
              <w:rPr>
                <w:rFonts w:hint="eastAsia" w:ascii="ＭＳ Ｐゴシック" w:hAnsi="ＭＳ Ｐゴシック" w:eastAsia="ＭＳ Ｐゴシック"/>
                <w:color w:val="auto"/>
                <w:sz w:val="21"/>
                <w:highlight w:val="none"/>
              </w:rPr>
              <w:t>3</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見込み</w:t>
            </w:r>
          </w:p>
        </w:tc>
        <w:tc>
          <w:tcPr>
            <w:tcW w:w="70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8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達成</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状況</w:t>
            </w:r>
          </w:p>
        </w:tc>
      </w:tr>
      <w:tr>
        <w:trPr>
          <w:trHeight w:val="283" w:hRule="atLeast"/>
        </w:trPr>
        <w:tc>
          <w:tcPr>
            <w:tcW w:w="3119" w:type="dxa"/>
            <w:vMerge w:val="restart"/>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事業所の非常災害対策計画</w:t>
            </w:r>
          </w:p>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策定率（％）</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計画値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60.0</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65.0</w:t>
            </w:r>
          </w:p>
        </w:tc>
        <w:tc>
          <w:tcPr>
            <w:tcW w:w="118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70.0</w:t>
            </w:r>
          </w:p>
        </w:tc>
        <w:tc>
          <w:tcPr>
            <w:tcW w:w="702"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p>
        </w:tc>
      </w:tr>
      <w:tr>
        <w:trPr>
          <w:trHeight w:val="283" w:hRule="atLeast"/>
        </w:trPr>
        <w:tc>
          <w:tcPr>
            <w:tcW w:w="3119" w:type="dxa"/>
            <w:vMerge w:val="continue"/>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000000" w:themeColor="text1"/>
                <w:sz w:val="21"/>
              </w:rPr>
            </w:pP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実績値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61.9</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68.2</w:t>
            </w:r>
          </w:p>
        </w:tc>
        <w:tc>
          <w:tcPr>
            <w:tcW w:w="1182" w:type="dxa"/>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75.6</w:t>
            </w:r>
          </w:p>
        </w:tc>
        <w:tc>
          <w:tcPr>
            <w:tcW w:w="702" w:type="dxa"/>
            <w:vMerge w:val="continue"/>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000000" w:themeColor="text1"/>
                <w:sz w:val="21"/>
              </w:rPr>
            </w:pPr>
          </w:p>
        </w:tc>
      </w:tr>
    </w:tbl>
    <w:p>
      <w:pPr>
        <w:pStyle w:val="41"/>
        <w:rPr>
          <w:rFonts w:hint="default"/>
          <w:color w:val="auto"/>
          <w:highlight w:val="none"/>
        </w:rPr>
      </w:pPr>
    </w:p>
    <w:p>
      <w:pPr>
        <w:pStyle w:val="0"/>
        <w:widowControl w:val="1"/>
        <w:jc w:val="left"/>
        <w:rPr>
          <w:rFonts w:hint="default"/>
          <w:color w:val="auto"/>
          <w:highlight w:val="none"/>
        </w:rPr>
      </w:pPr>
      <w:r>
        <w:rPr>
          <w:rFonts w:hint="default"/>
          <w:color w:val="auto"/>
          <w:highlight w:val="none"/>
        </w:rPr>
        <w:br w:type="page"/>
      </w:r>
    </w:p>
    <w:p>
      <w:pPr>
        <w:pStyle w:val="30"/>
        <w:spacing w:after="76" w:afterLines="0" w:afterAutospacing="0"/>
        <w:rPr>
          <w:rFonts w:hint="default"/>
          <w:color w:val="auto"/>
          <w:highlight w:val="none"/>
        </w:rPr>
      </w:pPr>
      <w:r>
        <w:rPr>
          <w:rFonts w:hint="eastAsia"/>
          <w:color w:val="auto"/>
          <w:highlight w:val="none"/>
        </w:rPr>
        <w:t>カ　医療と介護の連携強化</w:t>
      </w:r>
    </w:p>
    <w:p>
      <w:pPr>
        <w:pStyle w:val="44"/>
        <w:rPr>
          <w:rFonts w:hint="default"/>
          <w:color w:val="auto"/>
          <w:highlight w:val="none"/>
        </w:rPr>
      </w:pPr>
      <w:r>
        <w:rPr>
          <w:rFonts w:hint="eastAsia"/>
          <w:color w:val="auto"/>
          <w:highlight w:val="none"/>
        </w:rPr>
        <w:t>在宅医療・介護連携推進事業を廿日市市五師士会（以下、「五士師会」という。）に委託し、廿日市市多世代サポートセンター内に在宅医療・介護連携相談支援室を設置しました。地域医療連携室や訪問看護事業所等へヒアリングを行い、現状把握や課題整理を行いました。</w:t>
      </w:r>
    </w:p>
    <w:p>
      <w:pPr>
        <w:pStyle w:val="44"/>
        <w:rPr>
          <w:rFonts w:hint="default"/>
          <w:color w:val="auto"/>
          <w:highlight w:val="none"/>
        </w:rPr>
      </w:pPr>
      <w:r>
        <w:rPr>
          <w:rFonts w:hint="eastAsia"/>
          <w:color w:val="auto"/>
          <w:highlight w:val="none"/>
        </w:rPr>
        <w:t>地域包括支援センターと連携し、医療と介護の連携に関する研修等を行いました。</w:t>
      </w:r>
    </w:p>
    <w:p>
      <w:pPr>
        <w:pStyle w:val="41"/>
        <w:rPr>
          <w:rFonts w:hint="default"/>
          <w:color w:val="auto"/>
          <w:highlight w:val="none"/>
        </w:rPr>
      </w:pPr>
    </w:p>
    <w:p>
      <w:pPr>
        <w:pStyle w:val="30"/>
        <w:spacing w:after="76" w:afterLines="0" w:afterAutospacing="0"/>
        <w:rPr>
          <w:rFonts w:hint="default"/>
          <w:color w:val="auto"/>
          <w:highlight w:val="none"/>
        </w:rPr>
      </w:pPr>
      <w:r>
        <w:rPr>
          <w:rFonts w:hint="eastAsia"/>
          <w:color w:val="auto"/>
          <w:highlight w:val="none"/>
        </w:rPr>
        <w:t>キ　地域包括支援センターの強化</w:t>
      </w:r>
    </w:p>
    <w:p>
      <w:pPr>
        <w:pStyle w:val="44"/>
        <w:rPr>
          <w:rFonts w:hint="default"/>
          <w:color w:val="auto"/>
          <w:highlight w:val="none"/>
        </w:rPr>
      </w:pPr>
      <w:r>
        <w:rPr>
          <w:rFonts w:hint="eastAsia"/>
          <w:color w:val="auto"/>
          <w:highlight w:val="none"/>
        </w:rPr>
        <w:t>地域包括支援センターはつかいちを、日常生活圏域ごとの３か所に拡充しました。</w:t>
      </w:r>
    </w:p>
    <w:p>
      <w:pPr>
        <w:pStyle w:val="44"/>
        <w:rPr>
          <w:rFonts w:hint="default"/>
          <w:color w:val="auto"/>
          <w:highlight w:val="none"/>
        </w:rPr>
      </w:pPr>
      <w:r>
        <w:rPr>
          <w:rFonts w:hint="eastAsia"/>
          <w:color w:val="auto"/>
          <w:highlight w:val="none"/>
        </w:rPr>
        <w:t>市民にとってより身近な場に相談場所があることで、様々な相談が入るようになるとともに、地域の民生委員やコミュニティとのつながりも強化されました。</w:t>
      </w:r>
    </w:p>
    <w:p>
      <w:pPr>
        <w:pStyle w:val="44"/>
        <w:rPr>
          <w:rFonts w:hint="default"/>
          <w:color w:val="auto"/>
          <w:highlight w:val="none"/>
        </w:rPr>
      </w:pPr>
      <w:r>
        <w:rPr>
          <w:rFonts w:hint="eastAsia"/>
          <w:color w:val="auto"/>
          <w:highlight w:val="none"/>
        </w:rPr>
        <w:t>今後も、地域の実情に合わせた介護予防や地域課題の解決に、関係機関と連携し、取り組むことが必要です。</w:t>
      </w:r>
    </w:p>
    <w:p>
      <w:pPr>
        <w:pStyle w:val="41"/>
        <w:rPr>
          <w:rFonts w:hint="default"/>
          <w:color w:val="auto"/>
          <w:highlight w:val="none"/>
        </w:rPr>
      </w:pPr>
    </w:p>
    <w:p>
      <w:pPr>
        <w:pStyle w:val="30"/>
        <w:spacing w:after="76" w:afterLines="0" w:afterAutospacing="0"/>
        <w:rPr>
          <w:rFonts w:hint="default"/>
          <w:color w:val="auto"/>
          <w:highlight w:val="none"/>
        </w:rPr>
      </w:pPr>
      <w:r>
        <w:rPr>
          <w:rFonts w:hint="eastAsia"/>
          <w:color w:val="auto"/>
          <w:highlight w:val="none"/>
        </w:rPr>
        <w:t>ク　高齢者の権利擁護・虐待防止の推進</w:t>
      </w:r>
    </w:p>
    <w:p>
      <w:pPr>
        <w:pStyle w:val="44"/>
        <w:rPr>
          <w:rFonts w:hint="default"/>
          <w:color w:val="auto"/>
          <w:highlight w:val="none"/>
        </w:rPr>
      </w:pPr>
      <w:r>
        <w:rPr>
          <w:rFonts w:hint="eastAsia"/>
          <w:color w:val="auto"/>
          <w:highlight w:val="none"/>
        </w:rPr>
        <w:t>市の広報紙においてセルフネグレクト等の虐待に関する記事を掲載し、早期発見のための周知を図りました。</w:t>
      </w:r>
    </w:p>
    <w:p>
      <w:pPr>
        <w:pStyle w:val="44"/>
        <w:rPr>
          <w:rFonts w:hint="default"/>
          <w:color w:val="auto"/>
          <w:highlight w:val="none"/>
        </w:rPr>
      </w:pPr>
      <w:r>
        <w:rPr>
          <w:rFonts w:hint="eastAsia"/>
          <w:color w:val="auto"/>
          <w:highlight w:val="none"/>
        </w:rPr>
        <w:t>介護支援専門員を対象とした高齢者虐待防止研修や、廿日市市成年後見利用促進センターと共催した市民や市職員対象の成年後見制度の研修を実施しました。</w:t>
      </w:r>
    </w:p>
    <w:p>
      <w:pPr>
        <w:pStyle w:val="41"/>
        <w:rPr>
          <w:rFonts w:hint="default"/>
          <w:color w:val="auto"/>
          <w:highlight w:val="none"/>
        </w:rPr>
      </w:pPr>
    </w:p>
    <w:p>
      <w:pPr>
        <w:pStyle w:val="30"/>
        <w:spacing w:after="76" w:afterLines="0" w:afterAutospacing="0"/>
        <w:rPr>
          <w:rFonts w:hint="default"/>
          <w:color w:val="auto"/>
          <w:highlight w:val="none"/>
        </w:rPr>
      </w:pPr>
      <w:r>
        <w:rPr>
          <w:rFonts w:hint="eastAsia"/>
          <w:color w:val="auto"/>
          <w:highlight w:val="none"/>
        </w:rPr>
        <w:t>ケ　災害や感染症対策に係る体制整備</w:t>
      </w:r>
    </w:p>
    <w:p>
      <w:pPr>
        <w:pStyle w:val="44"/>
        <w:rPr>
          <w:rFonts w:hint="default"/>
          <w:color w:val="auto"/>
          <w:highlight w:val="none"/>
        </w:rPr>
      </w:pPr>
      <w:r>
        <w:rPr>
          <w:rFonts w:hint="eastAsia"/>
          <w:color w:val="auto"/>
          <w:highlight w:val="none"/>
        </w:rPr>
        <w:t>広島県西部保健所と共同で新型コロナウイルス感染症陽性者への訪問介護サービス提供状況を把握するための調査を実施しました。</w:t>
      </w:r>
    </w:p>
    <w:p>
      <w:pPr>
        <w:pStyle w:val="44"/>
        <w:rPr>
          <w:rFonts w:hint="default"/>
          <w:color w:val="auto"/>
          <w:highlight w:val="none"/>
        </w:rPr>
      </w:pPr>
      <w:r>
        <w:rPr>
          <w:rFonts w:hint="eastAsia"/>
          <w:color w:val="auto"/>
          <w:highlight w:val="none"/>
        </w:rPr>
        <w:t>訪問サービス系の事業所等を対象に、在宅療養者の支援や個人防護服の着脱手技についての研修を行い、支援体制の強化を図りました。</w:t>
      </w:r>
    </w:p>
    <w:p>
      <w:pPr>
        <w:pStyle w:val="44"/>
        <w:rPr>
          <w:rFonts w:hint="default"/>
          <w:color w:val="auto"/>
          <w:highlight w:val="none"/>
        </w:rPr>
      </w:pPr>
      <w:r>
        <w:rPr>
          <w:rFonts w:hint="eastAsia"/>
          <w:color w:val="auto"/>
          <w:highlight w:val="none"/>
        </w:rPr>
        <w:t>災害時避難要援護者支援では、レッドゾーンに住居がある要介護３以上の人を対象に、高齢者本人とその家族及び地域の自治防災組織や介護支援専門員等と避難計画の作成に取りかかりました。</w:t>
      </w:r>
    </w:p>
    <w:p>
      <w:pPr>
        <w:pStyle w:val="41"/>
        <w:rPr>
          <w:rFonts w:hint="default"/>
          <w:color w:val="auto"/>
          <w:highlight w:val="none"/>
        </w:rPr>
      </w:pPr>
    </w:p>
    <w:p>
      <w:pPr>
        <w:pStyle w:val="0"/>
        <w:widowControl w:val="1"/>
        <w:jc w:val="left"/>
        <w:rPr>
          <w:rFonts w:hint="default"/>
          <w:color w:val="auto"/>
          <w:highlight w:val="none"/>
        </w:rPr>
      </w:pPr>
      <w:r>
        <w:rPr>
          <w:rFonts w:hint="default"/>
          <w:color w:val="auto"/>
          <w:highlight w:val="none"/>
        </w:rPr>
        <w:br w:type="page"/>
      </w:r>
    </w:p>
    <w:p>
      <w:pPr>
        <w:pStyle w:val="26"/>
        <w:spacing w:after="76" w:afterLines="0" w:afterAutospacing="0"/>
        <w:rPr>
          <w:rFonts w:hint="default"/>
          <w:color w:val="auto"/>
          <w:highlight w:val="none"/>
        </w:rPr>
      </w:pPr>
      <w:bookmarkStart w:id="77" w:name="_Toc152160646"/>
      <w:r>
        <w:rPr>
          <w:rFonts w:hint="default"/>
          <w:color w:val="auto"/>
          <w:highlight w:val="none"/>
        </w:rPr>
        <w:t>（</w:t>
      </w:r>
      <w:r>
        <w:rPr>
          <w:rFonts w:hint="eastAsia"/>
          <w:color w:val="auto"/>
          <w:highlight w:val="none"/>
        </w:rPr>
        <w:t>４</w:t>
      </w:r>
      <w:r>
        <w:rPr>
          <w:rFonts w:hint="default"/>
          <w:color w:val="auto"/>
          <w:highlight w:val="none"/>
        </w:rPr>
        <w:t>）</w:t>
      </w:r>
      <w:r>
        <w:rPr>
          <w:rFonts w:hint="eastAsia"/>
          <w:color w:val="auto"/>
          <w:highlight w:val="none"/>
        </w:rPr>
        <w:t>介護保険サービスの安定的な提供について</w:t>
      </w:r>
      <w:bookmarkEnd w:id="77"/>
    </w:p>
    <w:p>
      <w:pPr>
        <w:pStyle w:val="30"/>
        <w:spacing w:after="76" w:afterLines="0" w:afterAutospacing="0"/>
        <w:rPr>
          <w:rFonts w:hint="default"/>
          <w:color w:val="auto"/>
          <w:highlight w:val="none"/>
        </w:rPr>
      </w:pPr>
      <w:r>
        <w:rPr>
          <w:rFonts w:hint="eastAsia"/>
          <w:color w:val="auto"/>
          <w:highlight w:val="none"/>
        </w:rPr>
        <w:t>ア　成果指標の達成状況</w:t>
      </w:r>
    </w:p>
    <w:tbl>
      <w:tblPr>
        <w:tblStyle w:val="81"/>
        <w:tblW w:w="8646" w:type="dxa"/>
        <w:tblInd w:w="421" w:type="dxa"/>
        <w:tblLayout w:type="fixed"/>
        <w:tblLook w:firstRow="1" w:lastRow="0" w:firstColumn="1" w:lastColumn="0" w:noHBand="0" w:noVBand="1" w:val="04A0"/>
      </w:tblPr>
      <w:tblGrid>
        <w:gridCol w:w="4252"/>
        <w:gridCol w:w="1228"/>
        <w:gridCol w:w="1229"/>
        <w:gridCol w:w="1229"/>
        <w:gridCol w:w="708"/>
      </w:tblGrid>
      <w:tr>
        <w:trPr>
          <w:trHeight w:val="510" w:hRule="atLeast"/>
        </w:trPr>
        <w:tc>
          <w:tcPr>
            <w:tcW w:w="425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8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228" w:type="dxa"/>
            <w:shd w:val="clear" w:color="auto" w:fill="CCECFF"/>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2</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8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直近実績値</w:t>
            </w:r>
          </w:p>
        </w:tc>
        <w:tc>
          <w:tcPr>
            <w:tcW w:w="1229" w:type="dxa"/>
            <w:shd w:val="clear" w:color="auto" w:fill="CCECFF"/>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計画</w:t>
            </w:r>
          </w:p>
        </w:tc>
        <w:tc>
          <w:tcPr>
            <w:tcW w:w="1229" w:type="dxa"/>
            <w:shd w:val="clear" w:color="auto" w:fill="CCECFF"/>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5</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実績値</w:t>
            </w:r>
          </w:p>
        </w:tc>
        <w:tc>
          <w:tcPr>
            <w:tcW w:w="70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8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達成</w:t>
            </w:r>
          </w:p>
          <w:p>
            <w:pPr>
              <w:pStyle w:val="0"/>
              <w:widowControl w:val="1"/>
              <w:autoSpaceDE w:val="0"/>
              <w:autoSpaceDN w:val="0"/>
              <w:spacing w:line="28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状況</w:t>
            </w:r>
          </w:p>
        </w:tc>
      </w:tr>
      <w:tr>
        <w:trPr>
          <w:trHeight w:val="283" w:hRule="atLeast"/>
        </w:trPr>
        <w:tc>
          <w:tcPr>
            <w:tcW w:w="4252"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autoSpaceDE w:val="0"/>
              <w:autoSpaceDN w:val="0"/>
              <w:spacing w:line="280" w:lineRule="exact"/>
              <w:jc w:val="lef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介護保険サービスの満足度</w:t>
            </w:r>
          </w:p>
          <w:p>
            <w:pPr>
              <w:pStyle w:val="0"/>
              <w:autoSpaceDE w:val="0"/>
              <w:autoSpaceDN w:val="0"/>
              <w:spacing w:line="28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（ニーズ調査において、介護保険サービスについて「満足している」「どちらかというと満足している」と回答した者（要支援</w:t>
            </w:r>
            <w:r>
              <w:rPr>
                <w:rFonts w:hint="default" w:ascii="ＭＳ Ｐゴシック" w:hAnsi="ＭＳ Ｐゴシック" w:eastAsia="ＭＳ Ｐゴシック"/>
                <w:color w:val="auto"/>
                <w:sz w:val="21"/>
                <w:highlight w:val="none"/>
              </w:rPr>
              <w:t>1</w:t>
            </w:r>
            <w:r>
              <w:rPr>
                <w:rFonts w:hint="default" w:ascii="ＭＳ Ｐゴシック" w:hAnsi="ＭＳ Ｐゴシック" w:eastAsia="ＭＳ Ｐゴシック"/>
                <w:color w:val="auto"/>
                <w:sz w:val="21"/>
                <w:highlight w:val="none"/>
              </w:rPr>
              <w:t>・</w:t>
            </w:r>
            <w:r>
              <w:rPr>
                <w:rFonts w:hint="default" w:ascii="ＭＳ Ｐゴシック" w:hAnsi="ＭＳ Ｐゴシック" w:eastAsia="ＭＳ Ｐゴシック"/>
                <w:color w:val="auto"/>
                <w:sz w:val="21"/>
                <w:highlight w:val="none"/>
              </w:rPr>
              <w:t>2</w:t>
            </w:r>
            <w:r>
              <w:rPr>
                <w:rFonts w:hint="default" w:ascii="ＭＳ Ｐゴシック" w:hAnsi="ＭＳ Ｐゴシック" w:eastAsia="ＭＳ Ｐゴシック"/>
                <w:color w:val="auto"/>
                <w:sz w:val="21"/>
                <w:highlight w:val="none"/>
              </w:rPr>
              <w:t>高齢者）の割合）</w:t>
            </w:r>
          </w:p>
        </w:tc>
        <w:tc>
          <w:tcPr>
            <w:tcW w:w="1228" w:type="dxa"/>
            <w:shd w:val="clear" w:color="auto" w:fill="auto"/>
            <w:vAlign w:val="center"/>
          </w:tcPr>
          <w:p>
            <w:pPr>
              <w:pStyle w:val="0"/>
              <w:autoSpaceDE w:val="0"/>
              <w:autoSpaceDN w:val="0"/>
              <w:spacing w:line="28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71.1</w:t>
            </w:r>
            <w:r>
              <w:rPr>
                <w:rFonts w:hint="eastAsia" w:ascii="ＭＳ Ｐゴシック" w:hAnsi="ＭＳ Ｐゴシック" w:eastAsia="ＭＳ Ｐゴシック"/>
                <w:color w:val="auto"/>
                <w:sz w:val="21"/>
                <w:highlight w:val="none"/>
              </w:rPr>
              <w:t>％</w:t>
            </w:r>
          </w:p>
        </w:tc>
        <w:tc>
          <w:tcPr>
            <w:tcW w:w="1229" w:type="dxa"/>
            <w:shd w:val="clear" w:color="auto" w:fill="auto"/>
            <w:vAlign w:val="center"/>
          </w:tcPr>
          <w:p>
            <w:pPr>
              <w:pStyle w:val="0"/>
              <w:autoSpaceDE w:val="0"/>
              <w:autoSpaceDN w:val="0"/>
              <w:spacing w:line="28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増加</w:t>
            </w:r>
          </w:p>
        </w:tc>
        <w:tc>
          <w:tcPr>
            <w:tcW w:w="1229" w:type="dxa"/>
            <w:shd w:val="clear" w:color="auto" w:fill="auto"/>
            <w:vAlign w:val="center"/>
          </w:tcPr>
          <w:p>
            <w:pPr>
              <w:pStyle w:val="0"/>
              <w:autoSpaceDE w:val="0"/>
              <w:autoSpaceDN w:val="0"/>
              <w:spacing w:line="28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63.1</w:t>
            </w:r>
            <w:r>
              <w:rPr>
                <w:rFonts w:hint="eastAsia" w:ascii="ＭＳ Ｐゴシック" w:hAnsi="ＭＳ Ｐゴシック" w:eastAsia="ＭＳ Ｐゴシック"/>
                <w:color w:val="auto"/>
                <w:sz w:val="21"/>
                <w:highlight w:val="none"/>
              </w:rPr>
              <w:t>％</w:t>
            </w:r>
          </w:p>
        </w:tc>
        <w:tc>
          <w:tcPr>
            <w:tcW w:w="708"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8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p>
        </w:tc>
      </w:tr>
    </w:tbl>
    <w:p>
      <w:pPr>
        <w:pStyle w:val="41"/>
        <w:rPr>
          <w:rFonts w:hint="default"/>
          <w:color w:val="auto"/>
          <w:highlight w:val="none"/>
        </w:rPr>
      </w:pPr>
    </w:p>
    <w:p>
      <w:pPr>
        <w:pStyle w:val="30"/>
        <w:spacing w:after="76" w:afterLines="0" w:afterAutospacing="0"/>
        <w:rPr>
          <w:rFonts w:hint="default"/>
          <w:color w:val="auto"/>
          <w:highlight w:val="none"/>
        </w:rPr>
      </w:pPr>
      <w:r>
        <w:rPr>
          <w:rFonts w:hint="eastAsia"/>
          <w:color w:val="auto"/>
          <w:highlight w:val="none"/>
        </w:rPr>
        <w:t>ア　介護給付適正化主要５事業の推進</w:t>
      </w:r>
    </w:p>
    <w:p>
      <w:pPr>
        <w:pStyle w:val="44"/>
        <w:rPr>
          <w:rFonts w:hint="default"/>
          <w:color w:val="auto"/>
          <w:highlight w:val="none"/>
        </w:rPr>
      </w:pPr>
      <w:r>
        <w:rPr>
          <w:rFonts w:hint="eastAsia"/>
          <w:color w:val="auto"/>
          <w:highlight w:val="none"/>
        </w:rPr>
        <w:t>要介護認定の調査票の内容点検・確認を実施するとともに、認定調査員・審査会委員を対象とした研修内容の検討を行いました。</w:t>
      </w:r>
    </w:p>
    <w:p>
      <w:pPr>
        <w:pStyle w:val="44"/>
        <w:rPr>
          <w:rFonts w:hint="default"/>
          <w:color w:val="auto"/>
          <w:highlight w:val="none"/>
        </w:rPr>
      </w:pPr>
      <w:r>
        <w:rPr>
          <w:rFonts w:hint="eastAsia"/>
          <w:color w:val="auto"/>
          <w:highlight w:val="none"/>
        </w:rPr>
        <w:t>令和３（</w:t>
      </w:r>
      <w:r>
        <w:rPr>
          <w:rFonts w:hint="eastAsia"/>
          <w:color w:val="auto"/>
          <w:highlight w:val="none"/>
        </w:rPr>
        <w:t>2021</w:t>
      </w:r>
      <w:r>
        <w:rPr>
          <w:rFonts w:hint="eastAsia"/>
          <w:color w:val="auto"/>
          <w:highlight w:val="none"/>
        </w:rPr>
        <w:t>）年度はコロナ禍のため４事業所</w:t>
      </w:r>
      <w:r>
        <w:rPr>
          <w:rFonts w:hint="default"/>
          <w:color w:val="auto"/>
          <w:highlight w:val="none"/>
        </w:rPr>
        <w:t>15</w:t>
      </w:r>
      <w:r>
        <w:rPr>
          <w:rFonts w:hint="default"/>
          <w:color w:val="auto"/>
          <w:highlight w:val="none"/>
        </w:rPr>
        <w:t>プランの実施とな</w:t>
      </w:r>
      <w:r>
        <w:rPr>
          <w:rFonts w:hint="eastAsia"/>
          <w:color w:val="auto"/>
          <w:highlight w:val="none"/>
        </w:rPr>
        <w:t>りまし</w:t>
      </w:r>
      <w:r>
        <w:rPr>
          <w:rFonts w:hint="default"/>
          <w:color w:val="auto"/>
          <w:highlight w:val="none"/>
        </w:rPr>
        <w:t>たが、令和４</w:t>
      </w:r>
      <w:r>
        <w:rPr>
          <w:rFonts w:hint="eastAsia"/>
          <w:color w:val="auto"/>
          <w:highlight w:val="none"/>
        </w:rPr>
        <w:t>（</w:t>
      </w:r>
      <w:r>
        <w:rPr>
          <w:rFonts w:hint="eastAsia"/>
          <w:color w:val="auto"/>
          <w:highlight w:val="none"/>
        </w:rPr>
        <w:t>2022</w:t>
      </w:r>
      <w:r>
        <w:rPr>
          <w:rFonts w:hint="eastAsia"/>
          <w:color w:val="auto"/>
          <w:highlight w:val="none"/>
        </w:rPr>
        <w:t>）</w:t>
      </w:r>
      <w:r>
        <w:rPr>
          <w:rFonts w:hint="default"/>
          <w:color w:val="auto"/>
          <w:highlight w:val="none"/>
        </w:rPr>
        <w:t>年度はオンラインでの聞き取り実施により</w:t>
      </w:r>
      <w:r>
        <w:rPr>
          <w:rFonts w:hint="default"/>
          <w:color w:val="auto"/>
          <w:highlight w:val="none"/>
        </w:rPr>
        <w:t>13</w:t>
      </w:r>
      <w:r>
        <w:rPr>
          <w:rFonts w:hint="default"/>
          <w:color w:val="auto"/>
          <w:highlight w:val="none"/>
        </w:rPr>
        <w:t>事業所</w:t>
      </w:r>
      <w:r>
        <w:rPr>
          <w:rFonts w:hint="default"/>
          <w:color w:val="auto"/>
          <w:highlight w:val="none"/>
        </w:rPr>
        <w:t>53</w:t>
      </w:r>
      <w:r>
        <w:rPr>
          <w:rFonts w:hint="default"/>
          <w:color w:val="auto"/>
          <w:highlight w:val="none"/>
        </w:rPr>
        <w:t>プランの点検を実施し</w:t>
      </w:r>
      <w:r>
        <w:rPr>
          <w:rFonts w:hint="eastAsia"/>
          <w:color w:val="auto"/>
          <w:highlight w:val="none"/>
        </w:rPr>
        <w:t>まし</w:t>
      </w:r>
      <w:r>
        <w:rPr>
          <w:rFonts w:hint="default"/>
          <w:color w:val="auto"/>
          <w:highlight w:val="none"/>
        </w:rPr>
        <w:t>た。</w:t>
      </w:r>
    </w:p>
    <w:p>
      <w:pPr>
        <w:pStyle w:val="44"/>
        <w:rPr>
          <w:rFonts w:hint="default"/>
          <w:color w:val="auto"/>
          <w:highlight w:val="none"/>
        </w:rPr>
      </w:pPr>
      <w:r>
        <w:rPr>
          <w:rFonts w:hint="eastAsia"/>
          <w:color w:val="auto"/>
          <w:highlight w:val="none"/>
        </w:rPr>
        <w:t>資質の向上を図るため、電話等による改修内容の確認を行うとともに、事業所等に配布用の手引き書の見直し、現地調査等を実施しました。</w:t>
      </w:r>
    </w:p>
    <w:p>
      <w:pPr>
        <w:pStyle w:val="44"/>
        <w:rPr>
          <w:rFonts w:hint="default"/>
          <w:color w:val="auto"/>
          <w:highlight w:val="none"/>
        </w:rPr>
      </w:pPr>
      <w:r>
        <w:rPr>
          <w:rFonts w:hint="eastAsia"/>
          <w:color w:val="auto"/>
          <w:highlight w:val="none"/>
        </w:rPr>
        <w:t>介護報酬請求の適正化のため、算定日数などの点検を国保連に委託して実施しました。</w:t>
      </w:r>
    </w:p>
    <w:p>
      <w:pPr>
        <w:pStyle w:val="44"/>
        <w:spacing w:after="185" w:afterLines="50" w:afterAutospacing="0"/>
        <w:rPr>
          <w:rFonts w:hint="default"/>
          <w:color w:val="auto"/>
          <w:highlight w:val="none"/>
        </w:rPr>
      </w:pPr>
      <w:r>
        <w:rPr>
          <w:rFonts w:hint="eastAsia"/>
          <w:color w:val="auto"/>
          <w:highlight w:val="none"/>
        </w:rPr>
        <w:t>介護サービスに係る費用などを記載した通知を送付し、不正請求等の発見を促しました。</w:t>
      </w:r>
    </w:p>
    <w:tbl>
      <w:tblPr>
        <w:tblStyle w:val="81"/>
        <w:tblW w:w="8357" w:type="dxa"/>
        <w:tblInd w:w="704" w:type="dxa"/>
        <w:tblLayout w:type="fixed"/>
        <w:tblLook w:firstRow="1" w:lastRow="0" w:firstColumn="1" w:lastColumn="0" w:noHBand="0" w:noVBand="1" w:val="04A0"/>
      </w:tblPr>
      <w:tblGrid>
        <w:gridCol w:w="3119"/>
        <w:gridCol w:w="992"/>
        <w:gridCol w:w="1181"/>
        <w:gridCol w:w="1181"/>
        <w:gridCol w:w="1182"/>
        <w:gridCol w:w="702"/>
      </w:tblGrid>
      <w:tr>
        <w:trPr>
          <w:trHeight w:val="510" w:hRule="atLeast"/>
        </w:trPr>
        <w:tc>
          <w:tcPr>
            <w:tcW w:w="4111"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18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3</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(2021</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18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4</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(2022</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18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5</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r>
              <w:rPr>
                <w:rFonts w:hint="default" w:ascii="ＭＳ Ｐゴシック" w:hAnsi="ＭＳ Ｐゴシック" w:eastAsia="ＭＳ Ｐゴシック"/>
                <w:color w:val="auto"/>
                <w:sz w:val="21"/>
                <w:highlight w:val="none"/>
              </w:rPr>
              <w:t>202</w:t>
            </w:r>
            <w:r>
              <w:rPr>
                <w:rFonts w:hint="eastAsia" w:ascii="ＭＳ Ｐゴシック" w:hAnsi="ＭＳ Ｐゴシック" w:eastAsia="ＭＳ Ｐゴシック"/>
                <w:color w:val="auto"/>
                <w:sz w:val="21"/>
                <w:highlight w:val="none"/>
              </w:rPr>
              <w:t>3</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見込み</w:t>
            </w:r>
          </w:p>
        </w:tc>
        <w:tc>
          <w:tcPr>
            <w:tcW w:w="70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8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達成</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状況</w:t>
            </w:r>
          </w:p>
        </w:tc>
      </w:tr>
      <w:tr>
        <w:trPr>
          <w:trHeight w:val="283" w:hRule="atLeast"/>
        </w:trPr>
        <w:tc>
          <w:tcPr>
            <w:tcW w:w="3119" w:type="dxa"/>
            <w:vMerge w:val="restart"/>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要介護認定の適正化</w:t>
            </w:r>
          </w:p>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認定調査表の点検件数（件）</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計画値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全件</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全件</w:t>
            </w:r>
          </w:p>
        </w:tc>
        <w:tc>
          <w:tcPr>
            <w:tcW w:w="118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全件</w:t>
            </w:r>
          </w:p>
        </w:tc>
        <w:tc>
          <w:tcPr>
            <w:tcW w:w="702"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p>
        </w:tc>
      </w:tr>
      <w:tr>
        <w:trPr>
          <w:trHeight w:val="283" w:hRule="atLeast"/>
        </w:trPr>
        <w:tc>
          <w:tcPr>
            <w:tcW w:w="3119" w:type="dxa"/>
            <w:vMerge w:val="continue"/>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000000" w:themeColor="text1"/>
                <w:sz w:val="21"/>
              </w:rPr>
            </w:pP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実績値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全件</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全件</w:t>
            </w:r>
          </w:p>
        </w:tc>
        <w:tc>
          <w:tcPr>
            <w:tcW w:w="1182" w:type="dxa"/>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全件</w:t>
            </w:r>
          </w:p>
        </w:tc>
        <w:tc>
          <w:tcPr>
            <w:tcW w:w="702" w:type="dxa"/>
            <w:vMerge w:val="continue"/>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000000" w:themeColor="text1"/>
                <w:sz w:val="21"/>
              </w:rPr>
            </w:pPr>
          </w:p>
        </w:tc>
      </w:tr>
      <w:tr>
        <w:trPr>
          <w:trHeight w:val="283" w:hRule="atLeast"/>
        </w:trPr>
        <w:tc>
          <w:tcPr>
            <w:tcW w:w="3119" w:type="dxa"/>
            <w:vMerge w:val="restart"/>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ケアプラン点検</w:t>
            </w:r>
          </w:p>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実施件数（件）</w:t>
            </w:r>
          </w:p>
        </w:tc>
        <w:tc>
          <w:tcPr>
            <w:tcW w:w="992" w:type="dxa"/>
            <w:vAlign w:val="top"/>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計画値</w:t>
            </w:r>
          </w:p>
        </w:tc>
        <w:tc>
          <w:tcPr>
            <w:tcW w:w="1181" w:type="dxa"/>
            <w:vAlign w:val="top"/>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36</w:t>
            </w:r>
          </w:p>
        </w:tc>
        <w:tc>
          <w:tcPr>
            <w:tcW w:w="1181" w:type="dxa"/>
            <w:vAlign w:val="top"/>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48</w:t>
            </w:r>
          </w:p>
        </w:tc>
        <w:tc>
          <w:tcPr>
            <w:tcW w:w="1182" w:type="dxa"/>
            <w:vAlign w:val="top"/>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60</w:t>
            </w:r>
          </w:p>
        </w:tc>
        <w:tc>
          <w:tcPr>
            <w:tcW w:w="702" w:type="dxa"/>
            <w:vMerge w:val="restart"/>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p>
        </w:tc>
      </w:tr>
      <w:tr>
        <w:trPr>
          <w:trHeight w:val="283" w:hRule="atLeast"/>
        </w:trPr>
        <w:tc>
          <w:tcPr>
            <w:tcW w:w="3119" w:type="dxa"/>
            <w:vMerge w:val="continue"/>
            <w:vAlign w:val="center"/>
          </w:tcPr>
          <w:p>
            <w:pPr>
              <w:pStyle w:val="0"/>
              <w:autoSpaceDE w:val="0"/>
              <w:autoSpaceDN w:val="0"/>
              <w:spacing w:line="240" w:lineRule="exact"/>
              <w:rPr>
                <w:rFonts w:hint="default" w:ascii="ＭＳ Ｐゴシック" w:hAnsi="ＭＳ Ｐゴシック" w:eastAsia="ＭＳ Ｐゴシック"/>
                <w:color w:val="000000" w:themeColor="text1"/>
                <w:sz w:val="21"/>
              </w:rPr>
            </w:pPr>
          </w:p>
        </w:tc>
        <w:tc>
          <w:tcPr>
            <w:tcW w:w="992" w:type="dxa"/>
            <w:vAlign w:val="top"/>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実績値</w:t>
            </w:r>
          </w:p>
        </w:tc>
        <w:tc>
          <w:tcPr>
            <w:tcW w:w="1181" w:type="dxa"/>
            <w:vAlign w:val="top"/>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15</w:t>
            </w:r>
          </w:p>
        </w:tc>
        <w:tc>
          <w:tcPr>
            <w:tcW w:w="1181" w:type="dxa"/>
            <w:vAlign w:val="top"/>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53</w:t>
            </w:r>
          </w:p>
        </w:tc>
        <w:tc>
          <w:tcPr>
            <w:tcW w:w="1182" w:type="dxa"/>
            <w:vAlign w:val="top"/>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60</w:t>
            </w:r>
          </w:p>
        </w:tc>
        <w:tc>
          <w:tcPr>
            <w:tcW w:w="702" w:type="dxa"/>
            <w:vMerge w:val="continue"/>
            <w:vAlign w:val="top"/>
          </w:tcPr>
          <w:p>
            <w:pPr>
              <w:pStyle w:val="0"/>
              <w:autoSpaceDE w:val="0"/>
              <w:autoSpaceDN w:val="0"/>
              <w:jc w:val="center"/>
              <w:rPr>
                <w:rFonts w:hint="default" w:ascii="ＭＳ Ｐゴシック" w:hAnsi="ＭＳ Ｐゴシック" w:eastAsia="ＭＳ Ｐゴシック"/>
                <w:color w:val="000000" w:themeColor="text1"/>
                <w:sz w:val="21"/>
              </w:rPr>
            </w:pPr>
          </w:p>
        </w:tc>
      </w:tr>
      <w:tr>
        <w:trPr>
          <w:trHeight w:val="283" w:hRule="atLeast"/>
        </w:trPr>
        <w:tc>
          <w:tcPr>
            <w:tcW w:w="3119" w:type="dxa"/>
            <w:vMerge w:val="restart"/>
            <w:tcBorders>
              <w:top w:val="single" w:color="auto" w:sz="4" w:space="0"/>
              <w:left w:val="single" w:color="auto" w:sz="4" w:space="0"/>
              <w:bottom w:val="single" w:color="auto" w:sz="4" w:space="0"/>
              <w:right w:val="single" w:color="000000" w:sz="4" w:space="0"/>
              <w:tl2br w:val="nil"/>
              <w:tr2bl w:val="nil"/>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住宅改修等の点検</w:t>
            </w:r>
          </w:p>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0"/>
                <w:highlight w:val="none"/>
              </w:rPr>
              <w:t>実施件数（件）</w:t>
            </w:r>
          </w:p>
        </w:tc>
        <w:tc>
          <w:tcPr>
            <w:tcW w:w="992" w:type="dxa"/>
            <w:vAlign w:val="top"/>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計画値</w:t>
            </w:r>
          </w:p>
        </w:tc>
        <w:tc>
          <w:tcPr>
            <w:tcW w:w="1181" w:type="dxa"/>
            <w:vAlign w:val="top"/>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120</w:t>
            </w:r>
          </w:p>
        </w:tc>
        <w:tc>
          <w:tcPr>
            <w:tcW w:w="1181" w:type="dxa"/>
            <w:vAlign w:val="top"/>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130</w:t>
            </w:r>
          </w:p>
        </w:tc>
        <w:tc>
          <w:tcPr>
            <w:tcW w:w="1182" w:type="dxa"/>
            <w:vAlign w:val="top"/>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140</w:t>
            </w:r>
          </w:p>
        </w:tc>
        <w:tc>
          <w:tcPr>
            <w:tcW w:w="702" w:type="dxa"/>
            <w:vMerge w:val="restart"/>
            <w:vAlign w:val="top"/>
          </w:tcPr>
          <w:p>
            <w:pPr>
              <w:pStyle w:val="0"/>
              <w:autoSpaceDE w:val="0"/>
              <w:autoSpaceDN w:val="0"/>
              <w:jc w:val="center"/>
              <w:rPr>
                <w:rFonts w:hint="default" w:ascii="ＭＳ Ｐゴシック" w:hAnsi="ＭＳ Ｐゴシック" w:eastAsia="ＭＳ Ｐゴシック"/>
                <w:color w:val="auto"/>
                <w:sz w:val="21"/>
                <w:highlight w:val="none"/>
              </w:rPr>
            </w:pPr>
          </w:p>
        </w:tc>
      </w:tr>
      <w:tr>
        <w:trPr>
          <w:trHeight w:val="283" w:hRule="atLeast"/>
        </w:trPr>
        <w:tc>
          <w:tcPr>
            <w:tcW w:w="3119" w:type="dxa"/>
            <w:vMerge w:val="continue"/>
            <w:tcBorders>
              <w:top w:val="nil"/>
              <w:left w:val="single" w:color="auto" w:sz="4" w:space="0"/>
              <w:bottom w:val="single" w:color="auto" w:sz="4" w:space="0"/>
              <w:right w:val="single" w:color="000000" w:sz="4" w:space="0"/>
              <w:tl2br w:val="nil"/>
              <w:tr2bl w:val="nil"/>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000000" w:themeColor="text1"/>
                <w:sz w:val="21"/>
              </w:rPr>
            </w:pPr>
          </w:p>
        </w:tc>
        <w:tc>
          <w:tcPr>
            <w:tcW w:w="992" w:type="dxa"/>
            <w:vAlign w:val="top"/>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実績値</w:t>
            </w:r>
          </w:p>
        </w:tc>
        <w:tc>
          <w:tcPr>
            <w:tcW w:w="1181" w:type="dxa"/>
            <w:vAlign w:val="top"/>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12</w:t>
            </w:r>
          </w:p>
        </w:tc>
        <w:tc>
          <w:tcPr>
            <w:tcW w:w="1181" w:type="dxa"/>
            <w:vAlign w:val="top"/>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207</w:t>
            </w:r>
          </w:p>
        </w:tc>
        <w:tc>
          <w:tcPr>
            <w:tcW w:w="1182" w:type="dxa"/>
            <w:vAlign w:val="top"/>
          </w:tcPr>
          <w:p>
            <w:pPr>
              <w:pStyle w:val="0"/>
              <w:autoSpaceDE w:val="0"/>
              <w:autoSpaceDN w:val="0"/>
              <w:jc w:val="right"/>
              <w:rPr>
                <w:rFonts w:hint="default" w:ascii="ＭＳ Ｐゴシック" w:hAnsi="ＭＳ Ｐゴシック" w:eastAsia="ＭＳ Ｐゴシック"/>
                <w:color w:val="auto"/>
                <w:sz w:val="21"/>
                <w:highlight w:val="none"/>
              </w:rPr>
            </w:pPr>
          </w:p>
        </w:tc>
        <w:tc>
          <w:tcPr>
            <w:tcW w:w="702" w:type="dxa"/>
            <w:vMerge w:val="continue"/>
            <w:vAlign w:val="top"/>
          </w:tcPr>
          <w:p>
            <w:pPr>
              <w:pStyle w:val="0"/>
              <w:autoSpaceDE w:val="0"/>
              <w:autoSpaceDN w:val="0"/>
              <w:jc w:val="center"/>
              <w:rPr>
                <w:rFonts w:hint="default" w:ascii="ＭＳ Ｐゴシック" w:hAnsi="ＭＳ Ｐゴシック" w:eastAsia="ＭＳ Ｐゴシック"/>
                <w:color w:val="000000" w:themeColor="text1"/>
                <w:sz w:val="21"/>
              </w:rPr>
            </w:pPr>
          </w:p>
        </w:tc>
      </w:tr>
      <w:tr>
        <w:trPr>
          <w:trHeight w:val="283" w:hRule="atLeast"/>
        </w:trPr>
        <w:tc>
          <w:tcPr>
            <w:tcW w:w="3119" w:type="dxa"/>
            <w:vMerge w:val="restart"/>
            <w:tcBorders>
              <w:top w:val="single" w:color="auto" w:sz="4" w:space="0"/>
              <w:left w:val="single" w:color="auto" w:sz="4" w:space="0"/>
              <w:bottom w:val="single" w:color="auto" w:sz="4" w:space="0"/>
              <w:right w:val="single" w:color="000000" w:sz="4" w:space="0"/>
              <w:tl2br w:val="nil"/>
              <w:tr2bl w:val="nil"/>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医療情報との突合・縦覧点検</w:t>
            </w:r>
          </w:p>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0"/>
                <w:highlight w:val="none"/>
              </w:rPr>
              <w:t>実施回数（回）</w:t>
            </w:r>
          </w:p>
        </w:tc>
        <w:tc>
          <w:tcPr>
            <w:tcW w:w="992" w:type="dxa"/>
            <w:vAlign w:val="top"/>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計画値</w:t>
            </w:r>
          </w:p>
        </w:tc>
        <w:tc>
          <w:tcPr>
            <w:tcW w:w="1181" w:type="dxa"/>
            <w:vAlign w:val="top"/>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12</w:t>
            </w:r>
          </w:p>
        </w:tc>
        <w:tc>
          <w:tcPr>
            <w:tcW w:w="1181" w:type="dxa"/>
            <w:vAlign w:val="top"/>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12</w:t>
            </w:r>
          </w:p>
        </w:tc>
        <w:tc>
          <w:tcPr>
            <w:tcW w:w="1182" w:type="dxa"/>
            <w:vAlign w:val="top"/>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12</w:t>
            </w:r>
          </w:p>
        </w:tc>
        <w:tc>
          <w:tcPr>
            <w:tcW w:w="702" w:type="dxa"/>
            <w:vMerge w:val="restart"/>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p>
        </w:tc>
      </w:tr>
      <w:tr>
        <w:trPr>
          <w:trHeight w:val="283" w:hRule="atLeast"/>
        </w:trPr>
        <w:tc>
          <w:tcPr>
            <w:tcW w:w="3119" w:type="dxa"/>
            <w:vMerge w:val="continue"/>
            <w:tcBorders>
              <w:top w:val="single" w:color="auto" w:sz="4" w:space="0"/>
              <w:left w:val="single" w:color="auto" w:sz="4" w:space="0"/>
              <w:bottom w:val="single" w:color="auto" w:sz="4" w:space="0"/>
              <w:right w:val="single" w:color="000000" w:sz="4" w:space="0"/>
              <w:tl2br w:val="nil"/>
              <w:tr2bl w:val="nil"/>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000000" w:themeColor="text1"/>
                <w:sz w:val="21"/>
              </w:rPr>
            </w:pPr>
          </w:p>
        </w:tc>
        <w:tc>
          <w:tcPr>
            <w:tcW w:w="992" w:type="dxa"/>
            <w:vAlign w:val="top"/>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実績値</w:t>
            </w:r>
          </w:p>
        </w:tc>
        <w:tc>
          <w:tcPr>
            <w:tcW w:w="1181" w:type="dxa"/>
            <w:vAlign w:val="top"/>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12</w:t>
            </w:r>
          </w:p>
        </w:tc>
        <w:tc>
          <w:tcPr>
            <w:tcW w:w="1181" w:type="dxa"/>
            <w:vAlign w:val="top"/>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12</w:t>
            </w:r>
          </w:p>
        </w:tc>
        <w:tc>
          <w:tcPr>
            <w:tcW w:w="1182" w:type="dxa"/>
            <w:vAlign w:val="top"/>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12</w:t>
            </w:r>
          </w:p>
        </w:tc>
        <w:tc>
          <w:tcPr>
            <w:tcW w:w="702" w:type="dxa"/>
            <w:vMerge w:val="continue"/>
            <w:vAlign w:val="top"/>
          </w:tcPr>
          <w:p>
            <w:pPr>
              <w:pStyle w:val="0"/>
              <w:autoSpaceDE w:val="0"/>
              <w:autoSpaceDN w:val="0"/>
              <w:jc w:val="center"/>
              <w:rPr>
                <w:rFonts w:hint="default" w:ascii="ＭＳ Ｐゴシック" w:hAnsi="ＭＳ Ｐゴシック" w:eastAsia="ＭＳ Ｐゴシック"/>
                <w:color w:val="000000" w:themeColor="text1"/>
                <w:sz w:val="21"/>
              </w:rPr>
            </w:pPr>
          </w:p>
        </w:tc>
      </w:tr>
      <w:tr>
        <w:trPr>
          <w:trHeight w:val="283" w:hRule="atLeast"/>
        </w:trPr>
        <w:tc>
          <w:tcPr>
            <w:tcW w:w="3119" w:type="dxa"/>
            <w:vMerge w:val="restart"/>
            <w:tcBorders>
              <w:top w:val="nil"/>
              <w:left w:val="single" w:color="auto" w:sz="4" w:space="0"/>
              <w:bottom w:val="single" w:color="auto" w:sz="4" w:space="0"/>
              <w:right w:val="single" w:color="000000" w:sz="4" w:space="0"/>
              <w:tl2br w:val="nil"/>
              <w:tr2bl w:val="nil"/>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給付費通知</w:t>
            </w:r>
          </w:p>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通知回数（回）</w:t>
            </w:r>
          </w:p>
        </w:tc>
        <w:tc>
          <w:tcPr>
            <w:tcW w:w="992" w:type="dxa"/>
            <w:vAlign w:val="top"/>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計画値</w:t>
            </w:r>
          </w:p>
        </w:tc>
        <w:tc>
          <w:tcPr>
            <w:tcW w:w="1181" w:type="dxa"/>
            <w:vAlign w:val="top"/>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w:t>
            </w:r>
          </w:p>
        </w:tc>
        <w:tc>
          <w:tcPr>
            <w:tcW w:w="1181" w:type="dxa"/>
            <w:vAlign w:val="top"/>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w:t>
            </w:r>
          </w:p>
        </w:tc>
        <w:tc>
          <w:tcPr>
            <w:tcW w:w="1182" w:type="dxa"/>
            <w:vAlign w:val="top"/>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w:t>
            </w:r>
          </w:p>
        </w:tc>
        <w:tc>
          <w:tcPr>
            <w:tcW w:w="702" w:type="dxa"/>
            <w:vMerge w:val="restart"/>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p>
        </w:tc>
      </w:tr>
      <w:tr>
        <w:trPr>
          <w:trHeight w:val="283" w:hRule="atLeast"/>
        </w:trPr>
        <w:tc>
          <w:tcPr>
            <w:tcW w:w="3119" w:type="dxa"/>
            <w:vMerge w:val="continue"/>
            <w:vAlign w:val="top"/>
          </w:tcPr>
          <w:p>
            <w:pPr>
              <w:pStyle w:val="0"/>
              <w:autoSpaceDE w:val="0"/>
              <w:autoSpaceDN w:val="0"/>
              <w:spacing w:line="240" w:lineRule="exact"/>
              <w:rPr>
                <w:rFonts w:hint="default" w:ascii="ＭＳ Ｐゴシック" w:hAnsi="ＭＳ Ｐゴシック" w:eastAsia="ＭＳ Ｐゴシック"/>
                <w:color w:val="000000" w:themeColor="text1"/>
                <w:sz w:val="21"/>
              </w:rPr>
            </w:pPr>
          </w:p>
        </w:tc>
        <w:tc>
          <w:tcPr>
            <w:tcW w:w="992" w:type="dxa"/>
            <w:vAlign w:val="top"/>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実績値</w:t>
            </w:r>
          </w:p>
        </w:tc>
        <w:tc>
          <w:tcPr>
            <w:tcW w:w="1181" w:type="dxa"/>
            <w:vAlign w:val="top"/>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w:t>
            </w:r>
          </w:p>
        </w:tc>
        <w:tc>
          <w:tcPr>
            <w:tcW w:w="1181" w:type="dxa"/>
            <w:vAlign w:val="top"/>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w:t>
            </w:r>
          </w:p>
        </w:tc>
        <w:tc>
          <w:tcPr>
            <w:tcW w:w="1182" w:type="dxa"/>
            <w:vAlign w:val="top"/>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w:t>
            </w:r>
          </w:p>
        </w:tc>
        <w:tc>
          <w:tcPr>
            <w:tcW w:w="702" w:type="dxa"/>
            <w:vMerge w:val="continue"/>
            <w:vAlign w:val="center"/>
          </w:tcPr>
          <w:p>
            <w:pPr>
              <w:pStyle w:val="0"/>
              <w:autoSpaceDE w:val="0"/>
              <w:autoSpaceDN w:val="0"/>
              <w:jc w:val="center"/>
              <w:rPr>
                <w:rFonts w:hint="default" w:ascii="ＭＳ Ｐゴシック" w:hAnsi="ＭＳ Ｐゴシック" w:eastAsia="ＭＳ Ｐゴシック"/>
                <w:color w:val="000000" w:themeColor="text1"/>
                <w:sz w:val="21"/>
              </w:rPr>
            </w:pPr>
          </w:p>
        </w:tc>
      </w:tr>
    </w:tbl>
    <w:p>
      <w:pPr>
        <w:pStyle w:val="41"/>
        <w:rPr>
          <w:rFonts w:hint="default"/>
          <w:color w:val="auto"/>
          <w:highlight w:val="none"/>
        </w:rPr>
      </w:pPr>
    </w:p>
    <w:p>
      <w:pPr>
        <w:pStyle w:val="0"/>
        <w:widowControl w:val="1"/>
        <w:jc w:val="left"/>
        <w:rPr>
          <w:rFonts w:hint="default"/>
          <w:color w:val="auto"/>
          <w:highlight w:val="none"/>
        </w:rPr>
      </w:pPr>
      <w:r>
        <w:rPr>
          <w:rFonts w:hint="default"/>
          <w:color w:val="auto"/>
          <w:highlight w:val="none"/>
        </w:rPr>
        <w:br w:type="page"/>
      </w:r>
    </w:p>
    <w:p>
      <w:pPr>
        <w:pStyle w:val="30"/>
        <w:spacing w:after="76" w:afterLines="0" w:afterAutospacing="0"/>
        <w:rPr>
          <w:rFonts w:hint="default"/>
          <w:color w:val="auto"/>
          <w:highlight w:val="none"/>
        </w:rPr>
      </w:pPr>
      <w:r>
        <w:rPr>
          <w:rFonts w:hint="eastAsia"/>
          <w:color w:val="auto"/>
          <w:highlight w:val="none"/>
        </w:rPr>
        <w:t>イ　介護職員等の処遇改善、離職防止、定着促進、生産性向上</w:t>
      </w:r>
    </w:p>
    <w:p>
      <w:pPr>
        <w:pStyle w:val="44"/>
        <w:spacing w:after="185" w:afterLines="50" w:afterAutospacing="0"/>
        <w:rPr>
          <w:rFonts w:hint="default"/>
          <w:color w:val="auto"/>
          <w:highlight w:val="none"/>
        </w:rPr>
      </w:pPr>
      <w:r>
        <w:rPr>
          <w:rFonts w:hint="eastAsia"/>
          <w:color w:val="auto"/>
          <w:highlight w:val="none"/>
        </w:rPr>
        <w:t>介護職員等特定改善計画の提出を求め、変更届等の確認に重点をおき実施しました。</w:t>
      </w:r>
    </w:p>
    <w:tbl>
      <w:tblPr>
        <w:tblStyle w:val="81"/>
        <w:tblW w:w="8357" w:type="dxa"/>
        <w:tblInd w:w="704" w:type="dxa"/>
        <w:tblLayout w:type="fixed"/>
        <w:tblLook w:firstRow="1" w:lastRow="0" w:firstColumn="1" w:lastColumn="0" w:noHBand="0" w:noVBand="1" w:val="04A0"/>
      </w:tblPr>
      <w:tblGrid>
        <w:gridCol w:w="3119"/>
        <w:gridCol w:w="992"/>
        <w:gridCol w:w="1181"/>
        <w:gridCol w:w="1181"/>
        <w:gridCol w:w="1182"/>
        <w:gridCol w:w="702"/>
      </w:tblGrid>
      <w:tr>
        <w:trPr>
          <w:trHeight w:val="510" w:hRule="atLeast"/>
        </w:trPr>
        <w:tc>
          <w:tcPr>
            <w:tcW w:w="4111"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18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3</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(2021</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18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4</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(2022</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18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5</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r>
              <w:rPr>
                <w:rFonts w:hint="default" w:ascii="ＭＳ Ｐゴシック" w:hAnsi="ＭＳ Ｐゴシック" w:eastAsia="ＭＳ Ｐゴシック"/>
                <w:color w:val="auto"/>
                <w:sz w:val="21"/>
                <w:highlight w:val="none"/>
              </w:rPr>
              <w:t>202</w:t>
            </w:r>
            <w:r>
              <w:rPr>
                <w:rFonts w:hint="eastAsia" w:ascii="ＭＳ Ｐゴシック" w:hAnsi="ＭＳ Ｐゴシック" w:eastAsia="ＭＳ Ｐゴシック"/>
                <w:color w:val="auto"/>
                <w:sz w:val="21"/>
                <w:highlight w:val="none"/>
              </w:rPr>
              <w:t>3</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見込み</w:t>
            </w:r>
          </w:p>
        </w:tc>
        <w:tc>
          <w:tcPr>
            <w:tcW w:w="70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8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達成</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状況</w:t>
            </w:r>
          </w:p>
        </w:tc>
      </w:tr>
      <w:tr>
        <w:trPr>
          <w:trHeight w:val="283" w:hRule="atLeast"/>
        </w:trPr>
        <w:tc>
          <w:tcPr>
            <w:tcW w:w="3119" w:type="dxa"/>
            <w:vMerge w:val="restart"/>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介護職員等特定処遇改善加算</w:t>
            </w:r>
          </w:p>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取得率（％）</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計画値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67.0</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default" w:ascii="ＭＳ Ｐゴシック" w:hAnsi="ＭＳ Ｐゴシック" w:eastAsia="ＭＳ Ｐゴシック"/>
                <w:color w:val="auto"/>
                <w:sz w:val="21"/>
                <w:highlight w:val="none"/>
              </w:rPr>
              <w:t>68.0</w:t>
            </w:r>
          </w:p>
        </w:tc>
        <w:tc>
          <w:tcPr>
            <w:tcW w:w="118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default" w:ascii="ＭＳ Ｐゴシック" w:hAnsi="ＭＳ Ｐゴシック" w:eastAsia="ＭＳ Ｐゴシック"/>
                <w:color w:val="auto"/>
                <w:sz w:val="21"/>
                <w:highlight w:val="none"/>
              </w:rPr>
              <w:t>69.0</w:t>
            </w:r>
          </w:p>
        </w:tc>
        <w:tc>
          <w:tcPr>
            <w:tcW w:w="702"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p>
        </w:tc>
      </w:tr>
      <w:tr>
        <w:trPr>
          <w:trHeight w:val="283" w:hRule="atLeast"/>
        </w:trPr>
        <w:tc>
          <w:tcPr>
            <w:tcW w:w="3119" w:type="dxa"/>
            <w:vMerge w:val="continue"/>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000000" w:themeColor="text1"/>
                <w:sz w:val="21"/>
              </w:rPr>
            </w:pP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実績値</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73.0</w:t>
            </w:r>
          </w:p>
        </w:tc>
        <w:tc>
          <w:tcPr>
            <w:tcW w:w="11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68.2</w:t>
            </w:r>
          </w:p>
        </w:tc>
        <w:tc>
          <w:tcPr>
            <w:tcW w:w="1182" w:type="dxa"/>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68.2</w:t>
            </w:r>
          </w:p>
        </w:tc>
        <w:tc>
          <w:tcPr>
            <w:tcW w:w="702" w:type="dxa"/>
            <w:vMerge w:val="continue"/>
            <w:tcBorders>
              <w:top w:val="none" w:color="auto" w:sz="0"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000000" w:themeColor="text1"/>
                <w:sz w:val="21"/>
              </w:rPr>
            </w:pPr>
          </w:p>
        </w:tc>
      </w:tr>
    </w:tbl>
    <w:p>
      <w:pPr>
        <w:pStyle w:val="41"/>
        <w:rPr>
          <w:rFonts w:hint="default"/>
          <w:color w:val="auto"/>
          <w:highlight w:val="none"/>
        </w:rPr>
      </w:pPr>
    </w:p>
    <w:p>
      <w:pPr>
        <w:pStyle w:val="30"/>
        <w:spacing w:after="76" w:afterLines="0" w:afterAutospacing="0"/>
        <w:rPr>
          <w:rFonts w:hint="default"/>
          <w:color w:val="auto"/>
          <w:highlight w:val="none"/>
        </w:rPr>
      </w:pPr>
      <w:r>
        <w:rPr>
          <w:rFonts w:hint="eastAsia"/>
          <w:color w:val="auto"/>
          <w:highlight w:val="none"/>
        </w:rPr>
        <w:t>ウ　業務効率化の推進</w:t>
      </w:r>
    </w:p>
    <w:p>
      <w:pPr>
        <w:pStyle w:val="44"/>
        <w:rPr>
          <w:rFonts w:hint="default"/>
          <w:color w:val="auto"/>
          <w:highlight w:val="none"/>
        </w:rPr>
      </w:pPr>
      <w:r>
        <w:rPr>
          <w:rFonts w:hint="eastAsia"/>
          <w:color w:val="auto"/>
          <w:highlight w:val="none"/>
        </w:rPr>
        <w:t>文書量の削減に向け、指定（更新）申請書等以外の付表や添付書類への押印廃止、添付書類への原本証明は求めないこととするとともに、更新、変更届については、郵送による提出を可能としました。</w:t>
      </w:r>
    </w:p>
    <w:p>
      <w:pPr>
        <w:pStyle w:val="41"/>
        <w:rPr>
          <w:rFonts w:hint="default"/>
          <w:color w:val="auto"/>
          <w:highlight w:val="none"/>
        </w:rPr>
      </w:pPr>
    </w:p>
    <w:p>
      <w:pPr>
        <w:pStyle w:val="30"/>
        <w:spacing w:after="76" w:afterLines="0" w:afterAutospacing="0"/>
        <w:rPr>
          <w:rFonts w:hint="default"/>
          <w:color w:val="auto"/>
          <w:highlight w:val="none"/>
        </w:rPr>
      </w:pPr>
      <w:r>
        <w:rPr>
          <w:rFonts w:hint="eastAsia"/>
          <w:color w:val="auto"/>
          <w:highlight w:val="none"/>
        </w:rPr>
        <w:t>エ　介護人材の確保・定着</w:t>
      </w:r>
    </w:p>
    <w:p>
      <w:pPr>
        <w:pStyle w:val="44"/>
        <w:rPr>
          <w:rFonts w:hint="default"/>
          <w:color w:val="auto"/>
          <w:highlight w:val="none"/>
        </w:rPr>
      </w:pPr>
      <w:r>
        <w:rPr>
          <w:rFonts w:hint="eastAsia"/>
          <w:color w:val="auto"/>
          <w:highlight w:val="none"/>
        </w:rPr>
        <w:t>過疎地域等の介護人材確保と定着のため、市の支援策を事業所等に周知しました。</w:t>
      </w:r>
    </w:p>
    <w:p>
      <w:pPr>
        <w:pStyle w:val="41"/>
        <w:rPr>
          <w:rFonts w:hint="default"/>
          <w:color w:val="auto"/>
          <w:highlight w:val="none"/>
        </w:rPr>
      </w:pPr>
    </w:p>
    <w:p>
      <w:pPr>
        <w:pStyle w:val="30"/>
        <w:spacing w:after="76" w:afterLines="0" w:afterAutospacing="0"/>
        <w:rPr>
          <w:rFonts w:hint="default"/>
          <w:color w:val="auto"/>
          <w:highlight w:val="none"/>
        </w:rPr>
      </w:pPr>
      <w:r>
        <w:rPr>
          <w:rFonts w:hint="eastAsia"/>
          <w:color w:val="auto"/>
          <w:highlight w:val="none"/>
        </w:rPr>
        <w:t>オ　介護保険サービスの資質向上</w:t>
      </w:r>
    </w:p>
    <w:p>
      <w:pPr>
        <w:pStyle w:val="44"/>
        <w:rPr>
          <w:rFonts w:hint="default"/>
          <w:color w:val="auto"/>
          <w:highlight w:val="none"/>
        </w:rPr>
      </w:pPr>
      <w:r>
        <w:rPr>
          <w:rFonts w:hint="eastAsia"/>
          <w:color w:val="auto"/>
          <w:highlight w:val="none"/>
        </w:rPr>
        <w:t>ケアマネジメントに関する基本方針を策定し、ケアマネジメントの質の向上などを図りました。</w:t>
      </w:r>
    </w:p>
    <w:p>
      <w:pPr>
        <w:pStyle w:val="41"/>
        <w:rPr>
          <w:rFonts w:hint="default"/>
          <w:color w:val="auto"/>
          <w:highlight w:val="none"/>
        </w:rPr>
      </w:pPr>
    </w:p>
    <w:p>
      <w:pPr>
        <w:pStyle w:val="26"/>
        <w:spacing w:after="76" w:afterLines="0" w:afterAutospacing="0"/>
        <w:rPr>
          <w:rFonts w:hint="default"/>
          <w:color w:val="auto"/>
          <w:highlight w:val="none"/>
        </w:rPr>
      </w:pPr>
      <w:bookmarkStart w:id="78" w:name="_Toc152160647"/>
      <w:r>
        <w:rPr>
          <w:rFonts w:hint="eastAsia"/>
          <w:color w:val="auto"/>
          <w:highlight w:val="none"/>
        </w:rPr>
        <w:t>（５）総合的な評価</w:t>
      </w:r>
      <w:bookmarkEnd w:id="78"/>
    </w:p>
    <w:p>
      <w:pPr>
        <w:pStyle w:val="28"/>
        <w:rPr>
          <w:rFonts w:hint="default"/>
          <w:color w:val="auto"/>
          <w:highlight w:val="none"/>
        </w:rPr>
      </w:pPr>
      <w:r>
        <w:rPr>
          <w:rFonts w:hint="eastAsia"/>
          <w:color w:val="auto"/>
          <w:highlight w:val="none"/>
        </w:rPr>
        <w:t>第８期計画では、令和</w:t>
      </w:r>
      <w:r>
        <w:rPr>
          <w:rFonts w:hint="eastAsia"/>
          <w:color w:val="auto"/>
          <w:highlight w:val="none"/>
        </w:rPr>
        <w:t>7</w:t>
      </w:r>
      <w:r>
        <w:rPr>
          <w:rFonts w:hint="eastAsia"/>
          <w:color w:val="auto"/>
          <w:highlight w:val="none"/>
        </w:rPr>
        <w:t>（</w:t>
      </w:r>
      <w:r>
        <w:rPr>
          <w:rFonts w:hint="eastAsia"/>
          <w:color w:val="auto"/>
          <w:highlight w:val="none"/>
        </w:rPr>
        <w:t>2025</w:t>
      </w:r>
      <w:r>
        <w:rPr>
          <w:rFonts w:hint="eastAsia"/>
          <w:color w:val="auto"/>
          <w:highlight w:val="none"/>
        </w:rPr>
        <w:t>）年及び令和</w:t>
      </w:r>
      <w:r>
        <w:rPr>
          <w:rFonts w:hint="eastAsia"/>
          <w:color w:val="auto"/>
          <w:highlight w:val="none"/>
        </w:rPr>
        <w:t>22</w:t>
      </w:r>
      <w:r>
        <w:rPr>
          <w:rFonts w:hint="eastAsia"/>
          <w:color w:val="auto"/>
          <w:highlight w:val="none"/>
        </w:rPr>
        <w:t>（</w:t>
      </w:r>
      <w:r>
        <w:rPr>
          <w:rFonts w:hint="eastAsia"/>
          <w:color w:val="auto"/>
          <w:highlight w:val="none"/>
        </w:rPr>
        <w:t>2040</w:t>
      </w:r>
      <w:r>
        <w:rPr>
          <w:rFonts w:hint="eastAsia"/>
          <w:color w:val="auto"/>
          <w:highlight w:val="none"/>
        </w:rPr>
        <w:t>）年を意識し、コロナ禍の状況においても介護予防・重度化防止、認知症施策等を着実に進めてきました。</w:t>
      </w:r>
    </w:p>
    <w:p>
      <w:pPr>
        <w:pStyle w:val="28"/>
        <w:rPr>
          <w:rFonts w:hint="default"/>
          <w:color w:val="auto"/>
          <w:highlight w:val="none"/>
        </w:rPr>
      </w:pPr>
      <w:r>
        <w:rPr>
          <w:rFonts w:hint="eastAsia"/>
          <w:color w:val="auto"/>
          <w:highlight w:val="none"/>
        </w:rPr>
        <w:t>また、介護サービスの基盤整備については地域密着型サービスを中心に計画どおりに整備を行いました。</w:t>
      </w:r>
    </w:p>
    <w:p>
      <w:pPr>
        <w:pStyle w:val="28"/>
        <w:rPr>
          <w:rFonts w:hint="default"/>
          <w:color w:val="auto"/>
          <w:highlight w:val="none"/>
        </w:rPr>
      </w:pPr>
      <w:r>
        <w:rPr>
          <w:rFonts w:hint="eastAsia"/>
          <w:color w:val="auto"/>
          <w:highlight w:val="none"/>
        </w:rPr>
        <w:t>これらの成果と課題を検証し、今後さらに取組を進めてまいります。</w:t>
      </w:r>
    </w:p>
    <w:p>
      <w:pPr>
        <w:pStyle w:val="0"/>
        <w:widowControl w:val="1"/>
        <w:jc w:val="left"/>
        <w:rPr>
          <w:rFonts w:hint="default"/>
          <w:color w:val="auto"/>
          <w:highlight w:val="none"/>
        </w:rPr>
      </w:pPr>
      <w:r>
        <w:rPr>
          <w:rFonts w:hint="default"/>
          <w:b w:val="1"/>
          <w:color w:val="auto"/>
          <w:highlight w:val="none"/>
        </w:rPr>
        <w:br w:type="page"/>
      </w:r>
    </w:p>
    <w:p>
      <w:pPr>
        <w:pStyle w:val="22"/>
        <w:spacing w:after="76" w:afterLines="0" w:afterAutospacing="0"/>
        <w:rPr>
          <w:rFonts w:hint="default"/>
          <w:color w:val="auto"/>
          <w:highlight w:val="none"/>
        </w:rPr>
      </w:pPr>
      <w:bookmarkStart w:id="79" w:name="_Toc150813521"/>
      <w:bookmarkStart w:id="80" w:name="_Toc152160648"/>
      <w:r>
        <w:rPr>
          <w:rFonts w:hint="eastAsia"/>
          <w:color w:val="auto"/>
          <w:w w:val="87"/>
          <w:highlight w:val="none"/>
          <w:fitText w:val="8400" w:id="5"/>
        </w:rPr>
        <w:t>４　第８</w:t>
      </w:r>
      <w:r>
        <w:rPr>
          <w:rFonts w:hint="default"/>
          <w:color w:val="auto"/>
          <w:w w:val="87"/>
          <w:highlight w:val="none"/>
          <w:fitText w:val="8400" w:id="5"/>
        </w:rPr>
        <w:t>期計画進捗状況及び各種アンケート調査による本市の課題</w:t>
      </w:r>
      <w:bookmarkEnd w:id="79"/>
      <w:bookmarkEnd w:id="80"/>
    </w:p>
    <w:p>
      <w:pPr>
        <w:pStyle w:val="24"/>
        <w:rPr>
          <w:rFonts w:hint="default"/>
          <w:color w:val="auto"/>
          <w:highlight w:val="none"/>
        </w:rPr>
      </w:pPr>
      <w:r>
        <w:rPr>
          <w:rFonts w:hint="eastAsia"/>
          <w:color w:val="auto"/>
          <w:highlight w:val="none"/>
        </w:rPr>
        <w:t>第８期計画の進捗や各種アンケート結果から、次の６つを課題と捉えています。</w:t>
      </w:r>
    </w:p>
    <w:p>
      <w:pPr>
        <w:pStyle w:val="41"/>
        <w:rPr>
          <w:rFonts w:hint="default"/>
          <w:color w:val="auto"/>
          <w:highlight w:val="none"/>
        </w:rPr>
      </w:pPr>
    </w:p>
    <w:p>
      <w:pPr>
        <w:pStyle w:val="26"/>
        <w:spacing w:after="76" w:afterLines="0" w:afterAutospacing="0"/>
        <w:rPr>
          <w:rFonts w:hint="default"/>
          <w:color w:val="auto"/>
          <w:highlight w:val="none"/>
        </w:rPr>
      </w:pPr>
      <w:bookmarkStart w:id="81" w:name="_Toc150813522"/>
      <w:bookmarkStart w:id="82" w:name="_Toc152155846"/>
      <w:bookmarkStart w:id="83" w:name="_Toc152160649"/>
      <w:r>
        <w:rPr>
          <w:rFonts w:hint="eastAsia"/>
          <w:color w:val="auto"/>
          <w:highlight w:val="none"/>
        </w:rPr>
        <w:t>（１）　相談体制の強化</w:t>
      </w:r>
      <w:bookmarkEnd w:id="81"/>
      <w:bookmarkEnd w:id="82"/>
      <w:bookmarkEnd w:id="83"/>
    </w:p>
    <w:p>
      <w:pPr>
        <w:pStyle w:val="28"/>
        <w:rPr>
          <w:rFonts w:hint="default"/>
          <w:color w:val="auto"/>
          <w:highlight w:val="none"/>
        </w:rPr>
      </w:pPr>
      <w:r>
        <w:rPr>
          <w:rFonts w:hint="eastAsia"/>
          <w:color w:val="auto"/>
          <w:highlight w:val="none"/>
        </w:rPr>
        <w:t>今後、一人世帯や高齢者のみの世帯が増加することから、医療機関や地域包括支援センター、社会福祉協議会及び民生委員等へ、日常的に相談できる体制づくりが必要です。</w:t>
      </w:r>
    </w:p>
    <w:p>
      <w:pPr>
        <w:pStyle w:val="28"/>
        <w:rPr>
          <w:rFonts w:hint="default"/>
          <w:color w:val="auto"/>
          <w:highlight w:val="none"/>
        </w:rPr>
      </w:pPr>
      <w:r>
        <w:rPr>
          <w:rFonts w:hint="eastAsia"/>
          <w:color w:val="auto"/>
          <w:highlight w:val="none"/>
        </w:rPr>
        <w:t>また、地域包括支援センターには、属性や世代を問わない包括的な相談支援などを担うことが必要となります。</w:t>
      </w:r>
    </w:p>
    <w:p>
      <w:pPr>
        <w:pStyle w:val="0"/>
        <w:spacing w:line="0" w:lineRule="atLeast"/>
        <w:rPr>
          <w:rFonts w:hint="default"/>
          <w:color w:val="auto"/>
          <w:sz w:val="24"/>
          <w:highlight w:val="none"/>
        </w:rPr>
      </w:pPr>
    </w:p>
    <w:p>
      <w:pPr>
        <w:pStyle w:val="26"/>
        <w:spacing w:after="76" w:afterLines="0" w:afterAutospacing="0"/>
        <w:rPr>
          <w:rFonts w:hint="default"/>
          <w:color w:val="auto"/>
          <w:highlight w:val="none"/>
        </w:rPr>
      </w:pPr>
      <w:bookmarkStart w:id="84" w:name="_Toc150813523"/>
      <w:bookmarkStart w:id="85" w:name="_Toc152155847"/>
      <w:bookmarkStart w:id="86" w:name="_Toc152160650"/>
      <w:r>
        <w:rPr>
          <w:rFonts w:hint="eastAsia"/>
          <w:color w:val="auto"/>
          <w:highlight w:val="none"/>
        </w:rPr>
        <w:t>（２）　医療と介護の連携強化</w:t>
      </w:r>
      <w:bookmarkEnd w:id="84"/>
      <w:bookmarkEnd w:id="85"/>
      <w:bookmarkEnd w:id="86"/>
    </w:p>
    <w:p>
      <w:pPr>
        <w:pStyle w:val="28"/>
        <w:rPr>
          <w:rFonts w:hint="default"/>
          <w:color w:val="auto"/>
          <w:highlight w:val="none"/>
        </w:rPr>
      </w:pPr>
      <w:r>
        <w:rPr>
          <w:rFonts w:hint="eastAsia"/>
          <w:color w:val="auto"/>
          <w:highlight w:val="none"/>
        </w:rPr>
        <w:t>高齢となっても在宅で暮らし続けることができるよう、在宅医療と介護の連携を図ることが重要です。</w:t>
      </w:r>
    </w:p>
    <w:p>
      <w:pPr>
        <w:pStyle w:val="0"/>
        <w:spacing w:line="0" w:lineRule="atLeast"/>
        <w:rPr>
          <w:rFonts w:hint="default"/>
          <w:color w:val="auto"/>
          <w:sz w:val="24"/>
          <w:highlight w:val="none"/>
        </w:rPr>
      </w:pPr>
    </w:p>
    <w:p>
      <w:pPr>
        <w:pStyle w:val="26"/>
        <w:spacing w:after="76" w:afterLines="0" w:afterAutospacing="0"/>
        <w:rPr>
          <w:rFonts w:hint="default"/>
          <w:color w:val="auto"/>
          <w:highlight w:val="none"/>
        </w:rPr>
      </w:pPr>
      <w:bookmarkStart w:id="87" w:name="_Toc152155848"/>
      <w:bookmarkStart w:id="88" w:name="_Toc152160651"/>
      <w:r>
        <w:rPr>
          <w:rFonts w:hint="eastAsia"/>
          <w:color w:val="auto"/>
          <w:highlight w:val="none"/>
        </w:rPr>
        <w:t>（３）　健康づくり・介護予防</w:t>
      </w:r>
      <w:bookmarkEnd w:id="87"/>
      <w:bookmarkEnd w:id="88"/>
    </w:p>
    <w:p>
      <w:pPr>
        <w:pStyle w:val="28"/>
        <w:rPr>
          <w:rFonts w:hint="default"/>
          <w:color w:val="auto"/>
          <w:highlight w:val="none"/>
        </w:rPr>
      </w:pPr>
      <w:r>
        <w:rPr>
          <w:rFonts w:hint="eastAsia"/>
          <w:color w:val="auto"/>
          <w:highlight w:val="none"/>
        </w:rPr>
        <w:t>新型コロナ感染症の影響により、人との交流や外出の機会が減ったと回答している人の割合が高いことから、交流の機会を含めた介護予防の活動を継続できる環境づくりが重要であるとともに、体力が低下した人の状態の改善のための取組を進めていく必要があります。</w:t>
      </w:r>
    </w:p>
    <w:p>
      <w:pPr>
        <w:pStyle w:val="0"/>
        <w:spacing w:line="0" w:lineRule="atLeast"/>
        <w:rPr>
          <w:rFonts w:hint="default"/>
          <w:color w:val="auto"/>
          <w:sz w:val="24"/>
          <w:highlight w:val="none"/>
        </w:rPr>
      </w:pPr>
    </w:p>
    <w:p>
      <w:pPr>
        <w:pStyle w:val="26"/>
        <w:spacing w:after="76" w:afterLines="0" w:afterAutospacing="0"/>
        <w:rPr>
          <w:rFonts w:hint="default"/>
          <w:color w:val="auto"/>
          <w:highlight w:val="none"/>
        </w:rPr>
      </w:pPr>
      <w:bookmarkStart w:id="89" w:name="_Toc152155849"/>
      <w:bookmarkStart w:id="90" w:name="_Toc152160652"/>
      <w:r>
        <w:rPr>
          <w:rFonts w:hint="eastAsia"/>
          <w:color w:val="auto"/>
          <w:highlight w:val="none"/>
        </w:rPr>
        <w:t>（４）　認知症施策の推進</w:t>
      </w:r>
      <w:bookmarkEnd w:id="89"/>
      <w:bookmarkEnd w:id="90"/>
    </w:p>
    <w:p>
      <w:pPr>
        <w:pStyle w:val="28"/>
        <w:rPr>
          <w:rFonts w:hint="default"/>
          <w:color w:val="auto"/>
          <w:highlight w:val="none"/>
        </w:rPr>
      </w:pPr>
      <w:r>
        <w:rPr>
          <w:rFonts w:hint="eastAsia"/>
          <w:color w:val="auto"/>
          <w:highlight w:val="none"/>
        </w:rPr>
        <w:t>認知症に関する相談窓口の充実や周知を図るとともに、認知症の人を早期に把握し、必要な対応や支援につなぐ体制づくりを、一層充実させることが重要です。</w:t>
      </w:r>
    </w:p>
    <w:p>
      <w:pPr>
        <w:pStyle w:val="0"/>
        <w:spacing w:line="0" w:lineRule="atLeast"/>
        <w:rPr>
          <w:rFonts w:hint="default"/>
          <w:color w:val="auto"/>
          <w:sz w:val="24"/>
          <w:highlight w:val="none"/>
        </w:rPr>
      </w:pPr>
    </w:p>
    <w:p>
      <w:pPr>
        <w:pStyle w:val="26"/>
        <w:spacing w:after="76" w:afterLines="0" w:afterAutospacing="0"/>
        <w:rPr>
          <w:rFonts w:hint="default"/>
          <w:color w:val="auto"/>
          <w:highlight w:val="none"/>
        </w:rPr>
      </w:pPr>
      <w:bookmarkStart w:id="91" w:name="_Toc150813526"/>
      <w:bookmarkStart w:id="92" w:name="_Toc152155850"/>
      <w:bookmarkStart w:id="93" w:name="_Toc152160653"/>
      <w:r>
        <w:rPr>
          <w:rFonts w:hint="eastAsia"/>
          <w:color w:val="auto"/>
          <w:highlight w:val="none"/>
        </w:rPr>
        <w:t>（５）　地域の実情に応じた介護サービス基盤の整備</w:t>
      </w:r>
      <w:bookmarkEnd w:id="91"/>
      <w:bookmarkEnd w:id="92"/>
      <w:bookmarkEnd w:id="93"/>
    </w:p>
    <w:p>
      <w:pPr>
        <w:pStyle w:val="28"/>
        <w:rPr>
          <w:rFonts w:hint="default"/>
          <w:color w:val="auto"/>
          <w:highlight w:val="none"/>
        </w:rPr>
      </w:pPr>
      <w:r>
        <w:rPr>
          <w:rFonts w:hint="eastAsia"/>
          <w:color w:val="auto"/>
          <w:highlight w:val="none"/>
        </w:rPr>
        <w:t>地域のニーズと提供状況を的確に把握し、今後必要なサービス提供体制を整備するとともに、人口が少ない地域においても、必要なサービスを提供できる体制を維持するため、介護事業所等と連携を図って取り組むことが重要です。</w:t>
      </w:r>
    </w:p>
    <w:p>
      <w:pPr>
        <w:pStyle w:val="0"/>
        <w:spacing w:line="0" w:lineRule="atLeast"/>
        <w:rPr>
          <w:rFonts w:hint="default"/>
          <w:color w:val="auto"/>
          <w:sz w:val="24"/>
          <w:highlight w:val="none"/>
        </w:rPr>
      </w:pPr>
    </w:p>
    <w:p>
      <w:pPr>
        <w:pStyle w:val="26"/>
        <w:spacing w:after="76" w:afterLines="0" w:afterAutospacing="0"/>
        <w:rPr>
          <w:rFonts w:hint="default"/>
          <w:color w:val="auto"/>
          <w:highlight w:val="none"/>
        </w:rPr>
      </w:pPr>
      <w:bookmarkStart w:id="94" w:name="_Toc150813527"/>
      <w:bookmarkStart w:id="95" w:name="_Toc152155851"/>
      <w:bookmarkStart w:id="96" w:name="_Toc152160654"/>
      <w:r>
        <w:rPr>
          <w:rFonts w:hint="eastAsia"/>
          <w:color w:val="auto"/>
          <w:highlight w:val="none"/>
        </w:rPr>
        <w:t>（６）　総合的な介護人材の確保</w:t>
      </w:r>
      <w:bookmarkEnd w:id="94"/>
      <w:bookmarkEnd w:id="95"/>
      <w:bookmarkEnd w:id="96"/>
    </w:p>
    <w:p>
      <w:pPr>
        <w:pStyle w:val="28"/>
        <w:rPr>
          <w:rFonts w:hint="default"/>
          <w:color w:val="auto"/>
          <w:highlight w:val="none"/>
        </w:rPr>
      </w:pPr>
      <w:r>
        <w:rPr>
          <w:rFonts w:hint="eastAsia"/>
          <w:color w:val="auto"/>
          <w:highlight w:val="none"/>
        </w:rPr>
        <w:t>介護人材を確保するため、処遇の改善、人材育成への支援、職場環境の改善による離職防止等の取組を総合的に実施していく必要があります。</w:t>
      </w:r>
    </w:p>
    <w:p>
      <w:pPr>
        <w:pStyle w:val="28"/>
        <w:rPr>
          <w:rFonts w:hint="default"/>
          <w:color w:val="auto"/>
          <w:highlight w:val="none"/>
        </w:rPr>
      </w:pPr>
      <w:r>
        <w:rPr>
          <w:rFonts w:hint="eastAsia"/>
          <w:color w:val="auto"/>
          <w:highlight w:val="none"/>
        </w:rPr>
        <w:t>介護現場へＩＣＴや介護ロボット等の導入を支援し、業務効率化進めることで安心して働きやすい職場づくりを推進する事が重要です。</w:t>
      </w:r>
      <w:r>
        <w:rPr>
          <w:rFonts w:hint="default"/>
          <w:color w:val="auto"/>
          <w:highlight w:val="none"/>
        </w:rPr>
        <w:br w:type="page"/>
      </w:r>
    </w:p>
    <w:p>
      <w:pPr>
        <w:pStyle w:val="20"/>
        <w:rPr>
          <w:rFonts w:hint="default"/>
          <w:color w:val="auto"/>
          <w:highlight w:val="none"/>
        </w:rPr>
      </w:pPr>
      <w:bookmarkStart w:id="97" w:name="_Toc152160655"/>
      <w:r>
        <w:rPr>
          <w:rFonts w:hint="eastAsia"/>
          <w:color w:val="auto"/>
          <w:highlight w:val="none"/>
        </w:rPr>
        <w:t>第４章　計画の基本的な考え方</w:t>
      </w:r>
      <w:bookmarkEnd w:id="97"/>
    </w:p>
    <w:p>
      <w:pPr>
        <w:pStyle w:val="22"/>
        <w:spacing w:after="76" w:afterLines="0" w:afterAutospacing="0"/>
        <w:rPr>
          <w:rFonts w:hint="default"/>
          <w:color w:val="auto"/>
          <w:highlight w:val="none"/>
        </w:rPr>
      </w:pPr>
      <w:bookmarkStart w:id="98" w:name="_Toc152160656"/>
      <w:r>
        <w:rPr>
          <w:rFonts w:hint="eastAsia"/>
          <w:color w:val="auto"/>
          <w:highlight w:val="none"/>
        </w:rPr>
        <mc:AlternateContent>
          <mc:Choice Requires="wps">
            <w:drawing>
              <wp:anchor distT="0" distB="0" distL="114300" distR="114300" simplePos="0" relativeHeight="124" behindDoc="0" locked="0" layoutInCell="1" hidden="0" allowOverlap="1">
                <wp:simplePos x="0" y="0"/>
                <wp:positionH relativeFrom="column">
                  <wp:posOffset>13970</wp:posOffset>
                </wp:positionH>
                <wp:positionV relativeFrom="paragraph">
                  <wp:posOffset>407670</wp:posOffset>
                </wp:positionV>
                <wp:extent cx="5772150" cy="1457960"/>
                <wp:effectExtent l="635" t="635" r="635" b="635"/>
                <wp:wrapNone/>
                <wp:docPr id="1155" name="角丸四角形 25"/>
                <a:graphic xmlns:a="http://schemas.openxmlformats.org/drawingml/2006/main">
                  <a:graphicData uri="http://schemas.microsoft.com/office/word/2010/wordprocessingShape">
                    <wps:wsp>
                      <wps:cNvPr id="1155" name="角丸四角形 25"/>
                      <wps:cNvSpPr/>
                      <wps:spPr>
                        <a:xfrm>
                          <a:off x="0" y="0"/>
                          <a:ext cx="5772150" cy="1457960"/>
                        </a:xfrm>
                        <a:prstGeom prst="roundRect">
                          <a:avLst>
                            <a:gd name="adj" fmla="val 13510"/>
                          </a:avLst>
                        </a:prstGeom>
                        <a:solidFill>
                          <a:srgbClr val="CCECFF"/>
                        </a:solidFill>
                        <a:ln w="25400" cap="flat" cmpd="sng" algn="ctr">
                          <a:noFill/>
                          <a:prstDash val="solid"/>
                        </a:ln>
                        <a:effectLst/>
                      </wps:spPr>
                      <wps:txbx>
                        <w:txbxContent>
                          <w:p>
                            <w:pPr>
                              <w:pStyle w:val="0"/>
                              <w:spacing w:line="640" w:lineRule="exact"/>
                              <w:ind w:left="770" w:leftChars="350" w:right="770" w:rightChars="350"/>
                              <w:jc w:val="left"/>
                              <w:rPr>
                                <w:rFonts w:hint="default" w:ascii="メイリオ" w:hAnsi="メイリオ" w:eastAsia="メイリオ"/>
                                <w:b w:val="1"/>
                                <w:color w:val="000000" w:themeColor="text1"/>
                                <w:sz w:val="40"/>
                              </w:rPr>
                            </w:pPr>
                            <w:r>
                              <w:rPr>
                                <w:rFonts w:hint="eastAsia" w:ascii="メイリオ" w:hAnsi="メイリオ" w:eastAsia="メイリオ"/>
                                <w:b w:val="1"/>
                                <w:color w:val="000000" w:themeColor="text1"/>
                                <w:sz w:val="40"/>
                              </w:rPr>
                              <w:t>誰もが住み慣れた</w:t>
                            </w:r>
                            <w:r>
                              <w:rPr>
                                <w:rFonts w:hint="default" w:ascii="メイリオ" w:hAnsi="メイリオ" w:eastAsia="メイリオ"/>
                                <w:b w:val="1"/>
                                <w:color w:val="000000" w:themeColor="text1"/>
                                <w:sz w:val="40"/>
                              </w:rPr>
                              <w:t>地域で安心して</w:t>
                            </w:r>
                          </w:p>
                          <w:p>
                            <w:pPr>
                              <w:pStyle w:val="0"/>
                              <w:spacing w:line="640" w:lineRule="exact"/>
                              <w:ind w:left="770" w:leftChars="350" w:right="770" w:rightChars="350"/>
                              <w:jc w:val="right"/>
                              <w:rPr>
                                <w:rFonts w:hint="default" w:ascii="メイリオ" w:hAnsi="メイリオ" w:eastAsia="メイリオ"/>
                                <w:b w:val="1"/>
                                <w:color w:val="000000" w:themeColor="text1"/>
                                <w:sz w:val="40"/>
                              </w:rPr>
                            </w:pPr>
                            <w:r>
                              <w:rPr>
                                <w:rFonts w:hint="eastAsia" w:ascii="メイリオ" w:hAnsi="メイリオ" w:eastAsia="メイリオ"/>
                                <w:b w:val="1"/>
                                <w:color w:val="000000" w:themeColor="text1"/>
                                <w:sz w:val="40"/>
                              </w:rPr>
                              <w:t>暮らし</w:t>
                            </w:r>
                            <w:r>
                              <w:rPr>
                                <w:rFonts w:hint="default" w:ascii="メイリオ" w:hAnsi="メイリオ" w:eastAsia="メイリオ"/>
                                <w:b w:val="1"/>
                                <w:color w:val="000000" w:themeColor="text1"/>
                                <w:sz w:val="40"/>
                              </w:rPr>
                              <w:t>続けられるまち</w:t>
                            </w:r>
                            <w:r>
                              <w:rPr>
                                <w:rFonts w:hint="eastAsia" w:ascii="メイリオ" w:hAnsi="メイリオ" w:eastAsia="メイリオ"/>
                                <w:b w:val="1"/>
                                <w:color w:val="000000" w:themeColor="text1"/>
                                <w:sz w:val="40"/>
                              </w:rPr>
                              <w:t>　</w:t>
                            </w:r>
                            <w:r>
                              <w:rPr>
                                <w:rFonts w:hint="default" w:ascii="メイリオ" w:hAnsi="メイリオ" w:eastAsia="メイリオ"/>
                                <w:b w:val="1"/>
                                <w:color w:val="000000" w:themeColor="text1"/>
                                <w:sz w:val="40"/>
                              </w:rPr>
                              <w:t>はつかいち</w:t>
                            </w:r>
                          </w:p>
                          <w:p>
                            <w:pPr>
                              <w:pStyle w:val="0"/>
                              <w:spacing w:before="74" w:beforeLines="20" w:beforeAutospacing="0" w:line="640" w:lineRule="exact"/>
                              <w:jc w:val="center"/>
                              <w:rPr>
                                <w:rFonts w:hint="default" w:ascii="メイリオ" w:hAnsi="メイリオ" w:eastAsia="メイリオ"/>
                                <w:b w:val="1"/>
                                <w:color w:val="000000" w:themeColor="text1"/>
                                <w:sz w:val="32"/>
                              </w:rPr>
                            </w:pPr>
                            <w:r>
                              <w:rPr>
                                <w:rFonts w:hint="eastAsia" w:ascii="メイリオ" w:hAnsi="メイリオ" w:eastAsia="メイリオ"/>
                                <w:b w:val="1"/>
                                <w:color w:val="002060"/>
                                <w:sz w:val="28"/>
                              </w:rPr>
                              <w:t>~</w:t>
                            </w:r>
                            <w:r>
                              <w:rPr>
                                <w:rFonts w:hint="eastAsia" w:ascii="メイリオ" w:hAnsi="メイリオ" w:eastAsia="メイリオ"/>
                                <w:b w:val="1"/>
                                <w:color w:val="002060"/>
                                <w:sz w:val="28"/>
                              </w:rPr>
                              <w:t>地域共生社会実現のための</w:t>
                            </w:r>
                            <w:r>
                              <w:rPr>
                                <w:rFonts w:hint="default" w:ascii="メイリオ" w:hAnsi="メイリオ" w:eastAsia="メイリオ"/>
                                <w:b w:val="1"/>
                                <w:color w:val="002060"/>
                                <w:sz w:val="28"/>
                              </w:rPr>
                              <w:t>地域包括ケアシステム</w:t>
                            </w:r>
                            <w:r>
                              <w:rPr>
                                <w:rFonts w:hint="eastAsia" w:ascii="メイリオ" w:hAnsi="メイリオ" w:eastAsia="メイリオ"/>
                                <w:b w:val="1"/>
                                <w:color w:val="002060"/>
                                <w:sz w:val="28"/>
                              </w:rPr>
                              <w:t>の深化・推進</w:t>
                            </w:r>
                            <w:r>
                              <w:rPr>
                                <w:rFonts w:hint="default" w:ascii="メイリオ" w:hAnsi="メイリオ" w:eastAsia="メイリオ"/>
                                <w:b w:val="1"/>
                                <w:color w:val="002060"/>
                                <w:sz w:val="28"/>
                              </w:rPr>
                              <w:t>~</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roundrect id="角丸四角形 25" style="mso-wrap-distance-right:9pt;mso-wrap-distance-bottom:0pt;margin-top:32.1pt;mso-position-vertical-relative:text;mso-position-horizontal-relative:text;v-text-anchor:middle;position:absolute;height:114.8pt;mso-wrap-distance-top:0pt;width:454.5pt;mso-wrap-distance-left:9pt;margin-left:1.1000000000000001pt;z-index:124;" o:spid="_x0000_s1155" o:allowincell="t" o:allowoverlap="t" filled="t" fillcolor="#ccecff" stroked="f" strokeweight="2pt" o:spt="2" arcsize="8853f">
                <v:fill/>
                <v:stroke linestyle="single" endcap="flat" dashstyle="solid"/>
                <v:textbox style="layout-flow:horizontal;" inset="0.99999999999999978mm,0.99999999999999978mm,0.99999999999999978mm,0.99999999999999978mm">
                  <w:txbxContent>
                    <w:p>
                      <w:pPr>
                        <w:pStyle w:val="0"/>
                        <w:spacing w:line="640" w:lineRule="exact"/>
                        <w:ind w:left="770" w:leftChars="350" w:right="770" w:rightChars="350"/>
                        <w:jc w:val="left"/>
                        <w:rPr>
                          <w:rFonts w:hint="default" w:ascii="メイリオ" w:hAnsi="メイリオ" w:eastAsia="メイリオ"/>
                          <w:b w:val="1"/>
                          <w:color w:val="000000" w:themeColor="text1"/>
                          <w:sz w:val="40"/>
                        </w:rPr>
                      </w:pPr>
                      <w:r>
                        <w:rPr>
                          <w:rFonts w:hint="eastAsia" w:ascii="メイリオ" w:hAnsi="メイリオ" w:eastAsia="メイリオ"/>
                          <w:b w:val="1"/>
                          <w:color w:val="000000" w:themeColor="text1"/>
                          <w:sz w:val="40"/>
                        </w:rPr>
                        <w:t>誰もが住み慣れた</w:t>
                      </w:r>
                      <w:r>
                        <w:rPr>
                          <w:rFonts w:hint="default" w:ascii="メイリオ" w:hAnsi="メイリオ" w:eastAsia="メイリオ"/>
                          <w:b w:val="1"/>
                          <w:color w:val="000000" w:themeColor="text1"/>
                          <w:sz w:val="40"/>
                        </w:rPr>
                        <w:t>地域で安心して</w:t>
                      </w:r>
                    </w:p>
                    <w:p>
                      <w:pPr>
                        <w:pStyle w:val="0"/>
                        <w:spacing w:line="640" w:lineRule="exact"/>
                        <w:ind w:left="770" w:leftChars="350" w:right="770" w:rightChars="350"/>
                        <w:jc w:val="right"/>
                        <w:rPr>
                          <w:rFonts w:hint="default" w:ascii="メイリオ" w:hAnsi="メイリオ" w:eastAsia="メイリオ"/>
                          <w:b w:val="1"/>
                          <w:color w:val="000000" w:themeColor="text1"/>
                          <w:sz w:val="40"/>
                        </w:rPr>
                      </w:pPr>
                      <w:r>
                        <w:rPr>
                          <w:rFonts w:hint="eastAsia" w:ascii="メイリオ" w:hAnsi="メイリオ" w:eastAsia="メイリオ"/>
                          <w:b w:val="1"/>
                          <w:color w:val="000000" w:themeColor="text1"/>
                          <w:sz w:val="40"/>
                        </w:rPr>
                        <w:t>暮らし</w:t>
                      </w:r>
                      <w:r>
                        <w:rPr>
                          <w:rFonts w:hint="default" w:ascii="メイリオ" w:hAnsi="メイリオ" w:eastAsia="メイリオ"/>
                          <w:b w:val="1"/>
                          <w:color w:val="000000" w:themeColor="text1"/>
                          <w:sz w:val="40"/>
                        </w:rPr>
                        <w:t>続けられるまち</w:t>
                      </w:r>
                      <w:r>
                        <w:rPr>
                          <w:rFonts w:hint="eastAsia" w:ascii="メイリオ" w:hAnsi="メイリオ" w:eastAsia="メイリオ"/>
                          <w:b w:val="1"/>
                          <w:color w:val="000000" w:themeColor="text1"/>
                          <w:sz w:val="40"/>
                        </w:rPr>
                        <w:t>　</w:t>
                      </w:r>
                      <w:r>
                        <w:rPr>
                          <w:rFonts w:hint="default" w:ascii="メイリオ" w:hAnsi="メイリオ" w:eastAsia="メイリオ"/>
                          <w:b w:val="1"/>
                          <w:color w:val="000000" w:themeColor="text1"/>
                          <w:sz w:val="40"/>
                        </w:rPr>
                        <w:t>はつかいち</w:t>
                      </w:r>
                    </w:p>
                    <w:p>
                      <w:pPr>
                        <w:pStyle w:val="0"/>
                        <w:spacing w:before="74" w:beforeLines="20" w:beforeAutospacing="0" w:line="640" w:lineRule="exact"/>
                        <w:jc w:val="center"/>
                        <w:rPr>
                          <w:rFonts w:hint="default" w:ascii="メイリオ" w:hAnsi="メイリオ" w:eastAsia="メイリオ"/>
                          <w:b w:val="1"/>
                          <w:color w:val="000000" w:themeColor="text1"/>
                          <w:sz w:val="32"/>
                        </w:rPr>
                      </w:pPr>
                      <w:r>
                        <w:rPr>
                          <w:rFonts w:hint="eastAsia" w:ascii="メイリオ" w:hAnsi="メイリオ" w:eastAsia="メイリオ"/>
                          <w:b w:val="1"/>
                          <w:color w:val="002060"/>
                          <w:sz w:val="28"/>
                        </w:rPr>
                        <w:t>~</w:t>
                      </w:r>
                      <w:r>
                        <w:rPr>
                          <w:rFonts w:hint="eastAsia" w:ascii="メイリオ" w:hAnsi="メイリオ" w:eastAsia="メイリオ"/>
                          <w:b w:val="1"/>
                          <w:color w:val="002060"/>
                          <w:sz w:val="28"/>
                        </w:rPr>
                        <w:t>地域共生社会実現のための</w:t>
                      </w:r>
                      <w:r>
                        <w:rPr>
                          <w:rFonts w:hint="default" w:ascii="メイリオ" w:hAnsi="メイリオ" w:eastAsia="メイリオ"/>
                          <w:b w:val="1"/>
                          <w:color w:val="002060"/>
                          <w:sz w:val="28"/>
                        </w:rPr>
                        <w:t>地域包括ケアシステム</w:t>
                      </w:r>
                      <w:r>
                        <w:rPr>
                          <w:rFonts w:hint="eastAsia" w:ascii="メイリオ" w:hAnsi="メイリオ" w:eastAsia="メイリオ"/>
                          <w:b w:val="1"/>
                          <w:color w:val="002060"/>
                          <w:sz w:val="28"/>
                        </w:rPr>
                        <w:t>の深化・推進</w:t>
                      </w:r>
                      <w:r>
                        <w:rPr>
                          <w:rFonts w:hint="default" w:ascii="メイリオ" w:hAnsi="メイリオ" w:eastAsia="メイリオ"/>
                          <w:b w:val="1"/>
                          <w:color w:val="002060"/>
                          <w:sz w:val="28"/>
                        </w:rPr>
                        <w:t>~</w:t>
                      </w:r>
                    </w:p>
                  </w:txbxContent>
                </v:textbox>
                <v:imagedata o:title=""/>
                <w10:wrap type="none" anchorx="text" anchory="text"/>
              </v:roundrect>
            </w:pict>
          </mc:Fallback>
        </mc:AlternateContent>
      </w:r>
      <w:r>
        <w:rPr>
          <w:rFonts w:hint="eastAsia"/>
          <w:color w:val="auto"/>
          <w:highlight w:val="none"/>
        </w:rPr>
        <w:t>１</w:t>
      </w:r>
      <w:r>
        <w:rPr>
          <w:rFonts w:hint="eastAsia"/>
          <w:color w:val="auto"/>
          <w:highlight w:val="none"/>
        </w:rPr>
        <w:t xml:space="preserve"> </w:t>
      </w:r>
      <w:r>
        <w:rPr>
          <w:rFonts w:hint="eastAsia"/>
          <w:color w:val="auto"/>
          <w:highlight w:val="none"/>
        </w:rPr>
        <w:t>第</w:t>
      </w:r>
      <w:r>
        <w:rPr>
          <w:rFonts w:hint="eastAsia"/>
          <w:color w:val="auto"/>
          <w:highlight w:val="none"/>
        </w:rPr>
        <w:t>9</w:t>
      </w:r>
      <w:r>
        <w:rPr>
          <w:rFonts w:hint="eastAsia"/>
          <w:color w:val="auto"/>
          <w:highlight w:val="none"/>
        </w:rPr>
        <w:t>期計画の基本理念</w:t>
      </w:r>
      <w:bookmarkEnd w:id="98"/>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24"/>
        <w:rPr>
          <w:rFonts w:hint="default"/>
          <w:color w:val="auto"/>
          <w:highlight w:val="none"/>
        </w:rPr>
      </w:pPr>
      <w:r>
        <w:rPr>
          <w:rFonts w:hint="eastAsia"/>
          <w:color w:val="auto"/>
          <w:highlight w:val="none"/>
        </w:rPr>
        <w:t>第９期計画においては、第８期計画の基本理念を継承し、「誰もが住み慣れた地域で安心して暮らし続けられるまち　はつかいち」を基本理念とします。</w:t>
      </w:r>
    </w:p>
    <w:p>
      <w:pPr>
        <w:pStyle w:val="0"/>
        <w:spacing w:line="380" w:lineRule="exact"/>
        <w:rPr>
          <w:rFonts w:hint="default"/>
          <w:color w:val="auto"/>
          <w:highlight w:val="none"/>
        </w:rPr>
      </w:pPr>
    </w:p>
    <w:p>
      <w:pPr>
        <w:pStyle w:val="22"/>
        <w:spacing w:after="76" w:afterLines="0" w:afterAutospacing="0"/>
        <w:rPr>
          <w:rFonts w:hint="default"/>
          <w:color w:val="auto"/>
          <w:highlight w:val="none"/>
        </w:rPr>
      </w:pPr>
      <w:bookmarkStart w:id="99" w:name="_Toc152160657"/>
      <w:r>
        <w:rPr>
          <w:rFonts w:hint="eastAsia"/>
          <w:color w:val="auto"/>
          <w:highlight w:val="none"/>
        </w:rPr>
        <mc:AlternateContent>
          <mc:Choice Requires="wps">
            <w:drawing>
              <wp:anchor distT="0" distB="0" distL="203200" distR="203200" simplePos="0" relativeHeight="127" behindDoc="0" locked="0" layoutInCell="1" hidden="0" allowOverlap="1">
                <wp:simplePos x="0" y="0"/>
                <wp:positionH relativeFrom="column">
                  <wp:posOffset>2690495</wp:posOffset>
                </wp:positionH>
                <wp:positionV relativeFrom="paragraph">
                  <wp:posOffset>360045</wp:posOffset>
                </wp:positionV>
                <wp:extent cx="3110230" cy="370840"/>
                <wp:effectExtent l="0" t="0" r="635" b="635"/>
                <wp:wrapNone/>
                <wp:docPr id="1156" name="オブジェクト 0"/>
                <a:graphic xmlns:a="http://schemas.openxmlformats.org/drawingml/2006/main">
                  <a:graphicData uri="http://schemas.microsoft.com/office/word/2010/wordprocessingShape">
                    <wps:wsp>
                      <wps:cNvPr id="1156" name="オブジェクト 0"/>
                      <wps:cNvSpPr/>
                      <wps:spPr>
                        <a:xfrm>
                          <a:off x="0" y="0"/>
                          <a:ext cx="3110230" cy="370840"/>
                        </a:xfrm>
                        <a:prstGeom prst="rect">
                          <a:avLst/>
                        </a:prstGeom>
                        <a:noFill/>
                        <a:ln w="25400" cap="flat" cmpd="sng" algn="ctr">
                          <a:noFill/>
                          <a:prstDash val="solid"/>
                        </a:ln>
                      </wps:spPr>
                      <wps:style>
                        <a:lnRef idx="2">
                          <a:schemeClr val="dk1"/>
                        </a:lnRef>
                        <a:fillRef idx="1">
                          <a:schemeClr val="lt1"/>
                        </a:fillRef>
                        <a:effectRef idx="0">
                          <a:schemeClr val="accent1"/>
                        </a:effectRef>
                        <a:fontRef idx="none">
                          <a:schemeClr val="dk1"/>
                        </a:fontRef>
                      </wps:style>
                      <wps:txbx>
                        <w:txbxContent>
                          <w:p>
                            <w:pPr>
                              <w:pStyle w:val="0"/>
                              <w:jc w:val="center"/>
                              <w:rPr>
                                <w:rFonts w:hint="default"/>
                                <w:color w:val="000000" w:themeColor="text1"/>
                              </w:rPr>
                            </w:pPr>
                            <w:r>
                              <w:rPr>
                                <w:rFonts w:hint="eastAsia"/>
                                <w:color w:val="000000" w:themeColor="text1"/>
                              </w:rPr>
                              <w:t>施策の方向性</w:t>
                            </w:r>
                          </w:p>
                        </w:txbxContent>
                      </wps:txbx>
                      <wps:bodyPr vertOverflow="overflow" horzOverflow="overflow" wrap="square" anchor="ctr"/>
                    </wps:wsp>
                  </a:graphicData>
                </a:graphic>
              </wp:anchor>
            </w:drawing>
          </mc:Choice>
          <mc:Fallback>
            <w:pict>
              <v:rect id="オブジェクト 0" style="mso-wrap-distance-right:16pt;mso-wrap-distance-bottom:0pt;margin-top:28.35pt;mso-position-vertical-relative:text;mso-position-horizontal-relative:text;v-text-anchor:middle;position:absolute;height:29.2pt;mso-wrap-distance-top:0pt;width:244.9pt;mso-wrap-distance-left:16pt;margin-left:211.85pt;z-index:127;" o:spid="_x0000_s1156" o:allowincell="t" o:allowoverlap="t" filled="f" stroked="f" strokecolor="#000000 [3200]" strokeweight="2pt" o:spt="1">
                <v:fill/>
                <v:stroke linestyle="single" miterlimit="8" endcap="flat" dashstyle="solid"/>
                <v:textbox style="layout-flow:horizontal;">
                  <w:txbxContent>
                    <w:p>
                      <w:pPr>
                        <w:pStyle w:val="0"/>
                        <w:jc w:val="center"/>
                        <w:rPr>
                          <w:rFonts w:hint="default"/>
                          <w:color w:val="000000" w:themeColor="text1"/>
                        </w:rPr>
                      </w:pPr>
                      <w:r>
                        <w:rPr>
                          <w:rFonts w:hint="eastAsia"/>
                          <w:color w:val="000000" w:themeColor="text1"/>
                        </w:rPr>
                        <w:t>施策の方向性</w:t>
                      </w:r>
                    </w:p>
                  </w:txbxContent>
                </v:textbox>
                <v:imagedata o:title=""/>
                <w10:wrap type="none" anchorx="text" anchory="text"/>
              </v:rect>
            </w:pict>
          </mc:Fallback>
        </mc:AlternateContent>
      </w:r>
      <w:r>
        <w:rPr>
          <w:rFonts w:hint="eastAsia"/>
          <w:color w:val="auto"/>
          <w:highlight w:val="none"/>
        </w:rPr>
        <mc:AlternateContent>
          <mc:Choice Requires="wps">
            <w:drawing>
              <wp:anchor distT="0" distB="0" distL="203200" distR="203200" simplePos="0" relativeHeight="126" behindDoc="0" locked="0" layoutInCell="1" hidden="0" allowOverlap="1">
                <wp:simplePos x="0" y="0"/>
                <wp:positionH relativeFrom="column">
                  <wp:posOffset>952500</wp:posOffset>
                </wp:positionH>
                <wp:positionV relativeFrom="paragraph">
                  <wp:posOffset>379095</wp:posOffset>
                </wp:positionV>
                <wp:extent cx="1650365" cy="370840"/>
                <wp:effectExtent l="0" t="0" r="635" b="635"/>
                <wp:wrapNone/>
                <wp:docPr id="1157" name="オブジェクト 0"/>
                <a:graphic xmlns:a="http://schemas.openxmlformats.org/drawingml/2006/main">
                  <a:graphicData uri="http://schemas.microsoft.com/office/word/2010/wordprocessingShape">
                    <wps:wsp>
                      <wps:cNvPr id="1157" name="オブジェクト 0"/>
                      <wps:cNvSpPr/>
                      <wps:spPr>
                        <a:xfrm>
                          <a:off x="0" y="0"/>
                          <a:ext cx="1650365" cy="370840"/>
                        </a:xfrm>
                        <a:prstGeom prst="rect">
                          <a:avLst/>
                        </a:prstGeom>
                        <a:noFill/>
                        <a:ln w="25400" cap="flat" cmpd="sng" algn="ctr">
                          <a:noFill/>
                          <a:prstDash val="solid"/>
                        </a:ln>
                      </wps:spPr>
                      <wps:style>
                        <a:lnRef idx="2">
                          <a:schemeClr val="dk1"/>
                        </a:lnRef>
                        <a:fillRef idx="1">
                          <a:schemeClr val="lt1"/>
                        </a:fillRef>
                        <a:effectRef idx="0">
                          <a:schemeClr val="accent1"/>
                        </a:effectRef>
                        <a:fontRef idx="none">
                          <a:schemeClr val="dk1"/>
                        </a:fontRef>
                      </wps:style>
                      <wps:txbx>
                        <w:txbxContent>
                          <w:p>
                            <w:pPr>
                              <w:pStyle w:val="0"/>
                              <w:jc w:val="center"/>
                              <w:rPr>
                                <w:rFonts w:hint="default"/>
                                <w:color w:val="000000" w:themeColor="text1"/>
                              </w:rPr>
                            </w:pPr>
                            <w:r>
                              <w:rPr>
                                <w:rFonts w:hint="eastAsia"/>
                                <w:color w:val="000000" w:themeColor="text1"/>
                              </w:rPr>
                              <w:t>基本方針</w:t>
                            </w:r>
                          </w:p>
                        </w:txbxContent>
                      </wps:txbx>
                      <wps:bodyPr vertOverflow="overflow" horzOverflow="overflow" wrap="square" anchor="ctr"/>
                    </wps:wsp>
                  </a:graphicData>
                </a:graphic>
              </wp:anchor>
            </w:drawing>
          </mc:Choice>
          <mc:Fallback>
            <w:pict>
              <v:rect id="オブジェクト 0" style="mso-wrap-distance-right:16pt;mso-wrap-distance-bottom:0pt;margin-top:29.85pt;mso-position-vertical-relative:text;mso-position-horizontal-relative:text;v-text-anchor:middle;position:absolute;height:29.2pt;mso-wrap-distance-top:0pt;width:129.94pt;mso-wrap-distance-left:16pt;margin-left:75pt;z-index:126;" o:spid="_x0000_s1157" o:allowincell="t" o:allowoverlap="t" filled="f" stroked="f" strokecolor="#000000 [3200]" strokeweight="2pt" o:spt="1">
                <v:fill/>
                <v:stroke linestyle="single" miterlimit="8" endcap="flat" dashstyle="solid"/>
                <v:textbox style="layout-flow:horizontal;">
                  <w:txbxContent>
                    <w:p>
                      <w:pPr>
                        <w:pStyle w:val="0"/>
                        <w:jc w:val="center"/>
                        <w:rPr>
                          <w:rFonts w:hint="default"/>
                          <w:color w:val="000000" w:themeColor="text1"/>
                        </w:rPr>
                      </w:pPr>
                      <w:r>
                        <w:rPr>
                          <w:rFonts w:hint="eastAsia"/>
                          <w:color w:val="000000" w:themeColor="text1"/>
                        </w:rPr>
                        <w:t>基本方針</w:t>
                      </w:r>
                    </w:p>
                  </w:txbxContent>
                </v:textbox>
                <v:imagedata o:title=""/>
                <w10:wrap type="none" anchorx="text" anchory="text"/>
              </v:rect>
            </w:pict>
          </mc:Fallback>
        </mc:AlternateContent>
      </w:r>
      <w:r>
        <w:rPr>
          <w:rFonts w:hint="eastAsia"/>
          <w:color w:val="auto"/>
          <w:highlight w:val="none"/>
        </w:rPr>
        <mc:AlternateContent>
          <mc:Choice Requires="wps">
            <w:drawing>
              <wp:anchor distT="0" distB="0" distL="203200" distR="203200" simplePos="0" relativeHeight="125" behindDoc="0" locked="0" layoutInCell="1" hidden="0" allowOverlap="1">
                <wp:simplePos x="0" y="0"/>
                <wp:positionH relativeFrom="column">
                  <wp:posOffset>-52705</wp:posOffset>
                </wp:positionH>
                <wp:positionV relativeFrom="paragraph">
                  <wp:posOffset>388620</wp:posOffset>
                </wp:positionV>
                <wp:extent cx="839470" cy="370840"/>
                <wp:effectExtent l="0" t="0" r="635" b="635"/>
                <wp:wrapNone/>
                <wp:docPr id="1158" name="オブジェクト 0"/>
                <a:graphic xmlns:a="http://schemas.openxmlformats.org/drawingml/2006/main">
                  <a:graphicData uri="http://schemas.microsoft.com/office/word/2010/wordprocessingShape">
                    <wps:wsp>
                      <wps:cNvPr id="1158" name="オブジェクト 0"/>
                      <wps:cNvSpPr/>
                      <wps:spPr>
                        <a:xfrm>
                          <a:off x="0" y="0"/>
                          <a:ext cx="839470" cy="370840"/>
                        </a:xfrm>
                        <a:prstGeom prst="rect">
                          <a:avLst/>
                        </a:prstGeom>
                        <a:noFill/>
                        <a:ln w="25400" cap="flat" cmpd="sng" algn="ctr">
                          <a:noFill/>
                          <a:prstDash val="solid"/>
                        </a:ln>
                      </wps:spPr>
                      <wps:style>
                        <a:lnRef idx="2">
                          <a:schemeClr val="dk1"/>
                        </a:lnRef>
                        <a:fillRef idx="1">
                          <a:schemeClr val="lt1"/>
                        </a:fillRef>
                        <a:effectRef idx="0">
                          <a:schemeClr val="accent1"/>
                        </a:effectRef>
                        <a:fontRef idx="none">
                          <a:schemeClr val="dk1"/>
                        </a:fontRef>
                      </wps:style>
                      <wps:txbx>
                        <w:txbxContent>
                          <w:p>
                            <w:pPr>
                              <w:pStyle w:val="0"/>
                              <w:jc w:val="center"/>
                              <w:rPr>
                                <w:rFonts w:hint="default"/>
                                <w:color w:val="000000" w:themeColor="text1"/>
                              </w:rPr>
                            </w:pPr>
                            <w:r>
                              <w:rPr>
                                <w:rFonts w:hint="eastAsia"/>
                                <w:color w:val="000000" w:themeColor="text1"/>
                              </w:rPr>
                              <w:t>基本理念</w:t>
                            </w:r>
                          </w:p>
                        </w:txbxContent>
                      </wps:txbx>
                      <wps:bodyPr vertOverflow="overflow" horzOverflow="overflow" wrap="square" anchor="ctr"/>
                    </wps:wsp>
                  </a:graphicData>
                </a:graphic>
              </wp:anchor>
            </w:drawing>
          </mc:Choice>
          <mc:Fallback>
            <w:pict>
              <v:rect id="オブジェクト 0" style="mso-wrap-distance-right:16pt;mso-wrap-distance-bottom:0pt;margin-top:30.6pt;mso-position-vertical-relative:text;mso-position-horizontal-relative:text;v-text-anchor:middle;position:absolute;height:29.2pt;mso-wrap-distance-top:0pt;width:66.09pt;mso-wrap-distance-left:16pt;margin-left:-4.1500000000000004pt;z-index:125;" o:spid="_x0000_s1158" o:allowincell="t" o:allowoverlap="t" filled="f" stroked="f" strokecolor="#000000 [3200]" strokeweight="2pt" o:spt="1">
                <v:fill/>
                <v:stroke linestyle="single" miterlimit="8" endcap="flat" dashstyle="solid"/>
                <v:textbox style="layout-flow:horizontal;">
                  <w:txbxContent>
                    <w:p>
                      <w:pPr>
                        <w:pStyle w:val="0"/>
                        <w:jc w:val="center"/>
                        <w:rPr>
                          <w:rFonts w:hint="default"/>
                          <w:color w:val="000000" w:themeColor="text1"/>
                        </w:rPr>
                      </w:pPr>
                      <w:r>
                        <w:rPr>
                          <w:rFonts w:hint="eastAsia"/>
                          <w:color w:val="000000" w:themeColor="text1"/>
                        </w:rPr>
                        <w:t>基本理念</w:t>
                      </w:r>
                    </w:p>
                  </w:txbxContent>
                </v:textbox>
                <v:imagedata o:title=""/>
                <w10:wrap type="none" anchorx="text" anchory="text"/>
              </v:rect>
            </w:pict>
          </mc:Fallback>
        </mc:AlternateContent>
      </w:r>
      <w:r>
        <w:rPr>
          <w:rFonts w:hint="eastAsia"/>
          <w:color w:val="auto"/>
          <w:highlight w:val="none"/>
        </w:rPr>
        <w:t>２</w:t>
      </w:r>
      <w:r>
        <w:rPr>
          <w:rFonts w:hint="eastAsia"/>
          <w:color w:val="auto"/>
          <w:highlight w:val="none"/>
        </w:rPr>
        <w:t xml:space="preserve"> </w:t>
      </w:r>
      <w:r>
        <w:rPr>
          <w:rFonts w:hint="eastAsia"/>
          <w:color w:val="auto"/>
          <w:highlight w:val="none"/>
        </w:rPr>
        <w:t>施策体系</w:t>
      </w:r>
      <w:bookmarkEnd w:id="99"/>
    </w:p>
    <w:p>
      <w:pPr>
        <w:pStyle w:val="0"/>
        <w:spacing w:line="380" w:lineRule="exact"/>
        <w:rPr>
          <w:rFonts w:hint="default"/>
          <w:color w:val="auto"/>
          <w:highlight w:val="none"/>
        </w:rPr>
      </w:pPr>
    </w:p>
    <w:p>
      <w:pPr>
        <w:pStyle w:val="0"/>
        <w:spacing w:line="380" w:lineRule="exact"/>
        <w:rPr>
          <w:rFonts w:hint="default"/>
          <w:color w:val="auto"/>
          <w:highlight w:val="none"/>
        </w:rPr>
      </w:pPr>
      <w:r>
        <w:rPr>
          <w:rFonts w:hint="eastAsia"/>
          <w:color w:val="auto"/>
          <w:highlight w:val="none"/>
        </w:rPr>
        <mc:AlternateContent>
          <mc:Choice Requires="wps">
            <w:drawing>
              <wp:anchor distT="0" distB="0" distL="114300" distR="114300" simplePos="0" relativeHeight="111" behindDoc="0" locked="0" layoutInCell="1" hidden="0" allowOverlap="1">
                <wp:simplePos x="0" y="0"/>
                <wp:positionH relativeFrom="column">
                  <wp:posOffset>13970</wp:posOffset>
                </wp:positionH>
                <wp:positionV relativeFrom="paragraph">
                  <wp:posOffset>38100</wp:posOffset>
                </wp:positionV>
                <wp:extent cx="723900" cy="5410200"/>
                <wp:effectExtent l="635" t="635" r="29845" b="10795"/>
                <wp:wrapNone/>
                <wp:docPr id="1159" name="角丸四角形 13"/>
                <a:graphic xmlns:a="http://schemas.openxmlformats.org/drawingml/2006/main">
                  <a:graphicData uri="http://schemas.microsoft.com/office/word/2010/wordprocessingShape">
                    <wps:wsp>
                      <wps:cNvPr id="1159" name="角丸四角形 13"/>
                      <wps:cNvSpPr/>
                      <wps:spPr>
                        <a:xfrm>
                          <a:off x="0" y="0"/>
                          <a:ext cx="723900" cy="5410200"/>
                        </a:xfrm>
                        <a:prstGeom prst="roundRect">
                          <a:avLst>
                            <a:gd name="adj" fmla="val 0"/>
                          </a:avLst>
                        </a:prstGeom>
                        <a:solidFill>
                          <a:sysClr val="window" lastClr="FFFFFF"/>
                        </a:solidFill>
                        <a:ln w="6350" cap="flat" cmpd="dbl" algn="ctr">
                          <a:solidFill>
                            <a:srgbClr val="0070C0"/>
                          </a:solidFill>
                          <a:prstDash val="solid"/>
                        </a:ln>
                        <a:effectLst/>
                      </wps:spPr>
                      <wps:txbx>
                        <w:txbxContent>
                          <w:p>
                            <w:pPr>
                              <w:pStyle w:val="0"/>
                              <w:spacing w:line="280" w:lineRule="exact"/>
                              <w:jc w:val="center"/>
                              <w:rPr>
                                <w:rFonts w:hint="default" w:ascii="メイリオ" w:hAnsi="メイリオ" w:eastAsia="メイリオ"/>
                                <w:b w:val="1"/>
                                <w:color w:val="000000" w:themeColor="text1"/>
                                <w:sz w:val="27"/>
                              </w:rPr>
                            </w:pPr>
                            <w:r>
                              <w:rPr>
                                <w:rFonts w:hint="eastAsia" w:ascii="メイリオ" w:hAnsi="メイリオ" w:eastAsia="メイリオ"/>
                                <w:b w:val="1"/>
                                <w:color w:val="000000" w:themeColor="text1"/>
                                <w:sz w:val="27"/>
                              </w:rPr>
                              <w:t>誰もが住み慣れた地域で安心して暮らし続けられるまち　はつかいち</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oundrect id="角丸四角形 13" style="mso-wrap-distance-right:9pt;mso-wrap-distance-bottom:0pt;margin-top:3pt;mso-position-vertical-relative:text;mso-position-horizontal-relative:text;v-text-anchor:middle;position:absolute;height:426pt;mso-wrap-distance-top:0pt;width:57pt;mso-wrap-distance-left:9pt;margin-left:1.1000000000000001pt;z-index:111;" o:spid="_x0000_s1159" o:allowincell="t" o:allowoverlap="t" filled="t" fillcolor="#ffffff" stroked="t" strokecolor="#0070c0" strokeweight="0.5pt" o:spt="2" arcsize="0f">
                <v:fill/>
                <v:stroke linestyle="thinThin" endcap="flat" dashstyle="solid" filltype="solid"/>
                <v:textbox style="layout-flow:vertical-ideographic;" inset="0mm,0mm,0mm,0mm">
                  <w:txbxContent>
                    <w:p>
                      <w:pPr>
                        <w:pStyle w:val="0"/>
                        <w:spacing w:line="280" w:lineRule="exact"/>
                        <w:jc w:val="center"/>
                        <w:rPr>
                          <w:rFonts w:hint="default" w:ascii="メイリオ" w:hAnsi="メイリオ" w:eastAsia="メイリオ"/>
                          <w:b w:val="1"/>
                          <w:color w:val="000000" w:themeColor="text1"/>
                          <w:sz w:val="27"/>
                        </w:rPr>
                      </w:pPr>
                      <w:r>
                        <w:rPr>
                          <w:rFonts w:hint="eastAsia" w:ascii="メイリオ" w:hAnsi="メイリオ" w:eastAsia="メイリオ"/>
                          <w:b w:val="1"/>
                          <w:color w:val="000000" w:themeColor="text1"/>
                          <w:sz w:val="27"/>
                        </w:rPr>
                        <w:t>誰もが住み慣れた地域で安心して暮らし続けられるまち　はつかいち</w:t>
                      </w:r>
                    </w:p>
                  </w:txbxContent>
                </v:textbox>
                <v:imagedata o:title=""/>
                <w10:wrap type="none" anchorx="text" anchory="text"/>
              </v:roundrect>
            </w:pict>
          </mc:Fallback>
        </mc:AlternateContent>
      </w:r>
      <w:r>
        <w:rPr>
          <w:rFonts w:hint="eastAsia"/>
          <w:color w:val="auto"/>
          <w:highlight w:val="none"/>
        </w:rPr>
        <mc:AlternateContent>
          <mc:Choice Requires="wps">
            <w:drawing>
              <wp:anchor distT="0" distB="0" distL="114300" distR="114300" simplePos="0" relativeHeight="121" behindDoc="0" locked="0" layoutInCell="1" hidden="0" allowOverlap="1">
                <wp:simplePos x="0" y="0"/>
                <wp:positionH relativeFrom="column">
                  <wp:posOffset>2726055</wp:posOffset>
                </wp:positionH>
                <wp:positionV relativeFrom="paragraph">
                  <wp:posOffset>58420</wp:posOffset>
                </wp:positionV>
                <wp:extent cx="3086100" cy="1331595"/>
                <wp:effectExtent l="635" t="635" r="29845" b="10795"/>
                <wp:wrapNone/>
                <wp:docPr id="1160" name="角丸四角形 37"/>
                <a:graphic xmlns:a="http://schemas.openxmlformats.org/drawingml/2006/main">
                  <a:graphicData uri="http://schemas.microsoft.com/office/word/2010/wordprocessingShape">
                    <wps:wsp>
                      <wps:cNvPr id="1160" name="角丸四角形 37"/>
                      <wps:cNvSpPr/>
                      <wps:spPr>
                        <a:xfrm>
                          <a:off x="0" y="0"/>
                          <a:ext cx="3086100" cy="1331595"/>
                        </a:xfrm>
                        <a:prstGeom prst="roundRect">
                          <a:avLst>
                            <a:gd name="adj" fmla="val 7309"/>
                          </a:avLst>
                        </a:prstGeom>
                        <a:solidFill>
                          <a:sysClr val="window" lastClr="FFFFFF"/>
                        </a:solidFill>
                        <a:ln w="6350" cap="flat" cmpd="sng" algn="ctr">
                          <a:solidFill>
                            <a:sysClr val="windowText" lastClr="000000">
                              <a:lumMod val="75000"/>
                              <a:lumOff val="25000"/>
                            </a:sysClr>
                          </a:solidFill>
                          <a:prstDash val="solid"/>
                        </a:ln>
                        <a:effectLst/>
                      </wps:spPr>
                      <wps:txbx>
                        <w:txbxContent>
                          <w:p>
                            <w:pPr>
                              <w:pStyle w:val="0"/>
                              <w:spacing w:line="360" w:lineRule="exact"/>
                              <w:ind w:left="110" w:leftChars="50"/>
                              <w:jc w:val="left"/>
                              <w:rPr>
                                <w:rFonts w:hint="default" w:ascii="メイリオ" w:hAnsi="メイリオ" w:eastAsia="メイリオ"/>
                                <w:color w:val="000000" w:themeColor="text1"/>
                                <w:sz w:val="21"/>
                              </w:rPr>
                            </w:pPr>
                            <w:r>
                              <w:rPr>
                                <w:rFonts w:hint="eastAsia" w:ascii="メイリオ" w:hAnsi="メイリオ" w:eastAsia="メイリオ"/>
                                <w:color w:val="000000" w:themeColor="text1"/>
                                <w:sz w:val="21"/>
                              </w:rPr>
                              <w:t>（１）包括的な支援体制の構築</w:t>
                            </w:r>
                          </w:p>
                          <w:p>
                            <w:pPr>
                              <w:pStyle w:val="0"/>
                              <w:spacing w:line="360" w:lineRule="exact"/>
                              <w:ind w:left="110" w:leftChars="50"/>
                              <w:jc w:val="left"/>
                              <w:rPr>
                                <w:rFonts w:hint="default" w:ascii="メイリオ" w:hAnsi="メイリオ" w:eastAsia="メイリオ"/>
                                <w:color w:val="000000" w:themeColor="text1"/>
                                <w:sz w:val="21"/>
                              </w:rPr>
                            </w:pPr>
                            <w:r>
                              <w:rPr>
                                <w:rFonts w:hint="eastAsia" w:ascii="メイリオ" w:hAnsi="メイリオ" w:eastAsia="メイリオ"/>
                                <w:color w:val="000000" w:themeColor="text1"/>
                                <w:sz w:val="21"/>
                              </w:rPr>
                              <w:t>（２）医療と介護の連携強化</w:t>
                            </w:r>
                          </w:p>
                          <w:p>
                            <w:pPr>
                              <w:pStyle w:val="0"/>
                              <w:spacing w:line="360" w:lineRule="exact"/>
                              <w:ind w:left="110" w:leftChars="50"/>
                              <w:jc w:val="left"/>
                              <w:rPr>
                                <w:rFonts w:hint="default" w:ascii="メイリオ" w:hAnsi="メイリオ" w:eastAsia="メイリオ"/>
                                <w:color w:val="000000" w:themeColor="text1"/>
                                <w:sz w:val="21"/>
                              </w:rPr>
                            </w:pPr>
                            <w:r>
                              <w:rPr>
                                <w:rFonts w:hint="eastAsia" w:ascii="メイリオ" w:hAnsi="メイリオ" w:eastAsia="メイリオ"/>
                                <w:color w:val="000000" w:themeColor="text1"/>
                                <w:sz w:val="21"/>
                              </w:rPr>
                              <w:t>（３）高齢者の権利擁護・虐待防止の推進</w:t>
                            </w:r>
                          </w:p>
                          <w:p>
                            <w:pPr>
                              <w:pStyle w:val="0"/>
                              <w:spacing w:line="360" w:lineRule="exact"/>
                              <w:ind w:left="110" w:leftChars="50"/>
                              <w:jc w:val="left"/>
                              <w:rPr>
                                <w:rFonts w:hint="default" w:ascii="メイリオ" w:hAnsi="メイリオ" w:eastAsia="メイリオ"/>
                                <w:color w:val="000000" w:themeColor="text1"/>
                                <w:sz w:val="21"/>
                              </w:rPr>
                            </w:pPr>
                            <w:r>
                              <w:rPr>
                                <w:rFonts w:hint="eastAsia" w:ascii="メイリオ" w:hAnsi="メイリオ" w:eastAsia="メイリオ"/>
                                <w:color w:val="000000" w:themeColor="text1"/>
                                <w:sz w:val="21"/>
                              </w:rPr>
                              <w:t>（４）住まいと生活の一体的支援</w:t>
                            </w:r>
                          </w:p>
                          <w:p>
                            <w:pPr>
                              <w:pStyle w:val="0"/>
                              <w:spacing w:line="360" w:lineRule="exact"/>
                              <w:ind w:left="110" w:leftChars="50"/>
                              <w:jc w:val="left"/>
                              <w:rPr>
                                <w:rFonts w:hint="default" w:ascii="メイリオ" w:hAnsi="メイリオ" w:eastAsia="メイリオ"/>
                                <w:color w:val="FF0000"/>
                                <w:sz w:val="21"/>
                              </w:rPr>
                            </w:pPr>
                            <w:r>
                              <w:rPr>
                                <w:rFonts w:hint="eastAsia" w:ascii="メイリオ" w:hAnsi="メイリオ" w:eastAsia="メイリオ"/>
                                <w:color w:val="000000" w:themeColor="text1"/>
                                <w:sz w:val="21"/>
                              </w:rPr>
                              <w:t>（５）災害や感染症対策に係る体制整備</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37" style="mso-wrap-distance-right:9pt;mso-wrap-distance-bottom:0pt;margin-top:4.59pt;mso-position-vertical-relative:text;mso-position-horizontal-relative:text;v-text-anchor:middle;position:absolute;height:104.85pt;mso-wrap-distance-top:0pt;width:243pt;mso-wrap-distance-left:9pt;margin-left:214.65pt;z-index:121;" o:spid="_x0000_s1160" o:allowincell="t" o:allowoverlap="t" filled="t" fillcolor="#ffffff" stroked="t" strokecolor="#404040" strokeweight="0.5pt" o:spt="2" arcsize="4791f">
                <v:fill/>
                <v:stroke linestyle="single" endcap="flat" dashstyle="solid" filltype="solid"/>
                <v:textbox style="layout-flow:horizontal;" inset="0mm,0mm,0mm,0mm">
                  <w:txbxContent>
                    <w:p>
                      <w:pPr>
                        <w:pStyle w:val="0"/>
                        <w:spacing w:line="360" w:lineRule="exact"/>
                        <w:ind w:left="110" w:leftChars="50"/>
                        <w:jc w:val="left"/>
                        <w:rPr>
                          <w:rFonts w:hint="default" w:ascii="メイリオ" w:hAnsi="メイリオ" w:eastAsia="メイリオ"/>
                          <w:color w:val="000000" w:themeColor="text1"/>
                          <w:sz w:val="21"/>
                        </w:rPr>
                      </w:pPr>
                      <w:r>
                        <w:rPr>
                          <w:rFonts w:hint="eastAsia" w:ascii="メイリオ" w:hAnsi="メイリオ" w:eastAsia="メイリオ"/>
                          <w:color w:val="000000" w:themeColor="text1"/>
                          <w:sz w:val="21"/>
                        </w:rPr>
                        <w:t>（１）包括的な支援体制の構築</w:t>
                      </w:r>
                    </w:p>
                    <w:p>
                      <w:pPr>
                        <w:pStyle w:val="0"/>
                        <w:spacing w:line="360" w:lineRule="exact"/>
                        <w:ind w:left="110" w:leftChars="50"/>
                        <w:jc w:val="left"/>
                        <w:rPr>
                          <w:rFonts w:hint="default" w:ascii="メイリオ" w:hAnsi="メイリオ" w:eastAsia="メイリオ"/>
                          <w:color w:val="000000" w:themeColor="text1"/>
                          <w:sz w:val="21"/>
                        </w:rPr>
                      </w:pPr>
                      <w:r>
                        <w:rPr>
                          <w:rFonts w:hint="eastAsia" w:ascii="メイリオ" w:hAnsi="メイリオ" w:eastAsia="メイリオ"/>
                          <w:color w:val="000000" w:themeColor="text1"/>
                          <w:sz w:val="21"/>
                        </w:rPr>
                        <w:t>（２）医療と介護の連携強化</w:t>
                      </w:r>
                    </w:p>
                    <w:p>
                      <w:pPr>
                        <w:pStyle w:val="0"/>
                        <w:spacing w:line="360" w:lineRule="exact"/>
                        <w:ind w:left="110" w:leftChars="50"/>
                        <w:jc w:val="left"/>
                        <w:rPr>
                          <w:rFonts w:hint="default" w:ascii="メイリオ" w:hAnsi="メイリオ" w:eastAsia="メイリオ"/>
                          <w:color w:val="000000" w:themeColor="text1"/>
                          <w:sz w:val="21"/>
                        </w:rPr>
                      </w:pPr>
                      <w:r>
                        <w:rPr>
                          <w:rFonts w:hint="eastAsia" w:ascii="メイリオ" w:hAnsi="メイリオ" w:eastAsia="メイリオ"/>
                          <w:color w:val="000000" w:themeColor="text1"/>
                          <w:sz w:val="21"/>
                        </w:rPr>
                        <w:t>（３）高齢者の権利擁護・虐待防止の推進</w:t>
                      </w:r>
                    </w:p>
                    <w:p>
                      <w:pPr>
                        <w:pStyle w:val="0"/>
                        <w:spacing w:line="360" w:lineRule="exact"/>
                        <w:ind w:left="110" w:leftChars="50"/>
                        <w:jc w:val="left"/>
                        <w:rPr>
                          <w:rFonts w:hint="default" w:ascii="メイリオ" w:hAnsi="メイリオ" w:eastAsia="メイリオ"/>
                          <w:color w:val="000000" w:themeColor="text1"/>
                          <w:sz w:val="21"/>
                        </w:rPr>
                      </w:pPr>
                      <w:r>
                        <w:rPr>
                          <w:rFonts w:hint="eastAsia" w:ascii="メイリオ" w:hAnsi="メイリオ" w:eastAsia="メイリオ"/>
                          <w:color w:val="000000" w:themeColor="text1"/>
                          <w:sz w:val="21"/>
                        </w:rPr>
                        <w:t>（４）住まいと生活の一体的支援</w:t>
                      </w:r>
                    </w:p>
                    <w:p>
                      <w:pPr>
                        <w:pStyle w:val="0"/>
                        <w:spacing w:line="360" w:lineRule="exact"/>
                        <w:ind w:left="110" w:leftChars="50"/>
                        <w:jc w:val="left"/>
                        <w:rPr>
                          <w:rFonts w:hint="default" w:ascii="メイリオ" w:hAnsi="メイリオ" w:eastAsia="メイリオ"/>
                          <w:color w:val="FF0000"/>
                          <w:sz w:val="21"/>
                        </w:rPr>
                      </w:pPr>
                      <w:r>
                        <w:rPr>
                          <w:rFonts w:hint="eastAsia" w:ascii="メイリオ" w:hAnsi="メイリオ" w:eastAsia="メイリオ"/>
                          <w:color w:val="000000" w:themeColor="text1"/>
                          <w:sz w:val="21"/>
                        </w:rPr>
                        <w:t>（５）災害や感染症対策に係る体制整備</w:t>
                      </w:r>
                    </w:p>
                  </w:txbxContent>
                </v:textbox>
                <v:imagedata o:title=""/>
                <w10:wrap type="none" anchorx="text" anchory="text"/>
              </v:roundrect>
            </w:pict>
          </mc:Fallback>
        </mc:AlternateContent>
      </w:r>
      <w:r>
        <w:rPr>
          <w:rFonts w:hint="eastAsia"/>
          <w:color w:val="auto"/>
          <w:highlight w:val="none"/>
        </w:rPr>
        <mc:AlternateContent>
          <mc:Choice Requires="wps">
            <w:drawing>
              <wp:anchor distT="0" distB="0" distL="114300" distR="114300" simplePos="0" relativeHeight="113" behindDoc="0" locked="0" layoutInCell="1" hidden="0" allowOverlap="1">
                <wp:simplePos x="0" y="0"/>
                <wp:positionH relativeFrom="column">
                  <wp:posOffset>954405</wp:posOffset>
                </wp:positionH>
                <wp:positionV relativeFrom="paragraph">
                  <wp:posOffset>58420</wp:posOffset>
                </wp:positionV>
                <wp:extent cx="1583690" cy="1331595"/>
                <wp:effectExtent l="635" t="635" r="635" b="635"/>
                <wp:wrapNone/>
                <wp:docPr id="1161" name="角丸四角形 12"/>
                <a:graphic xmlns:a="http://schemas.openxmlformats.org/drawingml/2006/main">
                  <a:graphicData uri="http://schemas.microsoft.com/office/word/2010/wordprocessingShape">
                    <wps:wsp>
                      <wps:cNvPr id="1161" name="角丸四角形 12"/>
                      <wps:cNvSpPr/>
                      <wps:spPr>
                        <a:xfrm>
                          <a:off x="0" y="0"/>
                          <a:ext cx="1583690" cy="1331595"/>
                        </a:xfrm>
                        <a:prstGeom prst="roundRect">
                          <a:avLst>
                            <a:gd name="adj" fmla="val 7560"/>
                          </a:avLst>
                        </a:prstGeom>
                        <a:solidFill>
                          <a:srgbClr val="99CCFF"/>
                        </a:solidFill>
                        <a:ln w="6350" cap="flat" cmpd="sng" algn="ctr">
                          <a:noFill/>
                          <a:prstDash val="solid"/>
                        </a:ln>
                        <a:effectLst/>
                      </wps:spPr>
                      <wps:txbx>
                        <w:txbxContent>
                          <w:p>
                            <w:pPr>
                              <w:pStyle w:val="0"/>
                              <w:spacing w:line="280" w:lineRule="exact"/>
                              <w:jc w:val="center"/>
                              <w:rPr>
                                <w:rFonts w:hint="default" w:ascii="メイリオ" w:hAnsi="メイリオ" w:eastAsia="メイリオ"/>
                                <w:sz w:val="24"/>
                              </w:rPr>
                            </w:pPr>
                            <w:r>
                              <w:rPr>
                                <w:rFonts w:hint="eastAsia" w:ascii="メイリオ" w:hAnsi="メイリオ" w:eastAsia="メイリオ"/>
                                <w:sz w:val="24"/>
                              </w:rPr>
                              <w:t>１</w:t>
                            </w:r>
                          </w:p>
                          <w:p>
                            <w:pPr>
                              <w:pStyle w:val="0"/>
                              <w:spacing w:line="280" w:lineRule="exact"/>
                              <w:jc w:val="center"/>
                              <w:rPr>
                                <w:rFonts w:hint="default" w:ascii="メイリオ" w:hAnsi="メイリオ" w:eastAsia="メイリオ"/>
                                <w:sz w:val="24"/>
                              </w:rPr>
                            </w:pPr>
                            <w:r>
                              <w:rPr>
                                <w:rFonts w:hint="eastAsia" w:ascii="メイリオ" w:hAnsi="メイリオ" w:eastAsia="メイリオ"/>
                                <w:sz w:val="24"/>
                              </w:rPr>
                              <w:t>地域包括ケアシス</w:t>
                            </w:r>
                          </w:p>
                          <w:p>
                            <w:pPr>
                              <w:pStyle w:val="0"/>
                              <w:spacing w:line="280" w:lineRule="exact"/>
                              <w:jc w:val="center"/>
                              <w:rPr>
                                <w:rFonts w:hint="default" w:ascii="メイリオ" w:hAnsi="メイリオ" w:eastAsia="メイリオ"/>
                                <w:sz w:val="24"/>
                              </w:rPr>
                            </w:pPr>
                            <w:r>
                              <w:rPr>
                                <w:rFonts w:hint="eastAsia" w:ascii="メイリオ" w:hAnsi="メイリオ" w:eastAsia="メイリオ"/>
                                <w:sz w:val="24"/>
                              </w:rPr>
                              <w:t>テムの深化・推進</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12" style="mso-wrap-distance-right:9pt;mso-wrap-distance-bottom:0pt;margin-top:4.59pt;mso-position-vertical-relative:text;mso-position-horizontal-relative:text;v-text-anchor:middle;position:absolute;height:104.85pt;mso-wrap-distance-top:0pt;width:124.7pt;mso-wrap-distance-left:9pt;margin-left:75.150000000000006pt;z-index:113;" o:spid="_x0000_s1161" o:allowincell="t" o:allowoverlap="t" filled="t" fillcolor="#99ccff" stroked="f" strokeweight="0.5pt" o:spt="2" arcsize="4955f">
                <v:fill/>
                <v:stroke linestyle="single" endcap="flat" dashstyle="solid"/>
                <v:textbox style="layout-flow:horizontal;" inset="0mm,0mm,0mm,0mm">
                  <w:txbxContent>
                    <w:p>
                      <w:pPr>
                        <w:pStyle w:val="0"/>
                        <w:spacing w:line="280" w:lineRule="exact"/>
                        <w:jc w:val="center"/>
                        <w:rPr>
                          <w:rFonts w:hint="default" w:ascii="メイリオ" w:hAnsi="メイリオ" w:eastAsia="メイリオ"/>
                          <w:sz w:val="24"/>
                        </w:rPr>
                      </w:pPr>
                      <w:r>
                        <w:rPr>
                          <w:rFonts w:hint="eastAsia" w:ascii="メイリオ" w:hAnsi="メイリオ" w:eastAsia="メイリオ"/>
                          <w:sz w:val="24"/>
                        </w:rPr>
                        <w:t>１</w:t>
                      </w:r>
                    </w:p>
                    <w:p>
                      <w:pPr>
                        <w:pStyle w:val="0"/>
                        <w:spacing w:line="280" w:lineRule="exact"/>
                        <w:jc w:val="center"/>
                        <w:rPr>
                          <w:rFonts w:hint="default" w:ascii="メイリオ" w:hAnsi="メイリオ" w:eastAsia="メイリオ"/>
                          <w:sz w:val="24"/>
                        </w:rPr>
                      </w:pPr>
                      <w:r>
                        <w:rPr>
                          <w:rFonts w:hint="eastAsia" w:ascii="メイリオ" w:hAnsi="メイリオ" w:eastAsia="メイリオ"/>
                          <w:sz w:val="24"/>
                        </w:rPr>
                        <w:t>地域包括ケアシス</w:t>
                      </w:r>
                    </w:p>
                    <w:p>
                      <w:pPr>
                        <w:pStyle w:val="0"/>
                        <w:spacing w:line="280" w:lineRule="exact"/>
                        <w:jc w:val="center"/>
                        <w:rPr>
                          <w:rFonts w:hint="default" w:ascii="メイリオ" w:hAnsi="メイリオ" w:eastAsia="メイリオ"/>
                          <w:sz w:val="24"/>
                        </w:rPr>
                      </w:pPr>
                      <w:r>
                        <w:rPr>
                          <w:rFonts w:hint="eastAsia" w:ascii="メイリオ" w:hAnsi="メイリオ" w:eastAsia="メイリオ"/>
                          <w:sz w:val="24"/>
                        </w:rPr>
                        <w:t>テムの深化・推進</w:t>
                      </w:r>
                    </w:p>
                  </w:txbxContent>
                </v:textbox>
                <v:imagedata o:title=""/>
                <w10:wrap type="none" anchorx="text" anchory="text"/>
              </v:roundrect>
            </w:pict>
          </mc:Fallback>
        </mc:AlternateContent>
      </w: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r>
        <w:rPr>
          <w:rFonts w:hint="eastAsia"/>
          <w:color w:val="auto"/>
          <w:highlight w:val="none"/>
        </w:rPr>
        <mc:AlternateContent>
          <mc:Choice Requires="wps">
            <w:drawing>
              <wp:anchor distT="0" distB="0" distL="114300" distR="114300" simplePos="0" relativeHeight="123" behindDoc="1" locked="0" layoutInCell="1" hidden="0" allowOverlap="1">
                <wp:simplePos x="0" y="0"/>
                <wp:positionH relativeFrom="column">
                  <wp:posOffset>638175</wp:posOffset>
                </wp:positionH>
                <wp:positionV relativeFrom="paragraph">
                  <wp:posOffset>12065</wp:posOffset>
                </wp:positionV>
                <wp:extent cx="2087880" cy="0"/>
                <wp:effectExtent l="0" t="635" r="29210" b="10795"/>
                <wp:wrapNone/>
                <wp:docPr id="1162" name="直線コネクタ 39"/>
                <a:graphic xmlns:a="http://schemas.openxmlformats.org/drawingml/2006/main">
                  <a:graphicData uri="http://schemas.microsoft.com/office/word/2010/wordprocessingShape">
                    <wps:wsp>
                      <wps:cNvPr id="1162" name="直線コネクタ 39"/>
                      <wps:cNvSpPr/>
                      <wps:spPr>
                        <a:xfrm>
                          <a:off x="0" y="0"/>
                          <a:ext cx="208788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直線コネクタ 39" style="mso-wrap-distance-top:0pt;mso-wrap-distance-right:9pt;mso-wrap-distance-bottom:0pt;mso-position-vertical-relative:text;mso-position-horizontal-relative:text;position:absolute;mso-wrap-distance-left:9pt;z-index:-503316357;" o:spid="_x0000_s1162" o:allowincell="t" o:allowoverlap="t" filled="f" stroked="t" strokecolor="#000000" strokeweight="0.75pt" o:spt="20" from="50.25pt,0.95pt" to="214.65pt,0.95pt">
                <v:fill/>
                <v:stroke linestyle="single" endcap="flat" dashstyle="solid" filltype="solid"/>
                <v:textbox style="layout-flow:horizontal;"/>
                <v:imagedata o:title=""/>
                <w10:wrap type="none" anchorx="text" anchory="text"/>
              </v:line>
            </w:pict>
          </mc:Fallback>
        </mc:AlternateContent>
      </w: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r>
        <w:rPr>
          <w:rFonts w:hint="eastAsia"/>
          <w:color w:val="auto"/>
          <w:highlight w:val="none"/>
        </w:rPr>
        <mc:AlternateContent>
          <mc:Choice Requires="wps">
            <w:drawing>
              <wp:anchor distT="0" distB="0" distL="114300" distR="114300" simplePos="0" relativeHeight="112" behindDoc="0" locked="0" layoutInCell="1" hidden="0" allowOverlap="1">
                <wp:simplePos x="0" y="0"/>
                <wp:positionH relativeFrom="column">
                  <wp:posOffset>946785</wp:posOffset>
                </wp:positionH>
                <wp:positionV relativeFrom="paragraph">
                  <wp:posOffset>107950</wp:posOffset>
                </wp:positionV>
                <wp:extent cx="1583690" cy="1115695"/>
                <wp:effectExtent l="635" t="635" r="635" b="635"/>
                <wp:wrapNone/>
                <wp:docPr id="1163" name="角丸四角形 10"/>
                <a:graphic xmlns:a="http://schemas.openxmlformats.org/drawingml/2006/main">
                  <a:graphicData uri="http://schemas.microsoft.com/office/word/2010/wordprocessingShape">
                    <wps:wsp>
                      <wps:cNvPr id="1163" name="角丸四角形 10"/>
                      <wps:cNvSpPr/>
                      <wps:spPr>
                        <a:xfrm>
                          <a:off x="0" y="0"/>
                          <a:ext cx="1583690" cy="1115695"/>
                        </a:xfrm>
                        <a:prstGeom prst="roundRect">
                          <a:avLst>
                            <a:gd name="adj" fmla="val 13609"/>
                          </a:avLst>
                        </a:prstGeom>
                        <a:solidFill>
                          <a:srgbClr val="99CCFF"/>
                        </a:solidFill>
                        <a:ln w="6350" cap="flat" cmpd="sng" algn="ctr">
                          <a:noFill/>
                          <a:prstDash val="solid"/>
                        </a:ln>
                        <a:effectLst/>
                      </wps:spPr>
                      <wps:txbx>
                        <w:txbxContent>
                          <w:p>
                            <w:pPr>
                              <w:pStyle w:val="0"/>
                              <w:spacing w:line="280" w:lineRule="exact"/>
                              <w:ind w:left="240" w:hanging="240" w:hangingChars="100"/>
                              <w:jc w:val="center"/>
                              <w:rPr>
                                <w:rFonts w:hint="default" w:ascii="メイリオ" w:hAnsi="メイリオ" w:eastAsia="メイリオ"/>
                                <w:sz w:val="24"/>
                              </w:rPr>
                            </w:pPr>
                            <w:r>
                              <w:rPr>
                                <w:rFonts w:hint="eastAsia" w:ascii="メイリオ" w:hAnsi="メイリオ" w:eastAsia="メイリオ"/>
                                <w:sz w:val="24"/>
                              </w:rPr>
                              <w:t>２</w:t>
                            </w:r>
                          </w:p>
                          <w:p>
                            <w:pPr>
                              <w:pStyle w:val="0"/>
                              <w:spacing w:line="280" w:lineRule="exact"/>
                              <w:ind w:left="240" w:hanging="240" w:hangingChars="100"/>
                              <w:jc w:val="center"/>
                              <w:rPr>
                                <w:rFonts w:hint="default" w:ascii="メイリオ" w:hAnsi="メイリオ" w:eastAsia="メイリオ"/>
                                <w:sz w:val="24"/>
                              </w:rPr>
                            </w:pPr>
                            <w:r>
                              <w:rPr>
                                <w:rFonts w:hint="eastAsia" w:ascii="メイリオ" w:hAnsi="メイリオ" w:eastAsia="メイリオ"/>
                                <w:sz w:val="24"/>
                              </w:rPr>
                              <w:t>介護予防・</w:t>
                            </w:r>
                          </w:p>
                          <w:p>
                            <w:pPr>
                              <w:pStyle w:val="0"/>
                              <w:spacing w:line="280" w:lineRule="exact"/>
                              <w:ind w:left="240" w:hanging="240" w:hangingChars="100"/>
                              <w:jc w:val="center"/>
                              <w:rPr>
                                <w:rFonts w:hint="default" w:ascii="メイリオ" w:hAnsi="メイリオ" w:eastAsia="メイリオ"/>
                                <w:sz w:val="24"/>
                              </w:rPr>
                            </w:pPr>
                            <w:r>
                              <w:rPr>
                                <w:rFonts w:hint="eastAsia" w:ascii="メイリオ" w:hAnsi="メイリオ" w:eastAsia="メイリオ"/>
                                <w:sz w:val="24"/>
                              </w:rPr>
                              <w:t>健康づくりの推進</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10" style="mso-wrap-distance-right:9pt;mso-wrap-distance-bottom:0pt;margin-top:8.5pt;mso-position-vertical-relative:text;mso-position-horizontal-relative:text;v-text-anchor:middle;position:absolute;height:87.85pt;mso-wrap-distance-top:0pt;width:124.7pt;mso-wrap-distance-left:9pt;margin-left:74.55pt;z-index:112;" o:spid="_x0000_s1163" o:allowincell="t" o:allowoverlap="t" filled="t" fillcolor="#99ccff" stroked="f" strokeweight="0.5pt" o:spt="2" arcsize="8920f">
                <v:fill/>
                <v:stroke linestyle="single" endcap="flat" dashstyle="solid"/>
                <v:textbox style="layout-flow:horizontal;" inset="0mm,0mm,0mm,0mm">
                  <w:txbxContent>
                    <w:p>
                      <w:pPr>
                        <w:pStyle w:val="0"/>
                        <w:spacing w:line="280" w:lineRule="exact"/>
                        <w:ind w:left="240" w:hanging="240" w:hangingChars="100"/>
                        <w:jc w:val="center"/>
                        <w:rPr>
                          <w:rFonts w:hint="default" w:ascii="メイリオ" w:hAnsi="メイリオ" w:eastAsia="メイリオ"/>
                          <w:sz w:val="24"/>
                        </w:rPr>
                      </w:pPr>
                      <w:r>
                        <w:rPr>
                          <w:rFonts w:hint="eastAsia" w:ascii="メイリオ" w:hAnsi="メイリオ" w:eastAsia="メイリオ"/>
                          <w:sz w:val="24"/>
                        </w:rPr>
                        <w:t>２</w:t>
                      </w:r>
                    </w:p>
                    <w:p>
                      <w:pPr>
                        <w:pStyle w:val="0"/>
                        <w:spacing w:line="280" w:lineRule="exact"/>
                        <w:ind w:left="240" w:hanging="240" w:hangingChars="100"/>
                        <w:jc w:val="center"/>
                        <w:rPr>
                          <w:rFonts w:hint="default" w:ascii="メイリオ" w:hAnsi="メイリオ" w:eastAsia="メイリオ"/>
                          <w:sz w:val="24"/>
                        </w:rPr>
                      </w:pPr>
                      <w:r>
                        <w:rPr>
                          <w:rFonts w:hint="eastAsia" w:ascii="メイリオ" w:hAnsi="メイリオ" w:eastAsia="メイリオ"/>
                          <w:sz w:val="24"/>
                        </w:rPr>
                        <w:t>介護予防・</w:t>
                      </w:r>
                    </w:p>
                    <w:p>
                      <w:pPr>
                        <w:pStyle w:val="0"/>
                        <w:spacing w:line="280" w:lineRule="exact"/>
                        <w:ind w:left="240" w:hanging="240" w:hangingChars="100"/>
                        <w:jc w:val="center"/>
                        <w:rPr>
                          <w:rFonts w:hint="default" w:ascii="メイリオ" w:hAnsi="メイリオ" w:eastAsia="メイリオ"/>
                          <w:sz w:val="24"/>
                        </w:rPr>
                      </w:pPr>
                      <w:r>
                        <w:rPr>
                          <w:rFonts w:hint="eastAsia" w:ascii="メイリオ" w:hAnsi="メイリオ" w:eastAsia="メイリオ"/>
                          <w:sz w:val="24"/>
                        </w:rPr>
                        <w:t>健康づくりの推進</w:t>
                      </w:r>
                    </w:p>
                  </w:txbxContent>
                </v:textbox>
                <v:imagedata o:title=""/>
                <w10:wrap type="none" anchorx="text" anchory="text"/>
              </v:roundrect>
            </w:pict>
          </mc:Fallback>
        </mc:AlternateContent>
      </w:r>
      <w:r>
        <w:rPr>
          <w:rFonts w:hint="eastAsia"/>
          <w:color w:val="auto"/>
          <w:highlight w:val="none"/>
        </w:rPr>
        <mc:AlternateContent>
          <mc:Choice Requires="wps">
            <w:drawing>
              <wp:anchor distT="0" distB="0" distL="114300" distR="114300" simplePos="0" relativeHeight="115" behindDoc="0" locked="0" layoutInCell="1" hidden="0" allowOverlap="1">
                <wp:simplePos x="0" y="0"/>
                <wp:positionH relativeFrom="column">
                  <wp:posOffset>2731770</wp:posOffset>
                </wp:positionH>
                <wp:positionV relativeFrom="paragraph">
                  <wp:posOffset>87630</wp:posOffset>
                </wp:positionV>
                <wp:extent cx="3086100" cy="1115695"/>
                <wp:effectExtent l="635" t="635" r="29845" b="10795"/>
                <wp:wrapNone/>
                <wp:docPr id="1164" name="角丸四角形 14"/>
                <a:graphic xmlns:a="http://schemas.openxmlformats.org/drawingml/2006/main">
                  <a:graphicData uri="http://schemas.microsoft.com/office/word/2010/wordprocessingShape">
                    <wps:wsp>
                      <wps:cNvPr id="1164" name="角丸四角形 14"/>
                      <wps:cNvSpPr/>
                      <wps:spPr>
                        <a:xfrm>
                          <a:off x="0" y="0"/>
                          <a:ext cx="3086100" cy="1115695"/>
                        </a:xfrm>
                        <a:prstGeom prst="roundRect">
                          <a:avLst>
                            <a:gd name="adj" fmla="val 8810"/>
                          </a:avLst>
                        </a:prstGeom>
                        <a:solidFill>
                          <a:sysClr val="window" lastClr="FFFFFF"/>
                        </a:solidFill>
                        <a:ln w="6350" cap="flat" cmpd="sng" algn="ctr">
                          <a:solidFill>
                            <a:sysClr val="windowText" lastClr="000000">
                              <a:lumMod val="75000"/>
                              <a:lumOff val="25000"/>
                            </a:sysClr>
                          </a:solidFill>
                          <a:prstDash val="solid"/>
                        </a:ln>
                        <a:effectLst/>
                      </wps:spPr>
                      <wps:txbx>
                        <w:txbxContent>
                          <w:p>
                            <w:pPr>
                              <w:pStyle w:val="0"/>
                              <w:spacing w:line="360" w:lineRule="exact"/>
                              <w:ind w:left="110" w:leftChars="50"/>
                              <w:jc w:val="left"/>
                              <w:rPr>
                                <w:rFonts w:hint="default" w:ascii="メイリオ" w:hAnsi="メイリオ" w:eastAsia="メイリオ"/>
                                <w:color w:val="000000" w:themeColor="text1"/>
                                <w:sz w:val="21"/>
                              </w:rPr>
                            </w:pPr>
                            <w:r>
                              <w:rPr>
                                <w:rFonts w:hint="eastAsia" w:ascii="メイリオ" w:hAnsi="メイリオ" w:eastAsia="メイリオ"/>
                                <w:color w:val="000000" w:themeColor="text1"/>
                                <w:sz w:val="21"/>
                              </w:rPr>
                              <w:t>（１）健康づくりの推進</w:t>
                            </w:r>
                          </w:p>
                          <w:p>
                            <w:pPr>
                              <w:pStyle w:val="0"/>
                              <w:spacing w:line="360" w:lineRule="exact"/>
                              <w:ind w:left="110" w:leftChars="50"/>
                              <w:jc w:val="left"/>
                              <w:rPr>
                                <w:rFonts w:hint="default" w:ascii="メイリオ" w:hAnsi="メイリオ" w:eastAsia="メイリオ"/>
                                <w:sz w:val="21"/>
                              </w:rPr>
                            </w:pPr>
                            <w:r>
                              <w:rPr>
                                <w:rFonts w:hint="eastAsia" w:ascii="メイリオ" w:hAnsi="メイリオ" w:eastAsia="メイリオ"/>
                                <w:color w:val="000000" w:themeColor="text1"/>
                                <w:sz w:val="21"/>
                              </w:rPr>
                              <w:t>（２）保健事業と介護予防の一体的実施</w:t>
                            </w:r>
                          </w:p>
                          <w:p>
                            <w:pPr>
                              <w:pStyle w:val="0"/>
                              <w:spacing w:line="360" w:lineRule="exact"/>
                              <w:ind w:left="110" w:leftChars="50"/>
                              <w:jc w:val="left"/>
                              <w:rPr>
                                <w:rFonts w:hint="default" w:ascii="メイリオ" w:hAnsi="メイリオ" w:eastAsia="メイリオ"/>
                                <w:color w:val="000000" w:themeColor="text1"/>
                                <w:sz w:val="21"/>
                              </w:rPr>
                            </w:pPr>
                            <w:r>
                              <w:rPr>
                                <w:rFonts w:hint="eastAsia" w:ascii="メイリオ" w:hAnsi="メイリオ" w:eastAsia="メイリオ"/>
                                <w:color w:val="000000" w:themeColor="text1"/>
                                <w:sz w:val="21"/>
                              </w:rPr>
                              <w:t>（３）</w:t>
                            </w:r>
                            <w:r>
                              <w:rPr>
                                <w:rFonts w:hint="eastAsia" w:ascii="メイリオ" w:hAnsi="メイリオ" w:eastAsia="メイリオ"/>
                                <w:sz w:val="21"/>
                              </w:rPr>
                              <w:t>自立支援、介護予防・重度化防止の推進</w:t>
                            </w:r>
                            <w:r>
                              <w:rPr>
                                <w:rFonts w:hint="eastAsia" w:ascii="メイリオ" w:hAnsi="メイリオ" w:eastAsia="メイリオ"/>
                                <w:color w:val="000000" w:themeColor="text1"/>
                                <w:sz w:val="21"/>
                              </w:rPr>
                              <w:t>（４）高齢者の生きがいづくりの推進</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14" style="mso-wrap-distance-right:9pt;mso-wrap-distance-bottom:0pt;margin-top:6.9pt;mso-position-vertical-relative:text;mso-position-horizontal-relative:text;v-text-anchor:middle;position:absolute;height:87.85pt;mso-wrap-distance-top:0pt;width:243pt;mso-wrap-distance-left:9pt;margin-left:215.1pt;z-index:115;" o:spid="_x0000_s1164" o:allowincell="t" o:allowoverlap="t" filled="t" fillcolor="#ffffff" stroked="t" strokecolor="#404040" strokeweight="0.5pt" o:spt="2" arcsize="5774f">
                <v:fill/>
                <v:stroke linestyle="single" endcap="flat" dashstyle="solid" filltype="solid"/>
                <v:textbox style="layout-flow:horizontal;" inset="0mm,0mm,0mm,0mm">
                  <w:txbxContent>
                    <w:p>
                      <w:pPr>
                        <w:pStyle w:val="0"/>
                        <w:spacing w:line="360" w:lineRule="exact"/>
                        <w:ind w:left="110" w:leftChars="50"/>
                        <w:jc w:val="left"/>
                        <w:rPr>
                          <w:rFonts w:hint="default" w:ascii="メイリオ" w:hAnsi="メイリオ" w:eastAsia="メイリオ"/>
                          <w:color w:val="000000" w:themeColor="text1"/>
                          <w:sz w:val="21"/>
                        </w:rPr>
                      </w:pPr>
                      <w:r>
                        <w:rPr>
                          <w:rFonts w:hint="eastAsia" w:ascii="メイリオ" w:hAnsi="メイリオ" w:eastAsia="メイリオ"/>
                          <w:color w:val="000000" w:themeColor="text1"/>
                          <w:sz w:val="21"/>
                        </w:rPr>
                        <w:t>（１）健康づくりの推進</w:t>
                      </w:r>
                    </w:p>
                    <w:p>
                      <w:pPr>
                        <w:pStyle w:val="0"/>
                        <w:spacing w:line="360" w:lineRule="exact"/>
                        <w:ind w:left="110" w:leftChars="50"/>
                        <w:jc w:val="left"/>
                        <w:rPr>
                          <w:rFonts w:hint="default" w:ascii="メイリオ" w:hAnsi="メイリオ" w:eastAsia="メイリオ"/>
                          <w:sz w:val="21"/>
                        </w:rPr>
                      </w:pPr>
                      <w:r>
                        <w:rPr>
                          <w:rFonts w:hint="eastAsia" w:ascii="メイリオ" w:hAnsi="メイリオ" w:eastAsia="メイリオ"/>
                          <w:color w:val="000000" w:themeColor="text1"/>
                          <w:sz w:val="21"/>
                        </w:rPr>
                        <w:t>（２）保健事業と介護予防の一体的実施</w:t>
                      </w:r>
                    </w:p>
                    <w:p>
                      <w:pPr>
                        <w:pStyle w:val="0"/>
                        <w:spacing w:line="360" w:lineRule="exact"/>
                        <w:ind w:left="110" w:leftChars="50"/>
                        <w:jc w:val="left"/>
                        <w:rPr>
                          <w:rFonts w:hint="default" w:ascii="メイリオ" w:hAnsi="メイリオ" w:eastAsia="メイリオ"/>
                          <w:color w:val="000000" w:themeColor="text1"/>
                          <w:sz w:val="21"/>
                        </w:rPr>
                      </w:pPr>
                      <w:r>
                        <w:rPr>
                          <w:rFonts w:hint="eastAsia" w:ascii="メイリオ" w:hAnsi="メイリオ" w:eastAsia="メイリオ"/>
                          <w:color w:val="000000" w:themeColor="text1"/>
                          <w:sz w:val="21"/>
                        </w:rPr>
                        <w:t>（３）</w:t>
                      </w:r>
                      <w:r>
                        <w:rPr>
                          <w:rFonts w:hint="eastAsia" w:ascii="メイリオ" w:hAnsi="メイリオ" w:eastAsia="メイリオ"/>
                          <w:sz w:val="21"/>
                        </w:rPr>
                        <w:t>自立支援、介護予防・重度化防止の推進</w:t>
                      </w:r>
                      <w:r>
                        <w:rPr>
                          <w:rFonts w:hint="eastAsia" w:ascii="メイリオ" w:hAnsi="メイリオ" w:eastAsia="メイリオ"/>
                          <w:color w:val="000000" w:themeColor="text1"/>
                          <w:sz w:val="21"/>
                        </w:rPr>
                        <w:t>（４）高齢者の生きがいづくりの推進</w:t>
                      </w:r>
                    </w:p>
                  </w:txbxContent>
                </v:textbox>
                <v:imagedata o:title=""/>
                <w10:wrap type="none" anchorx="text" anchory="text"/>
              </v:roundrect>
            </w:pict>
          </mc:Fallback>
        </mc:AlternateContent>
      </w:r>
    </w:p>
    <w:p>
      <w:pPr>
        <w:pStyle w:val="0"/>
        <w:spacing w:line="380" w:lineRule="exact"/>
        <w:rPr>
          <w:rFonts w:hint="default"/>
          <w:color w:val="auto"/>
          <w:highlight w:val="none"/>
        </w:rPr>
      </w:pPr>
    </w:p>
    <w:p>
      <w:pPr>
        <w:pStyle w:val="0"/>
        <w:spacing w:line="380" w:lineRule="exact"/>
        <w:rPr>
          <w:rFonts w:hint="default"/>
          <w:color w:val="auto"/>
          <w:highlight w:val="none"/>
        </w:rPr>
      </w:pPr>
      <w:r>
        <w:rPr>
          <w:rFonts w:hint="eastAsia"/>
          <w:color w:val="auto"/>
          <w:highlight w:val="none"/>
        </w:rPr>
        <mc:AlternateContent>
          <mc:Choice Requires="wps">
            <w:drawing>
              <wp:anchor distT="0" distB="0" distL="114300" distR="114300" simplePos="0" relativeHeight="116" behindDoc="1" locked="0" layoutInCell="1" hidden="0" allowOverlap="1">
                <wp:simplePos x="0" y="0"/>
                <wp:positionH relativeFrom="column">
                  <wp:posOffset>737870</wp:posOffset>
                </wp:positionH>
                <wp:positionV relativeFrom="paragraph">
                  <wp:posOffset>156210</wp:posOffset>
                </wp:positionV>
                <wp:extent cx="2087880" cy="0"/>
                <wp:effectExtent l="0" t="635" r="29210" b="10795"/>
                <wp:wrapNone/>
                <wp:docPr id="1165" name="直線コネクタ 28"/>
                <a:graphic xmlns:a="http://schemas.openxmlformats.org/drawingml/2006/main">
                  <a:graphicData uri="http://schemas.microsoft.com/office/word/2010/wordprocessingShape">
                    <wps:wsp>
                      <wps:cNvPr id="1165" name="直線コネクタ 28"/>
                      <wps:cNvSpPr/>
                      <wps:spPr>
                        <a:xfrm>
                          <a:off x="0" y="0"/>
                          <a:ext cx="208788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直線コネクタ 28" style="mso-wrap-distance-top:0pt;mso-wrap-distance-right:9pt;mso-wrap-distance-bottom:0pt;mso-position-vertical-relative:text;mso-position-horizontal-relative:text;position:absolute;mso-wrap-distance-left:9pt;z-index:-503316364;" o:spid="_x0000_s1165" o:allowincell="t" o:allowoverlap="t" filled="f" stroked="t" strokecolor="#000000" strokeweight="0.75pt" o:spt="20" from="58.1pt,12.3pt" to="222.5pt,12.3pt">
                <v:fill/>
                <v:stroke linestyle="single" endcap="flat" dashstyle="solid" filltype="solid"/>
                <v:textbox style="layout-flow:horizontal;"/>
                <v:imagedata o:title=""/>
                <w10:wrap type="none" anchorx="text" anchory="text"/>
              </v:line>
            </w:pict>
          </mc:Fallback>
        </mc:AlternateContent>
      </w: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r>
        <w:rPr>
          <w:rFonts w:hint="eastAsia"/>
          <w:color w:val="auto"/>
          <w:highlight w:val="none"/>
        </w:rPr>
        <mc:AlternateContent>
          <mc:Choice Requires="wps">
            <w:drawing>
              <wp:anchor distT="0" distB="0" distL="114300" distR="114300" simplePos="0" relativeHeight="118" behindDoc="0" locked="0" layoutInCell="1" hidden="0" allowOverlap="1">
                <wp:simplePos x="0" y="0"/>
                <wp:positionH relativeFrom="column">
                  <wp:posOffset>935355</wp:posOffset>
                </wp:positionH>
                <wp:positionV relativeFrom="paragraph">
                  <wp:posOffset>158750</wp:posOffset>
                </wp:positionV>
                <wp:extent cx="1583690" cy="1331595"/>
                <wp:effectExtent l="635" t="635" r="635" b="635"/>
                <wp:wrapNone/>
                <wp:docPr id="1166" name="角丸四角形 135"/>
                <a:graphic xmlns:a="http://schemas.openxmlformats.org/drawingml/2006/main">
                  <a:graphicData uri="http://schemas.microsoft.com/office/word/2010/wordprocessingShape">
                    <wps:wsp>
                      <wps:cNvPr id="1166" name="角丸四角形 135"/>
                      <wps:cNvSpPr/>
                      <wps:spPr>
                        <a:xfrm>
                          <a:off x="0" y="0"/>
                          <a:ext cx="1583690" cy="1331595"/>
                        </a:xfrm>
                        <a:prstGeom prst="roundRect">
                          <a:avLst>
                            <a:gd name="adj" fmla="val 11341"/>
                          </a:avLst>
                        </a:prstGeom>
                        <a:solidFill>
                          <a:srgbClr val="99CCFF"/>
                        </a:solidFill>
                        <a:ln w="6350" cap="flat" cmpd="sng" algn="ctr">
                          <a:noFill/>
                          <a:prstDash val="solid"/>
                        </a:ln>
                        <a:effectLst/>
                      </wps:spPr>
                      <wps:txbx>
                        <w:txbxContent>
                          <w:p>
                            <w:pPr>
                              <w:pStyle w:val="0"/>
                              <w:spacing w:line="280" w:lineRule="exact"/>
                              <w:jc w:val="center"/>
                              <w:rPr>
                                <w:rFonts w:hint="default" w:ascii="メイリオ" w:hAnsi="メイリオ" w:eastAsia="メイリオ"/>
                                <w:sz w:val="24"/>
                              </w:rPr>
                            </w:pPr>
                            <w:r>
                              <w:rPr>
                                <w:rFonts w:hint="eastAsia" w:ascii="メイリオ" w:hAnsi="メイリオ" w:eastAsia="メイリオ"/>
                                <w:sz w:val="24"/>
                              </w:rPr>
                              <w:t>３</w:t>
                            </w:r>
                          </w:p>
                          <w:p>
                            <w:pPr>
                              <w:pStyle w:val="0"/>
                              <w:spacing w:line="280" w:lineRule="exact"/>
                              <w:jc w:val="center"/>
                              <w:rPr>
                                <w:rFonts w:hint="default" w:ascii="メイリオ" w:hAnsi="メイリオ" w:eastAsia="メイリオ"/>
                                <w:sz w:val="24"/>
                              </w:rPr>
                            </w:pPr>
                            <w:r>
                              <w:rPr>
                                <w:rFonts w:hint="eastAsia" w:ascii="メイリオ" w:hAnsi="メイリオ" w:eastAsia="メイリオ"/>
                                <w:sz w:val="24"/>
                              </w:rPr>
                              <w:t>認知症施策の推進</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135" style="mso-wrap-distance-right:9pt;mso-wrap-distance-bottom:0pt;margin-top:12.5pt;mso-position-vertical-relative:text;mso-position-horizontal-relative:text;v-text-anchor:middle;position:absolute;height:104.85pt;mso-wrap-distance-top:0pt;width:124.7pt;mso-wrap-distance-left:9pt;margin-left:73.650000000000006pt;z-index:118;" o:spid="_x0000_s1166" o:allowincell="t" o:allowoverlap="t" filled="t" fillcolor="#99ccff" stroked="f" strokeweight="0.5pt" o:spt="2" arcsize="7433f">
                <v:fill/>
                <v:stroke linestyle="single" endcap="flat" dashstyle="solid"/>
                <v:textbox style="layout-flow:horizontal;" inset="0mm,0mm,0mm,0mm">
                  <w:txbxContent>
                    <w:p>
                      <w:pPr>
                        <w:pStyle w:val="0"/>
                        <w:spacing w:line="280" w:lineRule="exact"/>
                        <w:jc w:val="center"/>
                        <w:rPr>
                          <w:rFonts w:hint="default" w:ascii="メイリオ" w:hAnsi="メイリオ" w:eastAsia="メイリオ"/>
                          <w:sz w:val="24"/>
                        </w:rPr>
                      </w:pPr>
                      <w:r>
                        <w:rPr>
                          <w:rFonts w:hint="eastAsia" w:ascii="メイリオ" w:hAnsi="メイリオ" w:eastAsia="メイリオ"/>
                          <w:sz w:val="24"/>
                        </w:rPr>
                        <w:t>３</w:t>
                      </w:r>
                    </w:p>
                    <w:p>
                      <w:pPr>
                        <w:pStyle w:val="0"/>
                        <w:spacing w:line="280" w:lineRule="exact"/>
                        <w:jc w:val="center"/>
                        <w:rPr>
                          <w:rFonts w:hint="default" w:ascii="メイリオ" w:hAnsi="メイリオ" w:eastAsia="メイリオ"/>
                          <w:sz w:val="24"/>
                        </w:rPr>
                      </w:pPr>
                      <w:r>
                        <w:rPr>
                          <w:rFonts w:hint="eastAsia" w:ascii="メイリオ" w:hAnsi="メイリオ" w:eastAsia="メイリオ"/>
                          <w:sz w:val="24"/>
                        </w:rPr>
                        <w:t>認知症施策の推進</w:t>
                      </w:r>
                    </w:p>
                  </w:txbxContent>
                </v:textbox>
                <v:imagedata o:title=""/>
                <w10:wrap type="none" anchorx="text" anchory="text"/>
              </v:roundrect>
            </w:pict>
          </mc:Fallback>
        </mc:AlternateContent>
      </w:r>
      <w:r>
        <w:rPr>
          <w:rFonts w:hint="eastAsia"/>
          <w:color w:val="auto"/>
          <w:highlight w:val="none"/>
        </w:rPr>
        <mc:AlternateContent>
          <mc:Choice Requires="wps">
            <w:drawing>
              <wp:anchor distT="0" distB="0" distL="114300" distR="114300" simplePos="0" relativeHeight="120" behindDoc="0" locked="0" layoutInCell="1" hidden="0" allowOverlap="1">
                <wp:simplePos x="0" y="0"/>
                <wp:positionH relativeFrom="column">
                  <wp:posOffset>2712720</wp:posOffset>
                </wp:positionH>
                <wp:positionV relativeFrom="paragraph">
                  <wp:posOffset>151130</wp:posOffset>
                </wp:positionV>
                <wp:extent cx="3086100" cy="1331595"/>
                <wp:effectExtent l="635" t="635" r="29845" b="10795"/>
                <wp:wrapNone/>
                <wp:docPr id="1167" name="角丸四角形 36"/>
                <a:graphic xmlns:a="http://schemas.openxmlformats.org/drawingml/2006/main">
                  <a:graphicData uri="http://schemas.microsoft.com/office/word/2010/wordprocessingShape">
                    <wps:wsp>
                      <wps:cNvPr id="1167" name="角丸四角形 36"/>
                      <wps:cNvSpPr/>
                      <wps:spPr>
                        <a:xfrm>
                          <a:off x="0" y="0"/>
                          <a:ext cx="3086100" cy="1331595"/>
                        </a:xfrm>
                        <a:prstGeom prst="roundRect">
                          <a:avLst>
                            <a:gd name="adj" fmla="val 7731"/>
                          </a:avLst>
                        </a:prstGeom>
                        <a:solidFill>
                          <a:sysClr val="window" lastClr="FFFFFF"/>
                        </a:solidFill>
                        <a:ln w="6350" cap="flat" cmpd="sng" algn="ctr">
                          <a:solidFill>
                            <a:sysClr val="windowText" lastClr="000000">
                              <a:lumMod val="75000"/>
                              <a:lumOff val="25000"/>
                            </a:sysClr>
                          </a:solidFill>
                          <a:prstDash val="solid"/>
                        </a:ln>
                        <a:effectLst/>
                      </wps:spPr>
                      <wps:txbx>
                        <w:txbxContent>
                          <w:p>
                            <w:pPr>
                              <w:pStyle w:val="0"/>
                              <w:spacing w:line="360" w:lineRule="exact"/>
                              <w:ind w:left="110" w:leftChars="50"/>
                              <w:jc w:val="left"/>
                              <w:rPr>
                                <w:rFonts w:hint="default" w:ascii="メイリオ" w:hAnsi="メイリオ" w:eastAsia="メイリオ"/>
                                <w:sz w:val="21"/>
                              </w:rPr>
                            </w:pPr>
                            <w:r>
                              <w:rPr>
                                <w:rFonts w:hint="eastAsia" w:ascii="メイリオ" w:hAnsi="メイリオ" w:eastAsia="メイリオ"/>
                                <w:color w:val="000000" w:themeColor="text1"/>
                                <w:sz w:val="21"/>
                              </w:rPr>
                              <w:t>（１）</w:t>
                            </w:r>
                            <w:r>
                              <w:rPr>
                                <w:rFonts w:hint="eastAsia" w:ascii="メイリオ" w:hAnsi="メイリオ" w:eastAsia="メイリオ"/>
                                <w:sz w:val="21"/>
                              </w:rPr>
                              <w:t>認知症の理解促進</w:t>
                            </w:r>
                          </w:p>
                          <w:p>
                            <w:pPr>
                              <w:pStyle w:val="0"/>
                              <w:spacing w:line="360" w:lineRule="exact"/>
                              <w:ind w:left="110" w:leftChars="50"/>
                              <w:jc w:val="left"/>
                              <w:rPr>
                                <w:rFonts w:hint="default" w:ascii="メイリオ" w:hAnsi="メイリオ" w:eastAsia="メイリオ"/>
                                <w:sz w:val="21"/>
                              </w:rPr>
                            </w:pPr>
                            <w:r>
                              <w:rPr>
                                <w:rFonts w:hint="eastAsia" w:ascii="メイリオ" w:hAnsi="メイリオ" w:eastAsia="メイリオ"/>
                                <w:sz w:val="21"/>
                              </w:rPr>
                              <w:t>（２）本人発信支援</w:t>
                            </w:r>
                          </w:p>
                          <w:p>
                            <w:pPr>
                              <w:pStyle w:val="0"/>
                              <w:spacing w:line="360" w:lineRule="exact"/>
                              <w:ind w:left="110" w:leftChars="50"/>
                              <w:jc w:val="left"/>
                              <w:rPr>
                                <w:rFonts w:hint="default" w:ascii="メイリオ" w:hAnsi="メイリオ" w:eastAsia="メイリオ"/>
                                <w:color w:val="000000" w:themeColor="text1"/>
                                <w:sz w:val="21"/>
                              </w:rPr>
                            </w:pPr>
                            <w:r>
                              <w:rPr>
                                <w:rFonts w:hint="eastAsia" w:ascii="メイリオ" w:hAnsi="メイリオ" w:eastAsia="メイリオ"/>
                                <w:color w:val="000000" w:themeColor="text1"/>
                                <w:sz w:val="21"/>
                              </w:rPr>
                              <w:t>（３）認知症予防の推進</w:t>
                            </w:r>
                          </w:p>
                          <w:p>
                            <w:pPr>
                              <w:pStyle w:val="0"/>
                              <w:spacing w:line="360" w:lineRule="exact"/>
                              <w:ind w:left="110" w:leftChars="50"/>
                              <w:jc w:val="left"/>
                              <w:rPr>
                                <w:rFonts w:hint="default" w:ascii="メイリオ" w:hAnsi="メイリオ" w:eastAsia="メイリオ"/>
                                <w:color w:val="000000" w:themeColor="text1"/>
                                <w:sz w:val="21"/>
                              </w:rPr>
                            </w:pPr>
                            <w:r>
                              <w:rPr>
                                <w:rFonts w:hint="eastAsia" w:ascii="メイリオ" w:hAnsi="メイリオ" w:eastAsia="メイリオ"/>
                                <w:color w:val="000000" w:themeColor="text1"/>
                                <w:sz w:val="21"/>
                              </w:rPr>
                              <w:t>（４）認知症の人とその家族への支援体制の強化</w:t>
                            </w:r>
                          </w:p>
                          <w:p>
                            <w:pPr>
                              <w:pStyle w:val="0"/>
                              <w:spacing w:line="360" w:lineRule="exact"/>
                              <w:ind w:left="110" w:leftChars="50"/>
                              <w:jc w:val="left"/>
                              <w:rPr>
                                <w:rFonts w:hint="default" w:ascii="メイリオ" w:hAnsi="メイリオ" w:eastAsia="メイリオ"/>
                                <w:color w:val="000000" w:themeColor="text1"/>
                                <w:sz w:val="21"/>
                              </w:rPr>
                            </w:pPr>
                            <w:r>
                              <w:rPr>
                                <w:rFonts w:hint="eastAsia" w:ascii="メイリオ" w:hAnsi="メイリオ" w:eastAsia="メイリオ"/>
                                <w:color w:val="000000" w:themeColor="text1"/>
                                <w:sz w:val="21"/>
                              </w:rPr>
                              <w:t>（５）認知症バリアフリーの推進</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36" style="mso-wrap-distance-right:9pt;mso-wrap-distance-bottom:0pt;margin-top:11.9pt;mso-position-vertical-relative:text;mso-position-horizontal-relative:text;v-text-anchor:middle;position:absolute;height:104.85pt;mso-wrap-distance-top:0pt;width:243pt;mso-wrap-distance-left:9pt;margin-left:213.6pt;z-index:120;" o:spid="_x0000_s1167" o:allowincell="t" o:allowoverlap="t" filled="t" fillcolor="#ffffff" stroked="t" strokecolor="#404040" strokeweight="0.5pt" o:spt="2" arcsize="5067f">
                <v:fill/>
                <v:stroke linestyle="single" endcap="flat" dashstyle="solid" filltype="solid"/>
                <v:textbox style="layout-flow:horizontal;" inset="0mm,0mm,0mm,0mm">
                  <w:txbxContent>
                    <w:p>
                      <w:pPr>
                        <w:pStyle w:val="0"/>
                        <w:spacing w:line="360" w:lineRule="exact"/>
                        <w:ind w:left="110" w:leftChars="50"/>
                        <w:jc w:val="left"/>
                        <w:rPr>
                          <w:rFonts w:hint="default" w:ascii="メイリオ" w:hAnsi="メイリオ" w:eastAsia="メイリオ"/>
                          <w:sz w:val="21"/>
                        </w:rPr>
                      </w:pPr>
                      <w:r>
                        <w:rPr>
                          <w:rFonts w:hint="eastAsia" w:ascii="メイリオ" w:hAnsi="メイリオ" w:eastAsia="メイリオ"/>
                          <w:color w:val="000000" w:themeColor="text1"/>
                          <w:sz w:val="21"/>
                        </w:rPr>
                        <w:t>（１）</w:t>
                      </w:r>
                      <w:r>
                        <w:rPr>
                          <w:rFonts w:hint="eastAsia" w:ascii="メイリオ" w:hAnsi="メイリオ" w:eastAsia="メイリオ"/>
                          <w:sz w:val="21"/>
                        </w:rPr>
                        <w:t>認知症の理解促進</w:t>
                      </w:r>
                    </w:p>
                    <w:p>
                      <w:pPr>
                        <w:pStyle w:val="0"/>
                        <w:spacing w:line="360" w:lineRule="exact"/>
                        <w:ind w:left="110" w:leftChars="50"/>
                        <w:jc w:val="left"/>
                        <w:rPr>
                          <w:rFonts w:hint="default" w:ascii="メイリオ" w:hAnsi="メイリオ" w:eastAsia="メイリオ"/>
                          <w:sz w:val="21"/>
                        </w:rPr>
                      </w:pPr>
                      <w:r>
                        <w:rPr>
                          <w:rFonts w:hint="eastAsia" w:ascii="メイリオ" w:hAnsi="メイリオ" w:eastAsia="メイリオ"/>
                          <w:sz w:val="21"/>
                        </w:rPr>
                        <w:t>（２）本人発信支援</w:t>
                      </w:r>
                    </w:p>
                    <w:p>
                      <w:pPr>
                        <w:pStyle w:val="0"/>
                        <w:spacing w:line="360" w:lineRule="exact"/>
                        <w:ind w:left="110" w:leftChars="50"/>
                        <w:jc w:val="left"/>
                        <w:rPr>
                          <w:rFonts w:hint="default" w:ascii="メイリオ" w:hAnsi="メイリオ" w:eastAsia="メイリオ"/>
                          <w:color w:val="000000" w:themeColor="text1"/>
                          <w:sz w:val="21"/>
                        </w:rPr>
                      </w:pPr>
                      <w:r>
                        <w:rPr>
                          <w:rFonts w:hint="eastAsia" w:ascii="メイリオ" w:hAnsi="メイリオ" w:eastAsia="メイリオ"/>
                          <w:color w:val="000000" w:themeColor="text1"/>
                          <w:sz w:val="21"/>
                        </w:rPr>
                        <w:t>（３）認知症予防の推進</w:t>
                      </w:r>
                    </w:p>
                    <w:p>
                      <w:pPr>
                        <w:pStyle w:val="0"/>
                        <w:spacing w:line="360" w:lineRule="exact"/>
                        <w:ind w:left="110" w:leftChars="50"/>
                        <w:jc w:val="left"/>
                        <w:rPr>
                          <w:rFonts w:hint="default" w:ascii="メイリオ" w:hAnsi="メイリオ" w:eastAsia="メイリオ"/>
                          <w:color w:val="000000" w:themeColor="text1"/>
                          <w:sz w:val="21"/>
                        </w:rPr>
                      </w:pPr>
                      <w:r>
                        <w:rPr>
                          <w:rFonts w:hint="eastAsia" w:ascii="メイリオ" w:hAnsi="メイリオ" w:eastAsia="メイリオ"/>
                          <w:color w:val="000000" w:themeColor="text1"/>
                          <w:sz w:val="21"/>
                        </w:rPr>
                        <w:t>（４）認知症の人とその家族への支援体制の強化</w:t>
                      </w:r>
                    </w:p>
                    <w:p>
                      <w:pPr>
                        <w:pStyle w:val="0"/>
                        <w:spacing w:line="360" w:lineRule="exact"/>
                        <w:ind w:left="110" w:leftChars="50"/>
                        <w:jc w:val="left"/>
                        <w:rPr>
                          <w:rFonts w:hint="default" w:ascii="メイリオ" w:hAnsi="メイリオ" w:eastAsia="メイリオ"/>
                          <w:color w:val="000000" w:themeColor="text1"/>
                          <w:sz w:val="21"/>
                        </w:rPr>
                      </w:pPr>
                      <w:r>
                        <w:rPr>
                          <w:rFonts w:hint="eastAsia" w:ascii="メイリオ" w:hAnsi="メイリオ" w:eastAsia="メイリオ"/>
                          <w:color w:val="000000" w:themeColor="text1"/>
                          <w:sz w:val="21"/>
                        </w:rPr>
                        <w:t>（５）認知症バリアフリーの推進</w:t>
                      </w:r>
                    </w:p>
                  </w:txbxContent>
                </v:textbox>
                <v:imagedata o:title=""/>
                <w10:wrap type="none" anchorx="text" anchory="text"/>
              </v:roundrect>
            </w:pict>
          </mc:Fallback>
        </mc:AlternateContent>
      </w: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r>
        <w:rPr>
          <w:rFonts w:hint="eastAsia"/>
          <w:color w:val="auto"/>
          <w:highlight w:val="none"/>
        </w:rPr>
        <mc:AlternateContent>
          <mc:Choice Requires="wps">
            <w:drawing>
              <wp:anchor distT="0" distB="0" distL="114300" distR="114300" simplePos="0" relativeHeight="119" behindDoc="1" locked="0" layoutInCell="1" hidden="0" allowOverlap="1">
                <wp:simplePos x="0" y="0"/>
                <wp:positionH relativeFrom="column">
                  <wp:posOffset>737870</wp:posOffset>
                </wp:positionH>
                <wp:positionV relativeFrom="paragraph">
                  <wp:posOffset>89535</wp:posOffset>
                </wp:positionV>
                <wp:extent cx="2087880" cy="0"/>
                <wp:effectExtent l="0" t="635" r="29210" b="10795"/>
                <wp:wrapNone/>
                <wp:docPr id="1168" name="直線コネクタ 139"/>
                <a:graphic xmlns:a="http://schemas.openxmlformats.org/drawingml/2006/main">
                  <a:graphicData uri="http://schemas.microsoft.com/office/word/2010/wordprocessingShape">
                    <wps:wsp>
                      <wps:cNvPr id="1168" name="直線コネクタ 139"/>
                      <wps:cNvSpPr/>
                      <wps:spPr>
                        <a:xfrm>
                          <a:off x="0" y="0"/>
                          <a:ext cx="208788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直線コネクタ 139" style="mso-wrap-distance-top:0pt;mso-wrap-distance-right:9pt;mso-wrap-distance-bottom:0pt;mso-position-vertical-relative:text;mso-position-horizontal-relative:text;position:absolute;mso-wrap-distance-left:9pt;z-index:-503316361;" o:spid="_x0000_s1168" o:allowincell="t" o:allowoverlap="t" filled="f" stroked="t" strokecolor="#000000" strokeweight="0.75pt" o:spt="20" from="58.1pt,7.0500000000000007pt" to="222.5pt,7.0500000000000007pt">
                <v:fill/>
                <v:stroke linestyle="single" endcap="flat" dashstyle="solid" filltype="solid"/>
                <v:textbox style="layout-flow:horizontal;"/>
                <v:imagedata o:title=""/>
                <w10:wrap type="none" anchorx="text" anchory="text"/>
              </v:line>
            </w:pict>
          </mc:Fallback>
        </mc:AlternateContent>
      </w: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r>
        <w:rPr>
          <w:rFonts w:hint="eastAsia"/>
          <w:color w:val="auto"/>
          <w:highlight w:val="none"/>
        </w:rPr>
        <mc:AlternateContent>
          <mc:Choice Requires="wps">
            <w:drawing>
              <wp:anchor distT="0" distB="0" distL="114300" distR="114300" simplePos="0" relativeHeight="122" behindDoc="0" locked="0" layoutInCell="1" hidden="0" allowOverlap="1">
                <wp:simplePos x="0" y="0"/>
                <wp:positionH relativeFrom="column">
                  <wp:posOffset>2728595</wp:posOffset>
                </wp:positionH>
                <wp:positionV relativeFrom="paragraph">
                  <wp:posOffset>200025</wp:posOffset>
                </wp:positionV>
                <wp:extent cx="3086100" cy="1115695"/>
                <wp:effectExtent l="635" t="635" r="29845" b="10795"/>
                <wp:wrapNone/>
                <wp:docPr id="1169" name="角丸四角形 38"/>
                <a:graphic xmlns:a="http://schemas.openxmlformats.org/drawingml/2006/main">
                  <a:graphicData uri="http://schemas.microsoft.com/office/word/2010/wordprocessingShape">
                    <wps:wsp>
                      <wps:cNvPr id="1169" name="角丸四角形 38"/>
                      <wps:cNvSpPr/>
                      <wps:spPr>
                        <a:xfrm>
                          <a:off x="0" y="0"/>
                          <a:ext cx="3086100" cy="1115695"/>
                        </a:xfrm>
                        <a:prstGeom prst="roundRect">
                          <a:avLst>
                            <a:gd name="adj" fmla="val 8810"/>
                          </a:avLst>
                        </a:prstGeom>
                        <a:solidFill>
                          <a:sysClr val="window" lastClr="FFFFFF"/>
                        </a:solidFill>
                        <a:ln w="6350" cap="flat" cmpd="sng" algn="ctr">
                          <a:solidFill>
                            <a:sysClr val="windowText" lastClr="000000">
                              <a:lumMod val="75000"/>
                              <a:lumOff val="25000"/>
                            </a:sysClr>
                          </a:solidFill>
                          <a:prstDash val="solid"/>
                        </a:ln>
                        <a:effectLst/>
                      </wps:spPr>
                      <wps:txbx>
                        <w:txbxContent>
                          <w:p>
                            <w:pPr>
                              <w:pStyle w:val="0"/>
                              <w:spacing w:line="360" w:lineRule="exact"/>
                              <w:ind w:left="110" w:leftChars="50"/>
                              <w:jc w:val="left"/>
                              <w:rPr>
                                <w:rFonts w:hint="default" w:ascii="メイリオ" w:hAnsi="メイリオ" w:eastAsia="メイリオ"/>
                                <w:sz w:val="21"/>
                              </w:rPr>
                            </w:pPr>
                            <w:r>
                              <w:rPr>
                                <w:rFonts w:hint="eastAsia" w:ascii="メイリオ" w:hAnsi="メイリオ" w:eastAsia="メイリオ"/>
                                <w:color w:val="000000" w:themeColor="text1"/>
                                <w:sz w:val="21"/>
                              </w:rPr>
                              <w:t>（</w:t>
                            </w:r>
                            <w:r>
                              <w:rPr>
                                <w:rFonts w:hint="eastAsia" w:ascii="メイリオ" w:hAnsi="メイリオ" w:eastAsia="メイリオ"/>
                                <w:sz w:val="21"/>
                              </w:rPr>
                              <w:t>１）</w:t>
                            </w:r>
                            <w:r>
                              <w:rPr>
                                <w:rFonts w:hint="eastAsia" w:ascii="メイリオ" w:hAnsi="メイリオ" w:eastAsia="メイリオ"/>
                                <w:sz w:val="20"/>
                              </w:rPr>
                              <w:t>地域の実情に応じた介護サービスの基盤整備</w:t>
                            </w:r>
                          </w:p>
                          <w:p>
                            <w:pPr>
                              <w:pStyle w:val="0"/>
                              <w:spacing w:line="360" w:lineRule="exact"/>
                              <w:ind w:left="110" w:leftChars="50"/>
                              <w:jc w:val="left"/>
                              <w:rPr>
                                <w:rFonts w:hint="default" w:ascii="メイリオ" w:hAnsi="メイリオ" w:eastAsia="メイリオ"/>
                                <w:sz w:val="21"/>
                              </w:rPr>
                            </w:pPr>
                            <w:r>
                              <w:rPr>
                                <w:rFonts w:hint="eastAsia" w:ascii="メイリオ" w:hAnsi="メイリオ" w:eastAsia="メイリオ"/>
                                <w:sz w:val="21"/>
                              </w:rPr>
                              <w:t>（２）働きやすい職場づくりの推進</w:t>
                            </w:r>
                          </w:p>
                          <w:p>
                            <w:pPr>
                              <w:pStyle w:val="0"/>
                              <w:spacing w:line="360" w:lineRule="exact"/>
                              <w:ind w:left="110" w:leftChars="50"/>
                              <w:jc w:val="left"/>
                              <w:rPr>
                                <w:rFonts w:hint="default" w:ascii="メイリオ" w:hAnsi="メイリオ" w:eastAsia="メイリオ"/>
                                <w:sz w:val="21"/>
                              </w:rPr>
                            </w:pPr>
                            <w:r>
                              <w:rPr>
                                <w:rFonts w:hint="eastAsia" w:ascii="メイリオ" w:hAnsi="メイリオ" w:eastAsia="メイリオ"/>
                                <w:sz w:val="21"/>
                              </w:rPr>
                              <w:t>（３）総合的な介護人材の確保対策</w:t>
                            </w:r>
                          </w:p>
                          <w:p>
                            <w:pPr>
                              <w:pStyle w:val="0"/>
                              <w:spacing w:line="360" w:lineRule="exact"/>
                              <w:ind w:left="110" w:leftChars="50"/>
                              <w:jc w:val="left"/>
                              <w:rPr>
                                <w:rFonts w:hint="default" w:ascii="メイリオ" w:hAnsi="メイリオ" w:eastAsia="メイリオ"/>
                                <w:color w:val="000000" w:themeColor="text1"/>
                                <w:sz w:val="21"/>
                              </w:rPr>
                            </w:pPr>
                            <w:r>
                              <w:rPr>
                                <w:rFonts w:hint="eastAsia" w:ascii="メイリオ" w:hAnsi="メイリオ" w:eastAsia="メイリオ"/>
                                <w:sz w:val="21"/>
                              </w:rPr>
                              <w:t>（４）介護保険サービスの資質向上</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38" style="mso-wrap-distance-right:9pt;mso-wrap-distance-bottom:0pt;margin-top:15.75pt;mso-position-vertical-relative:text;mso-position-horizontal-relative:text;v-text-anchor:middle;position:absolute;height:87.85pt;mso-wrap-distance-top:0pt;width:243pt;mso-wrap-distance-left:9pt;margin-left:214.85pt;z-index:122;" o:spid="_x0000_s1169" o:allowincell="t" o:allowoverlap="t" filled="t" fillcolor="#ffffff" stroked="t" strokecolor="#404040" strokeweight="0.5pt" o:spt="2" arcsize="5774f">
                <v:fill/>
                <v:stroke linestyle="single" endcap="flat" dashstyle="solid" filltype="solid"/>
                <v:textbox style="layout-flow:horizontal;" inset="0mm,0mm,0mm,0mm">
                  <w:txbxContent>
                    <w:p>
                      <w:pPr>
                        <w:pStyle w:val="0"/>
                        <w:spacing w:line="360" w:lineRule="exact"/>
                        <w:ind w:left="110" w:leftChars="50"/>
                        <w:jc w:val="left"/>
                        <w:rPr>
                          <w:rFonts w:hint="default" w:ascii="メイリオ" w:hAnsi="メイリオ" w:eastAsia="メイリオ"/>
                          <w:sz w:val="21"/>
                        </w:rPr>
                      </w:pPr>
                      <w:r>
                        <w:rPr>
                          <w:rFonts w:hint="eastAsia" w:ascii="メイリオ" w:hAnsi="メイリオ" w:eastAsia="メイリオ"/>
                          <w:color w:val="000000" w:themeColor="text1"/>
                          <w:sz w:val="21"/>
                        </w:rPr>
                        <w:t>（</w:t>
                      </w:r>
                      <w:r>
                        <w:rPr>
                          <w:rFonts w:hint="eastAsia" w:ascii="メイリオ" w:hAnsi="メイリオ" w:eastAsia="メイリオ"/>
                          <w:sz w:val="21"/>
                        </w:rPr>
                        <w:t>１）</w:t>
                      </w:r>
                      <w:r>
                        <w:rPr>
                          <w:rFonts w:hint="eastAsia" w:ascii="メイリオ" w:hAnsi="メイリオ" w:eastAsia="メイリオ"/>
                          <w:sz w:val="20"/>
                        </w:rPr>
                        <w:t>地域の実情に応じた介護サービスの基盤整備</w:t>
                      </w:r>
                    </w:p>
                    <w:p>
                      <w:pPr>
                        <w:pStyle w:val="0"/>
                        <w:spacing w:line="360" w:lineRule="exact"/>
                        <w:ind w:left="110" w:leftChars="50"/>
                        <w:jc w:val="left"/>
                        <w:rPr>
                          <w:rFonts w:hint="default" w:ascii="メイリオ" w:hAnsi="メイリオ" w:eastAsia="メイリオ"/>
                          <w:sz w:val="21"/>
                        </w:rPr>
                      </w:pPr>
                      <w:r>
                        <w:rPr>
                          <w:rFonts w:hint="eastAsia" w:ascii="メイリオ" w:hAnsi="メイリオ" w:eastAsia="メイリオ"/>
                          <w:sz w:val="21"/>
                        </w:rPr>
                        <w:t>（２）働きやすい職場づくりの推進</w:t>
                      </w:r>
                    </w:p>
                    <w:p>
                      <w:pPr>
                        <w:pStyle w:val="0"/>
                        <w:spacing w:line="360" w:lineRule="exact"/>
                        <w:ind w:left="110" w:leftChars="50"/>
                        <w:jc w:val="left"/>
                        <w:rPr>
                          <w:rFonts w:hint="default" w:ascii="メイリオ" w:hAnsi="メイリオ" w:eastAsia="メイリオ"/>
                          <w:sz w:val="21"/>
                        </w:rPr>
                      </w:pPr>
                      <w:r>
                        <w:rPr>
                          <w:rFonts w:hint="eastAsia" w:ascii="メイリオ" w:hAnsi="メイリオ" w:eastAsia="メイリオ"/>
                          <w:sz w:val="21"/>
                        </w:rPr>
                        <w:t>（３）総合的な介護人材の確保対策</w:t>
                      </w:r>
                    </w:p>
                    <w:p>
                      <w:pPr>
                        <w:pStyle w:val="0"/>
                        <w:spacing w:line="360" w:lineRule="exact"/>
                        <w:ind w:left="110" w:leftChars="50"/>
                        <w:jc w:val="left"/>
                        <w:rPr>
                          <w:rFonts w:hint="default" w:ascii="メイリオ" w:hAnsi="メイリオ" w:eastAsia="メイリオ"/>
                          <w:color w:val="000000" w:themeColor="text1"/>
                          <w:sz w:val="21"/>
                        </w:rPr>
                      </w:pPr>
                      <w:r>
                        <w:rPr>
                          <w:rFonts w:hint="eastAsia" w:ascii="メイリオ" w:hAnsi="メイリオ" w:eastAsia="メイリオ"/>
                          <w:sz w:val="21"/>
                        </w:rPr>
                        <w:t>（４）介護保険サービスの資質向上</w:t>
                      </w:r>
                    </w:p>
                  </w:txbxContent>
                </v:textbox>
                <v:imagedata o:title=""/>
                <w10:wrap type="none" anchorx="text" anchory="text"/>
              </v:roundrect>
            </w:pict>
          </mc:Fallback>
        </mc:AlternateContent>
      </w:r>
      <w:r>
        <w:rPr>
          <w:rFonts w:hint="eastAsia"/>
          <w:color w:val="auto"/>
          <w:highlight w:val="none"/>
        </w:rPr>
        <mc:AlternateContent>
          <mc:Choice Requires="wps">
            <w:drawing>
              <wp:anchor distT="0" distB="0" distL="114300" distR="114300" simplePos="0" relativeHeight="114" behindDoc="0" locked="0" layoutInCell="1" hidden="0" allowOverlap="1">
                <wp:simplePos x="0" y="0"/>
                <wp:positionH relativeFrom="column">
                  <wp:posOffset>957580</wp:posOffset>
                </wp:positionH>
                <wp:positionV relativeFrom="paragraph">
                  <wp:posOffset>203835</wp:posOffset>
                </wp:positionV>
                <wp:extent cx="1583690" cy="1115695"/>
                <wp:effectExtent l="635" t="635" r="635" b="635"/>
                <wp:wrapNone/>
                <wp:docPr id="1170" name="角丸四角形 20"/>
                <a:graphic xmlns:a="http://schemas.openxmlformats.org/drawingml/2006/main">
                  <a:graphicData uri="http://schemas.microsoft.com/office/word/2010/wordprocessingShape">
                    <wps:wsp>
                      <wps:cNvPr id="1170" name="角丸四角形 20"/>
                      <wps:cNvSpPr/>
                      <wps:spPr>
                        <a:xfrm>
                          <a:off x="0" y="0"/>
                          <a:ext cx="1583690" cy="1115695"/>
                        </a:xfrm>
                        <a:prstGeom prst="roundRect">
                          <a:avLst>
                            <a:gd name="adj" fmla="val 10978"/>
                          </a:avLst>
                        </a:prstGeom>
                        <a:solidFill>
                          <a:srgbClr val="99CCFF"/>
                        </a:solidFill>
                        <a:ln w="6350" cap="flat" cmpd="sng" algn="ctr">
                          <a:noFill/>
                          <a:prstDash val="solid"/>
                        </a:ln>
                        <a:effectLst/>
                      </wps:spPr>
                      <wps:txbx>
                        <w:txbxContent>
                          <w:p>
                            <w:pPr>
                              <w:pStyle w:val="0"/>
                              <w:spacing w:line="280" w:lineRule="exact"/>
                              <w:jc w:val="center"/>
                              <w:rPr>
                                <w:rFonts w:hint="default" w:ascii="メイリオ" w:hAnsi="メイリオ" w:eastAsia="メイリオ"/>
                                <w:sz w:val="24"/>
                              </w:rPr>
                            </w:pPr>
                            <w:r>
                              <w:rPr>
                                <w:rFonts w:hint="eastAsia" w:ascii="メイリオ" w:hAnsi="メイリオ" w:eastAsia="メイリオ"/>
                                <w:sz w:val="24"/>
                              </w:rPr>
                              <w:t>４</w:t>
                            </w:r>
                          </w:p>
                          <w:p>
                            <w:pPr>
                              <w:pStyle w:val="0"/>
                              <w:spacing w:line="280" w:lineRule="exact"/>
                              <w:jc w:val="center"/>
                              <w:rPr>
                                <w:rFonts w:hint="default" w:ascii="メイリオ" w:hAnsi="メイリオ" w:eastAsia="メイリオ"/>
                                <w:sz w:val="24"/>
                              </w:rPr>
                            </w:pPr>
                            <w:r>
                              <w:rPr>
                                <w:rFonts w:hint="eastAsia" w:ascii="メイリオ" w:hAnsi="メイリオ" w:eastAsia="メイリオ"/>
                                <w:sz w:val="24"/>
                              </w:rPr>
                              <w:t>介護保険サービスの</w:t>
                            </w:r>
                          </w:p>
                          <w:p>
                            <w:pPr>
                              <w:pStyle w:val="0"/>
                              <w:spacing w:line="280" w:lineRule="exact"/>
                              <w:jc w:val="center"/>
                              <w:rPr>
                                <w:rFonts w:hint="default" w:ascii="メイリオ" w:hAnsi="メイリオ" w:eastAsia="メイリオ"/>
                                <w:sz w:val="24"/>
                              </w:rPr>
                            </w:pPr>
                            <w:r>
                              <w:rPr>
                                <w:rFonts w:hint="eastAsia" w:ascii="メイリオ" w:hAnsi="メイリオ" w:eastAsia="メイリオ"/>
                                <w:sz w:val="24"/>
                              </w:rPr>
                              <w:t>安定的な提供</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20" style="mso-wrap-distance-right:9pt;mso-wrap-distance-bottom:0pt;margin-top:16.05pt;mso-position-vertical-relative:text;mso-position-horizontal-relative:text;v-text-anchor:middle;position:absolute;height:87.85pt;mso-wrap-distance-top:0pt;width:124.7pt;mso-wrap-distance-left:9pt;margin-left:75.400000000000006pt;z-index:114;" o:spid="_x0000_s1170" o:allowincell="t" o:allowoverlap="t" filled="t" fillcolor="#99ccff" stroked="f" strokeweight="0.5pt" o:spt="2" arcsize="7194f">
                <v:fill/>
                <v:stroke linestyle="single" endcap="flat" dashstyle="solid"/>
                <v:textbox style="layout-flow:horizontal;" inset="0mm,0mm,0mm,0mm">
                  <w:txbxContent>
                    <w:p>
                      <w:pPr>
                        <w:pStyle w:val="0"/>
                        <w:spacing w:line="280" w:lineRule="exact"/>
                        <w:jc w:val="center"/>
                        <w:rPr>
                          <w:rFonts w:hint="default" w:ascii="メイリオ" w:hAnsi="メイリオ" w:eastAsia="メイリオ"/>
                          <w:sz w:val="24"/>
                        </w:rPr>
                      </w:pPr>
                      <w:r>
                        <w:rPr>
                          <w:rFonts w:hint="eastAsia" w:ascii="メイリオ" w:hAnsi="メイリオ" w:eastAsia="メイリオ"/>
                          <w:sz w:val="24"/>
                        </w:rPr>
                        <w:t>４</w:t>
                      </w:r>
                    </w:p>
                    <w:p>
                      <w:pPr>
                        <w:pStyle w:val="0"/>
                        <w:spacing w:line="280" w:lineRule="exact"/>
                        <w:jc w:val="center"/>
                        <w:rPr>
                          <w:rFonts w:hint="default" w:ascii="メイリオ" w:hAnsi="メイリオ" w:eastAsia="メイリオ"/>
                          <w:sz w:val="24"/>
                        </w:rPr>
                      </w:pPr>
                      <w:r>
                        <w:rPr>
                          <w:rFonts w:hint="eastAsia" w:ascii="メイリオ" w:hAnsi="メイリオ" w:eastAsia="メイリオ"/>
                          <w:sz w:val="24"/>
                        </w:rPr>
                        <w:t>介護保険サービスの</w:t>
                      </w:r>
                    </w:p>
                    <w:p>
                      <w:pPr>
                        <w:pStyle w:val="0"/>
                        <w:spacing w:line="280" w:lineRule="exact"/>
                        <w:jc w:val="center"/>
                        <w:rPr>
                          <w:rFonts w:hint="default" w:ascii="メイリオ" w:hAnsi="メイリオ" w:eastAsia="メイリオ"/>
                          <w:sz w:val="24"/>
                        </w:rPr>
                      </w:pPr>
                      <w:r>
                        <w:rPr>
                          <w:rFonts w:hint="eastAsia" w:ascii="メイリオ" w:hAnsi="メイリオ" w:eastAsia="メイリオ"/>
                          <w:sz w:val="24"/>
                        </w:rPr>
                        <w:t>安定的な提供</w:t>
                      </w:r>
                    </w:p>
                  </w:txbxContent>
                </v:textbox>
                <v:imagedata o:title=""/>
                <w10:wrap type="none" anchorx="text" anchory="text"/>
              </v:roundrect>
            </w:pict>
          </mc:Fallback>
        </mc:AlternateContent>
      </w:r>
    </w:p>
    <w:p>
      <w:pPr>
        <w:pStyle w:val="0"/>
        <w:spacing w:line="380" w:lineRule="exact"/>
        <w:rPr>
          <w:rFonts w:hint="default"/>
          <w:color w:val="auto"/>
          <w:highlight w:val="none"/>
        </w:rPr>
      </w:pPr>
    </w:p>
    <w:p>
      <w:pPr>
        <w:pStyle w:val="0"/>
        <w:spacing w:line="380" w:lineRule="exact"/>
        <w:rPr>
          <w:rFonts w:hint="default"/>
          <w:color w:val="auto"/>
          <w:highlight w:val="none"/>
        </w:rPr>
      </w:pPr>
    </w:p>
    <w:p>
      <w:pPr>
        <w:pStyle w:val="0"/>
        <w:spacing w:line="380" w:lineRule="exact"/>
        <w:rPr>
          <w:rFonts w:hint="default"/>
          <w:color w:val="auto"/>
          <w:highlight w:val="none"/>
        </w:rPr>
      </w:pPr>
      <w:r>
        <w:rPr>
          <w:rFonts w:hint="eastAsia"/>
          <w:color w:val="auto"/>
          <w:highlight w:val="none"/>
        </w:rPr>
        <mc:AlternateContent>
          <mc:Choice Requires="wps">
            <w:drawing>
              <wp:anchor distT="0" distB="0" distL="114300" distR="114300" simplePos="0" relativeHeight="117" behindDoc="1" locked="0" layoutInCell="1" hidden="0" allowOverlap="1">
                <wp:simplePos x="0" y="0"/>
                <wp:positionH relativeFrom="column">
                  <wp:posOffset>737870</wp:posOffset>
                </wp:positionH>
                <wp:positionV relativeFrom="paragraph">
                  <wp:posOffset>20320</wp:posOffset>
                </wp:positionV>
                <wp:extent cx="2087880" cy="0"/>
                <wp:effectExtent l="0" t="635" r="29210" b="10795"/>
                <wp:wrapNone/>
                <wp:docPr id="1171" name="直線コネクタ 30"/>
                <a:graphic xmlns:a="http://schemas.openxmlformats.org/drawingml/2006/main">
                  <a:graphicData uri="http://schemas.microsoft.com/office/word/2010/wordprocessingShape">
                    <wps:wsp>
                      <wps:cNvPr id="1171" name="直線コネクタ 30"/>
                      <wps:cNvSpPr/>
                      <wps:spPr>
                        <a:xfrm>
                          <a:off x="0" y="0"/>
                          <a:ext cx="208788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直線コネクタ 30" style="mso-wrap-distance-top:0pt;mso-wrap-distance-right:9pt;mso-wrap-distance-bottom:0pt;mso-position-vertical-relative:text;mso-position-horizontal-relative:text;position:absolute;mso-wrap-distance-left:9pt;z-index:-503316363;" o:spid="_x0000_s1171" o:allowincell="t" o:allowoverlap="t" filled="f" stroked="t" strokecolor="#000000" strokeweight="0.75pt" o:spt="20" from="58.1pt,1.6pt" to="222.5pt,1.6pt">
                <v:fill/>
                <v:stroke linestyle="single" endcap="flat" dashstyle="solid" filltype="solid"/>
                <v:textbox style="layout-flow:horizontal;"/>
                <v:imagedata o:title=""/>
                <w10:wrap type="none" anchorx="text" anchory="text"/>
              </v:line>
            </w:pict>
          </mc:Fallback>
        </mc:AlternateContent>
      </w:r>
    </w:p>
    <w:p>
      <w:pPr>
        <w:pStyle w:val="0"/>
        <w:spacing w:line="380" w:lineRule="exact"/>
        <w:rPr>
          <w:rFonts w:hint="default"/>
          <w:color w:val="auto"/>
          <w:highlight w:val="none"/>
        </w:rPr>
      </w:pPr>
    </w:p>
    <w:p>
      <w:pPr>
        <w:pStyle w:val="41"/>
        <w:jc w:val="center"/>
        <w:rPr>
          <w:rFonts w:hint="default"/>
          <w:color w:val="auto"/>
          <w:highlight w:val="none"/>
        </w:rPr>
      </w:pPr>
      <w:bookmarkStart w:id="100" w:name="_Toc149666119"/>
      <w:bookmarkStart w:id="101" w:name="_Toc149685617"/>
      <w:bookmarkStart w:id="102" w:name="_Toc152155853"/>
      <w:r>
        <w:rPr>
          <w:rFonts w:hint="default"/>
          <w:color w:val="auto"/>
          <w:highlight w:val="none"/>
        </w:rPr>
        <w:drawing>
          <wp:anchor distT="0" distB="0" distL="114300" distR="114300" simplePos="0" relativeHeight="160" behindDoc="0" locked="0" layoutInCell="1" hidden="0" allowOverlap="1">
            <wp:simplePos x="0" y="0"/>
            <wp:positionH relativeFrom="margin">
              <wp:posOffset>-209550</wp:posOffset>
            </wp:positionH>
            <wp:positionV relativeFrom="paragraph">
              <wp:posOffset>287655</wp:posOffset>
            </wp:positionV>
            <wp:extent cx="6239510" cy="3332480"/>
            <wp:effectExtent l="0" t="0" r="0" b="0"/>
            <wp:wrapNone/>
            <wp:docPr id="1172" name="図 1" descr="タイムライン が含まれている画像&#10;&#10;自動的に生成された説明"/>
            <a:graphic xmlns:a="http://schemas.openxmlformats.org/drawingml/2006/main">
              <a:graphicData uri="http://schemas.openxmlformats.org/drawingml/2006/picture">
                <pic:pic xmlns:pic="http://schemas.openxmlformats.org/drawingml/2006/picture">
                  <pic:nvPicPr>
                    <pic:cNvPr id="1172" name="図 1" descr="タイムライン が含まれている画像&#10;&#10;自動的に生成された説明"/>
                    <pic:cNvPicPr/>
                  </pic:nvPicPr>
                  <pic:blipFill>
                    <a:blip r:embed="rId94"/>
                    <a:srcRect t="15654" b="8879"/>
                    <a:stretch>
                      <a:fillRect/>
                    </a:stretch>
                  </pic:blipFill>
                  <pic:spPr>
                    <a:xfrm>
                      <a:off x="0" y="0"/>
                      <a:ext cx="6239510" cy="3332480"/>
                    </a:xfrm>
                    <a:prstGeom prst="rect">
                      <a:avLst/>
                    </a:prstGeom>
                    <a:ln>
                      <a:noFill/>
                    </a:ln>
                  </pic:spPr>
                </pic:pic>
              </a:graphicData>
            </a:graphic>
          </wp:anchor>
        </w:drawing>
      </w:r>
      <w:r>
        <w:rPr>
          <w:rFonts w:hint="eastAsia"/>
          <w:b w:val="1"/>
          <w:color w:val="auto"/>
          <w:sz w:val="36"/>
          <w:highlight w:val="none"/>
        </w:rPr>
        <w:t>≪廿日市市の推進する重層的支援体制整備事業≫</w:t>
      </w:r>
      <w:bookmarkEnd w:id="100"/>
      <w:bookmarkEnd w:id="101"/>
      <w:bookmarkEnd w:id="102"/>
    </w:p>
    <w:p>
      <w:pPr>
        <w:pStyle w:val="41"/>
        <w:rPr>
          <w:rFonts w:hint="default"/>
          <w:color w:val="auto"/>
          <w:highlight w:val="none"/>
        </w:rPr>
      </w:pPr>
    </w:p>
    <w:p>
      <w:pPr>
        <w:pStyle w:val="41"/>
        <w:rPr>
          <w:rFonts w:hint="default"/>
          <w:color w:val="auto"/>
          <w:highlight w:val="none"/>
        </w:rPr>
      </w:pPr>
    </w:p>
    <w:p>
      <w:pPr>
        <w:pStyle w:val="41"/>
        <w:rPr>
          <w:rFonts w:hint="default"/>
          <w:color w:val="auto"/>
          <w:highlight w:val="none"/>
        </w:rPr>
      </w:pPr>
    </w:p>
    <w:p>
      <w:pPr>
        <w:pStyle w:val="41"/>
        <w:rPr>
          <w:rFonts w:hint="default"/>
          <w:color w:val="auto"/>
          <w:highlight w:val="none"/>
        </w:rPr>
      </w:pPr>
    </w:p>
    <w:p>
      <w:pPr>
        <w:pStyle w:val="41"/>
        <w:rPr>
          <w:rFonts w:hint="default"/>
          <w:color w:val="auto"/>
          <w:highlight w:val="none"/>
        </w:rPr>
      </w:pPr>
    </w:p>
    <w:p>
      <w:pPr>
        <w:pStyle w:val="41"/>
        <w:rPr>
          <w:rFonts w:hint="default"/>
          <w:color w:val="auto"/>
          <w:highlight w:val="none"/>
        </w:rPr>
      </w:pPr>
    </w:p>
    <w:p>
      <w:pPr>
        <w:pStyle w:val="41"/>
        <w:rPr>
          <w:rFonts w:hint="default"/>
          <w:color w:val="auto"/>
          <w:highlight w:val="none"/>
        </w:rPr>
      </w:pPr>
    </w:p>
    <w:p>
      <w:pPr>
        <w:pStyle w:val="41"/>
        <w:rPr>
          <w:rFonts w:hint="default"/>
          <w:color w:val="auto"/>
          <w:highlight w:val="none"/>
        </w:rPr>
      </w:pPr>
    </w:p>
    <w:p>
      <w:pPr>
        <w:pStyle w:val="41"/>
        <w:rPr>
          <w:rFonts w:hint="default"/>
          <w:color w:val="auto"/>
          <w:highlight w:val="none"/>
        </w:rPr>
      </w:pPr>
    </w:p>
    <w:p>
      <w:pPr>
        <w:pStyle w:val="41"/>
        <w:rPr>
          <w:rFonts w:hint="default"/>
          <w:color w:val="auto"/>
          <w:highlight w:val="none"/>
        </w:rPr>
      </w:pPr>
    </w:p>
    <w:p>
      <w:pPr>
        <w:pStyle w:val="41"/>
        <w:rPr>
          <w:rFonts w:hint="default"/>
          <w:color w:val="auto"/>
          <w:highlight w:val="none"/>
        </w:rPr>
      </w:pPr>
    </w:p>
    <w:p>
      <w:pPr>
        <w:pStyle w:val="41"/>
        <w:rPr>
          <w:rFonts w:hint="default"/>
          <w:color w:val="auto"/>
          <w:highlight w:val="none"/>
        </w:rPr>
      </w:pPr>
    </w:p>
    <w:p>
      <w:pPr>
        <w:pStyle w:val="41"/>
        <w:rPr>
          <w:rFonts w:hint="default"/>
          <w:color w:val="auto"/>
          <w:highlight w:val="none"/>
        </w:rPr>
      </w:pPr>
    </w:p>
    <w:p>
      <w:pPr>
        <w:pStyle w:val="41"/>
        <w:rPr>
          <w:rFonts w:hint="default"/>
          <w:color w:val="auto"/>
          <w:highlight w:val="none"/>
        </w:rPr>
      </w:pPr>
    </w:p>
    <w:p>
      <w:pPr>
        <w:pStyle w:val="41"/>
        <w:rPr>
          <w:rFonts w:hint="default"/>
          <w:color w:val="auto"/>
          <w:highlight w:val="none"/>
        </w:rPr>
      </w:pPr>
    </w:p>
    <w:p>
      <w:pPr>
        <w:pStyle w:val="24"/>
        <w:rPr>
          <w:rFonts w:hint="default"/>
          <w:color w:val="auto"/>
          <w:highlight w:val="none"/>
        </w:rPr>
      </w:pPr>
      <w:r>
        <w:rPr>
          <w:rFonts w:hint="eastAsia"/>
          <w:color w:val="auto"/>
          <w:highlight w:val="none"/>
        </w:rPr>
        <w:t>重層的支援体制整備とは、年齢や性別、分野など対象者の属性を問わない相談支援、多様な参加支援、地域づくりに向けた支援を一体的に実施することにより、地域住民の複合化・複雑化した支援ニーズに対応する包括的な支援体制を整備することです。</w:t>
      </w:r>
    </w:p>
    <w:p>
      <w:pPr>
        <w:pStyle w:val="41"/>
        <w:rPr>
          <w:rFonts w:hint="default"/>
          <w:color w:val="auto"/>
          <w:highlight w:val="none"/>
        </w:rPr>
      </w:pPr>
      <w:r>
        <w:rPr>
          <w:rFonts w:hint="default"/>
          <w:color w:val="auto"/>
          <w:highlight w:val="none"/>
        </w:rPr>
        <w:br w:type="page"/>
      </w:r>
    </w:p>
    <w:p>
      <w:pPr>
        <w:pStyle w:val="20"/>
        <w:rPr>
          <w:rFonts w:hint="default"/>
          <w:color w:val="auto"/>
          <w:highlight w:val="none"/>
        </w:rPr>
      </w:pPr>
      <w:bookmarkStart w:id="103" w:name="_Toc150813535"/>
      <w:bookmarkStart w:id="104" w:name="_Toc152160658"/>
      <w:r>
        <w:rPr>
          <w:rFonts w:hint="eastAsia"/>
          <w:color w:val="auto"/>
          <w:highlight w:val="none"/>
        </w:rPr>
        <w:t>第５章　施策の展開</w:t>
      </w:r>
      <w:bookmarkEnd w:id="103"/>
      <w:bookmarkEnd w:id="104"/>
    </w:p>
    <w:p>
      <w:pPr>
        <w:pStyle w:val="22"/>
        <w:spacing w:after="76" w:afterLines="0" w:afterAutospacing="0"/>
        <w:rPr>
          <w:rFonts w:hint="default"/>
          <w:color w:val="auto"/>
          <w:highlight w:val="none"/>
        </w:rPr>
      </w:pPr>
      <w:bookmarkStart w:id="105" w:name="_Toc150813536"/>
      <w:bookmarkStart w:id="106" w:name="_Toc152160659"/>
      <w:r>
        <w:rPr>
          <w:rFonts w:hint="eastAsia"/>
          <w:color w:val="auto"/>
          <w:highlight w:val="none"/>
        </w:rPr>
        <w:t>基本方針１　地域包括ケアシステムの深化・推進</w:t>
      </w:r>
      <w:bookmarkEnd w:id="105"/>
      <w:bookmarkEnd w:id="106"/>
    </w:p>
    <w:p>
      <w:pPr>
        <w:pStyle w:val="41"/>
        <w:rPr>
          <w:rFonts w:hint="default"/>
          <w:color w:val="auto"/>
          <w:highlight w:val="none"/>
        </w:rPr>
      </w:pPr>
      <w:r>
        <w:rPr>
          <w:rFonts w:hint="default"/>
          <w:color w:val="auto"/>
          <w:highlight w:val="none"/>
        </w:rPr>
        <mc:AlternateContent>
          <mc:Choice Requires="wps">
            <w:drawing>
              <wp:anchor distT="0" distB="0" distL="114300" distR="114300" simplePos="0" relativeHeight="3" behindDoc="0" locked="0" layoutInCell="1" hidden="0" allowOverlap="1">
                <wp:simplePos x="0" y="0"/>
                <wp:positionH relativeFrom="column">
                  <wp:posOffset>0</wp:posOffset>
                </wp:positionH>
                <wp:positionV relativeFrom="paragraph">
                  <wp:posOffset>51435</wp:posOffset>
                </wp:positionV>
                <wp:extent cx="5734050" cy="647700"/>
                <wp:effectExtent l="635" t="635" r="29845" b="10795"/>
                <wp:wrapNone/>
                <wp:docPr id="1173" name="AutoShape 52"/>
                <a:graphic xmlns:a="http://schemas.openxmlformats.org/drawingml/2006/main">
                  <a:graphicData uri="http://schemas.microsoft.com/office/word/2010/wordprocessingShape">
                    <wps:wsp>
                      <wps:cNvPr id="1173" name="AutoShape 52"/>
                      <wps:cNvSpPr>
                        <a:spLocks noChangeArrowheads="1"/>
                      </wps:cNvSpPr>
                      <wps:spPr>
                        <a:xfrm>
                          <a:off x="0" y="0"/>
                          <a:ext cx="5734050" cy="647700"/>
                        </a:xfrm>
                        <a:prstGeom prst="roundRect">
                          <a:avLst>
                            <a:gd name="adj" fmla="val 13611"/>
                          </a:avLst>
                        </a:prstGeom>
                        <a:solidFill>
                          <a:schemeClr val="bg1"/>
                        </a:solidFill>
                        <a:ln w="6350">
                          <a:solidFill>
                            <a:srgbClr val="0070C0"/>
                          </a:solidFill>
                          <a:round/>
                          <a:headEnd/>
                          <a:tailEnd/>
                        </a:ln>
                      </wps:spPr>
                      <wps:txbx>
                        <w:txbxContent>
                          <w:p>
                            <w:pPr>
                              <w:pStyle w:val="0"/>
                              <w:spacing w:line="360" w:lineRule="exact"/>
                              <w:ind w:left="350" w:leftChars="50" w:hanging="240" w:hangingChars="100"/>
                              <w:jc w:val="left"/>
                              <w:rPr>
                                <w:rFonts w:hint="default" w:ascii="メイリオ" w:hAnsi="メイリオ" w:eastAsia="メイリオ"/>
                                <w:b w:val="1"/>
                                <w:sz w:val="24"/>
                              </w:rPr>
                            </w:pPr>
                            <w:r>
                              <w:rPr>
                                <w:rFonts w:hint="eastAsia" w:ascii="メイリオ" w:hAnsi="メイリオ" w:eastAsia="メイリオ"/>
                                <w:b w:val="1"/>
                                <w:color w:val="FFFFFF" w:themeColor="background1"/>
                                <w:sz w:val="24"/>
                                <w:shd w:val="clear" w:color="auto" w:fill="0070C0"/>
                              </w:rPr>
                              <w:t>めざす</w:t>
                            </w:r>
                            <w:r>
                              <w:rPr>
                                <w:rFonts w:hint="default" w:ascii="メイリオ" w:hAnsi="メイリオ" w:eastAsia="メイリオ"/>
                                <w:b w:val="1"/>
                                <w:color w:val="FFFFFF" w:themeColor="background1"/>
                                <w:sz w:val="24"/>
                                <w:shd w:val="clear" w:color="auto" w:fill="0070C0"/>
                              </w:rPr>
                              <w:t>姿</w:t>
                            </w:r>
                          </w:p>
                          <w:p>
                            <w:pPr>
                              <w:pStyle w:val="0"/>
                              <w:spacing w:before="111" w:beforeLines="30" w:beforeAutospacing="0" w:line="360" w:lineRule="exact"/>
                              <w:ind w:left="570" w:leftChars="150" w:hanging="240" w:hangingChars="100"/>
                              <w:jc w:val="left"/>
                              <w:rPr>
                                <w:rFonts w:hint="default" w:ascii="メイリオ" w:hAnsi="メイリオ" w:eastAsia="メイリオ"/>
                                <w:sz w:val="24"/>
                              </w:rPr>
                            </w:pPr>
                            <w:r>
                              <w:rPr>
                                <w:rFonts w:hint="eastAsia" w:ascii="メイリオ" w:hAnsi="メイリオ" w:eastAsia="メイリオ"/>
                                <w:sz w:val="24"/>
                              </w:rPr>
                              <w:t>住み慣れた自宅や地域で、安心して自立した生活を続けることができている。</w:t>
                            </w:r>
                          </w:p>
                        </w:txbxContent>
                      </wps:txbx>
                      <wps:bodyPr rot="0" vertOverflow="overflow" horzOverflow="overflow" wrap="square" lIns="0" tIns="0" rIns="0" bIns="0" anchor="ctr" anchorCtr="0" upright="1"/>
                    </wps:wsp>
                  </a:graphicData>
                </a:graphic>
              </wp:anchor>
            </w:drawing>
          </mc:Choice>
          <mc:Fallback>
            <w:pict>
              <v:roundrect id="AutoShape 52" style="mso-wrap-distance-right:9pt;mso-wrap-distance-bottom:0pt;margin-top:4.05pt;mso-position-vertical-relative:text;mso-position-horizontal-relative:text;v-text-anchor:middle;position:absolute;height:51pt;mso-wrap-distance-top:0pt;width:451.5pt;mso-wrap-distance-left:9pt;margin-left:0pt;z-index:3;" o:spid="_x0000_s1173" o:allowincell="t" o:allowoverlap="t" filled="t" fillcolor="#ffffff [3212]" stroked="t" strokecolor="#0070c0" strokeweight="0.5pt" o:spt="2" arcsize="8920f">
                <v:fill/>
                <v:stroke filltype="solid"/>
                <v:textbox style="layout-flow:horizontal;" inset="0mm,0mm,0mm,0mm">
                  <w:txbxContent>
                    <w:p>
                      <w:pPr>
                        <w:pStyle w:val="0"/>
                        <w:spacing w:line="360" w:lineRule="exact"/>
                        <w:ind w:left="350" w:leftChars="50" w:hanging="240" w:hangingChars="100"/>
                        <w:jc w:val="left"/>
                        <w:rPr>
                          <w:rFonts w:hint="default" w:ascii="メイリオ" w:hAnsi="メイリオ" w:eastAsia="メイリオ"/>
                          <w:b w:val="1"/>
                          <w:sz w:val="24"/>
                        </w:rPr>
                      </w:pPr>
                      <w:r>
                        <w:rPr>
                          <w:rFonts w:hint="eastAsia" w:ascii="メイリオ" w:hAnsi="メイリオ" w:eastAsia="メイリオ"/>
                          <w:b w:val="1"/>
                          <w:color w:val="FFFFFF" w:themeColor="background1"/>
                          <w:sz w:val="24"/>
                          <w:shd w:val="clear" w:color="auto" w:fill="0070C0"/>
                        </w:rPr>
                        <w:t>めざす</w:t>
                      </w:r>
                      <w:r>
                        <w:rPr>
                          <w:rFonts w:hint="default" w:ascii="メイリオ" w:hAnsi="メイリオ" w:eastAsia="メイリオ"/>
                          <w:b w:val="1"/>
                          <w:color w:val="FFFFFF" w:themeColor="background1"/>
                          <w:sz w:val="24"/>
                          <w:shd w:val="clear" w:color="auto" w:fill="0070C0"/>
                        </w:rPr>
                        <w:t>姿</w:t>
                      </w:r>
                    </w:p>
                    <w:p>
                      <w:pPr>
                        <w:pStyle w:val="0"/>
                        <w:spacing w:before="111" w:beforeLines="30" w:beforeAutospacing="0" w:line="360" w:lineRule="exact"/>
                        <w:ind w:left="570" w:leftChars="150" w:hanging="240" w:hangingChars="100"/>
                        <w:jc w:val="left"/>
                        <w:rPr>
                          <w:rFonts w:hint="default" w:ascii="メイリオ" w:hAnsi="メイリオ" w:eastAsia="メイリオ"/>
                          <w:sz w:val="24"/>
                        </w:rPr>
                      </w:pPr>
                      <w:r>
                        <w:rPr>
                          <w:rFonts w:hint="eastAsia" w:ascii="メイリオ" w:hAnsi="メイリオ" w:eastAsia="メイリオ"/>
                          <w:sz w:val="24"/>
                        </w:rPr>
                        <w:t>住み慣れた自宅や地域で、安心して自立した生活を続けることができている。</w:t>
                      </w:r>
                    </w:p>
                  </w:txbxContent>
                </v:textbox>
                <v:imagedata o:title=""/>
                <w10:wrap type="none" anchorx="text" anchory="text"/>
              </v:roundrect>
            </w:pict>
          </mc:Fallback>
        </mc:AlternateContent>
      </w:r>
    </w:p>
    <w:p>
      <w:pPr>
        <w:pStyle w:val="41"/>
        <w:rPr>
          <w:rFonts w:hint="default"/>
          <w:color w:val="auto"/>
          <w:highlight w:val="none"/>
        </w:rPr>
      </w:pPr>
    </w:p>
    <w:p>
      <w:pPr>
        <w:pStyle w:val="41"/>
        <w:rPr>
          <w:rFonts w:hint="default"/>
          <w:color w:val="auto"/>
          <w:highlight w:val="none"/>
        </w:rPr>
      </w:pPr>
    </w:p>
    <w:p>
      <w:pPr>
        <w:pStyle w:val="24"/>
        <w:spacing w:before="185" w:beforeLines="50" w:beforeAutospacing="0"/>
        <w:rPr>
          <w:rFonts w:hint="default"/>
          <w:color w:val="auto"/>
          <w:highlight w:val="none"/>
        </w:rPr>
      </w:pPr>
      <w:r>
        <w:rPr>
          <w:rFonts w:hint="eastAsia"/>
          <w:color w:val="auto"/>
          <w:highlight w:val="none"/>
        </w:rPr>
        <w:t>本市においては、第５期計画より地域包括ケアシステムの構築を進めてきましたが、第９期計画期間にその構築をめざしてきた令和７</w:t>
      </w:r>
      <w:r>
        <w:rPr>
          <w:rFonts w:hint="default"/>
          <w:color w:val="auto"/>
          <w:highlight w:val="none"/>
        </w:rPr>
        <w:t>（</w:t>
      </w:r>
      <w:r>
        <w:rPr>
          <w:rFonts w:hint="default"/>
          <w:color w:val="auto"/>
          <w:highlight w:val="none"/>
        </w:rPr>
        <w:t>2025</w:t>
      </w:r>
      <w:r>
        <w:rPr>
          <w:rFonts w:hint="default"/>
          <w:color w:val="auto"/>
          <w:highlight w:val="none"/>
        </w:rPr>
        <w:t>）年を迎えます。</w:t>
      </w:r>
    </w:p>
    <w:p>
      <w:pPr>
        <w:pStyle w:val="24"/>
        <w:rPr>
          <w:rFonts w:hint="default"/>
          <w:color w:val="auto"/>
          <w:highlight w:val="none"/>
        </w:rPr>
      </w:pPr>
      <w:r>
        <w:rPr>
          <w:rFonts w:hint="eastAsia"/>
          <w:color w:val="auto"/>
          <w:highlight w:val="none"/>
        </w:rPr>
        <w:t>地域包括ケアシステムとは、高齢者が住み慣れた自宅や地域で安心して暮らし続けることができることを目的とし、「介護予防・健康づくり」、「生活支援」、「認知症支援」、「医療と介護の連携」、「居住支援」の視点を踏まえ、生活上の安全・安心、健康を維持するための様々な福祉サービスを日常生活の場で適切に提供する地域での支援体制のことです。</w:t>
      </w:r>
    </w:p>
    <w:p>
      <w:pPr>
        <w:pStyle w:val="30"/>
        <w:spacing w:before="185" w:beforeLines="50" w:beforeAutospacing="0" w:after="76" w:afterLines="0" w:afterAutospacing="0"/>
        <w:rPr>
          <w:rFonts w:hint="default"/>
          <w:color w:val="auto"/>
          <w:highlight w:val="none"/>
        </w:rPr>
      </w:pPr>
      <w:r>
        <w:rPr>
          <w:rFonts w:hint="eastAsia"/>
          <w:color w:val="auto"/>
          <w:highlight w:val="none"/>
        </w:rPr>
        <w:t>≪基本方針の評価指標≫</w:t>
      </w:r>
    </w:p>
    <w:tbl>
      <w:tblPr>
        <w:tblStyle w:val="81"/>
        <w:tblW w:w="8626" w:type="dxa"/>
        <w:tblInd w:w="435" w:type="dxa"/>
        <w:tblLayout w:type="fixed"/>
        <w:tblLook w:firstRow="1" w:lastRow="0" w:firstColumn="1" w:lastColumn="0" w:noHBand="0" w:noVBand="1" w:val="04A0"/>
      </w:tblPr>
      <w:tblGrid>
        <w:gridCol w:w="3740"/>
        <w:gridCol w:w="1056"/>
        <w:gridCol w:w="1277"/>
        <w:gridCol w:w="1276"/>
        <w:gridCol w:w="1277"/>
      </w:tblGrid>
      <w:tr>
        <w:trPr>
          <w:trHeight w:val="510" w:hRule="atLeast"/>
        </w:trPr>
        <w:tc>
          <w:tcPr>
            <w:tcW w:w="374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05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現状</w:t>
            </w:r>
          </w:p>
        </w:tc>
        <w:tc>
          <w:tcPr>
            <w:tcW w:w="12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6</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(2024</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7</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(2025</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8</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(2026</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r>
      <w:tr>
        <w:trPr>
          <w:trHeight w:val="397" w:hRule="atLeast"/>
        </w:trPr>
        <w:tc>
          <w:tcPr>
            <w:tcW w:w="3740" w:type="dxa"/>
            <w:tcBorders>
              <w:top w:val="none" w:color="auto" w:sz="0"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autoSpaceDE w:val="0"/>
              <w:autoSpaceDN w:val="0"/>
              <w:rPr>
                <w:rFonts w:hint="default" w:ascii="ＭＳ Ｐゴシック" w:hAnsi="ＭＳ Ｐゴシック" w:eastAsia="ＭＳ Ｐゴシック"/>
                <w:color w:val="auto"/>
                <w:w w:val="95"/>
                <w:sz w:val="21"/>
                <w:highlight w:val="none"/>
              </w:rPr>
            </w:pPr>
            <w:r>
              <w:rPr>
                <w:rFonts w:hint="eastAsia" w:ascii="ＭＳ Ｐゴシック" w:hAnsi="ＭＳ Ｐゴシック" w:eastAsia="ＭＳ Ｐゴシック"/>
                <w:color w:val="auto"/>
                <w:w w:val="95"/>
                <w:sz w:val="21"/>
                <w:highlight w:val="none"/>
              </w:rPr>
              <w:t>安心して生活し続けられる地域への評価</w:t>
            </w:r>
          </w:p>
        </w:tc>
        <w:tc>
          <w:tcPr>
            <w:tcW w:w="105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w w:val="90"/>
                <w:sz w:val="21"/>
                <w:highlight w:val="none"/>
              </w:rPr>
              <w:t>62.0</w:t>
            </w:r>
            <w:r>
              <w:rPr>
                <w:rFonts w:hint="eastAsia" w:ascii="ＭＳ Ｐゴシック" w:hAnsi="ＭＳ Ｐゴシック" w:eastAsia="ＭＳ Ｐゴシック"/>
                <w:color w:val="auto"/>
                <w:w w:val="90"/>
                <w:sz w:val="21"/>
                <w:highlight w:val="none"/>
              </w:rPr>
              <w:t>％</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66.0</w:t>
            </w:r>
            <w:r>
              <w:rPr>
                <w:rFonts w:hint="eastAsia" w:ascii="ＭＳ Ｐゴシック" w:hAnsi="ＭＳ Ｐゴシック" w:eastAsia="ＭＳ Ｐゴシック"/>
                <w:color w:val="auto"/>
                <w:sz w:val="21"/>
                <w:highlight w:val="none"/>
              </w:rPr>
              <w:t>％</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68.0</w:t>
            </w:r>
            <w:r>
              <w:rPr>
                <w:rFonts w:hint="eastAsia" w:ascii="ＭＳ Ｐゴシック" w:hAnsi="ＭＳ Ｐゴシック" w:eastAsia="ＭＳ Ｐゴシック"/>
                <w:color w:val="auto"/>
                <w:sz w:val="21"/>
                <w:highlight w:val="none"/>
              </w:rPr>
              <w:t>％</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70.0</w:t>
            </w:r>
            <w:r>
              <w:rPr>
                <w:rFonts w:hint="eastAsia" w:ascii="ＭＳ Ｐゴシック" w:hAnsi="ＭＳ Ｐゴシック" w:eastAsia="ＭＳ Ｐゴシック"/>
                <w:color w:val="auto"/>
                <w:sz w:val="21"/>
                <w:highlight w:val="none"/>
              </w:rPr>
              <w:t>％</w:t>
            </w:r>
          </w:p>
        </w:tc>
      </w:tr>
    </w:tbl>
    <w:p>
      <w:pPr>
        <w:pStyle w:val="24"/>
        <w:rPr>
          <w:rFonts w:hint="default"/>
          <w:color w:val="auto"/>
          <w:highlight w:val="none"/>
        </w:rPr>
      </w:pPr>
    </w:p>
    <w:p>
      <w:pPr>
        <w:pStyle w:val="41"/>
        <w:jc w:val="center"/>
        <w:rPr>
          <w:rFonts w:hint="default"/>
          <w:color w:val="auto"/>
          <w:highlight w:val="none"/>
        </w:rPr>
      </w:pPr>
      <w:bookmarkStart w:id="107" w:name="_Toc149666124"/>
      <w:bookmarkStart w:id="108" w:name="_Toc149685622"/>
      <w:bookmarkStart w:id="109" w:name="_Toc150813537"/>
      <w:bookmarkStart w:id="110" w:name="_Toc150813538"/>
      <w:bookmarkStart w:id="111" w:name="_Toc150813539"/>
      <w:r>
        <w:rPr>
          <w:rFonts w:hint="eastAsia"/>
          <w:color w:val="auto"/>
          <w:highlight w:val="none"/>
        </w:rPr>
        <w:t>≪廿日市市の地域包括ケアシステム≫</w:t>
      </w:r>
      <w:bookmarkEnd w:id="107"/>
      <w:bookmarkEnd w:id="108"/>
      <w:bookmarkEnd w:id="109"/>
      <w:bookmarkEnd w:id="110"/>
      <w:bookmarkEnd w:id="111"/>
    </w:p>
    <w:p>
      <w:pPr>
        <w:pStyle w:val="41"/>
        <w:rPr>
          <w:rFonts w:hint="default"/>
          <w:color w:val="auto"/>
          <w:highlight w:val="none"/>
        </w:rPr>
      </w:pPr>
      <w:r>
        <w:rPr>
          <w:rFonts w:hint="default"/>
          <w:color w:val="auto"/>
          <w:highlight w:val="none"/>
        </w:rPr>
        <w:drawing>
          <wp:anchor distT="0" distB="0" distL="114300" distR="114300" simplePos="0" relativeHeight="161" behindDoc="0" locked="0" layoutInCell="1" hidden="0" allowOverlap="1">
            <wp:simplePos x="0" y="0"/>
            <wp:positionH relativeFrom="column">
              <wp:posOffset>194945</wp:posOffset>
            </wp:positionH>
            <wp:positionV relativeFrom="paragraph">
              <wp:posOffset>5080</wp:posOffset>
            </wp:positionV>
            <wp:extent cx="5759450" cy="3467100"/>
            <wp:effectExtent l="0" t="0" r="0" b="0"/>
            <wp:wrapNone/>
            <wp:docPr id="1174" name="図 2" descr="タイムライン が含まれている画像&#10;&#10;自動的に生成された説明"/>
            <a:graphic xmlns:a="http://schemas.openxmlformats.org/drawingml/2006/main">
              <a:graphicData uri="http://schemas.openxmlformats.org/drawingml/2006/picture">
                <pic:pic xmlns:pic="http://schemas.openxmlformats.org/drawingml/2006/picture">
                  <pic:nvPicPr>
                    <pic:cNvPr id="1174" name="図 2" descr="タイムライン が含まれている画像&#10;&#10;自動的に生成された説明"/>
                    <pic:cNvPicPr/>
                  </pic:nvPicPr>
                  <pic:blipFill>
                    <a:blip r:embed="rId95"/>
                    <a:srcRect t="8411" b="6541"/>
                    <a:stretch>
                      <a:fillRect/>
                    </a:stretch>
                  </pic:blipFill>
                  <pic:spPr>
                    <a:xfrm>
                      <a:off x="0" y="0"/>
                      <a:ext cx="5759450" cy="3467100"/>
                    </a:xfrm>
                    <a:prstGeom prst="rect">
                      <a:avLst/>
                    </a:prstGeom>
                    <a:ln>
                      <a:noFill/>
                    </a:ln>
                  </pic:spPr>
                </pic:pic>
              </a:graphicData>
            </a:graphic>
          </wp:anchor>
        </w:drawing>
      </w:r>
    </w:p>
    <w:p>
      <w:pPr>
        <w:pStyle w:val="41"/>
        <w:rPr>
          <w:rFonts w:hint="default"/>
          <w:color w:val="auto"/>
          <w:highlight w:val="none"/>
        </w:rPr>
      </w:pPr>
    </w:p>
    <w:p>
      <w:pPr>
        <w:pStyle w:val="41"/>
        <w:rPr>
          <w:rFonts w:hint="default"/>
          <w:color w:val="auto"/>
          <w:highlight w:val="none"/>
        </w:rPr>
      </w:pPr>
    </w:p>
    <w:p>
      <w:pPr>
        <w:pStyle w:val="41"/>
        <w:rPr>
          <w:rFonts w:hint="default"/>
          <w:color w:val="auto"/>
          <w:highlight w:val="none"/>
        </w:rPr>
      </w:pPr>
    </w:p>
    <w:p>
      <w:pPr>
        <w:pStyle w:val="41"/>
        <w:rPr>
          <w:rFonts w:hint="default"/>
          <w:color w:val="auto"/>
          <w:highlight w:val="none"/>
        </w:rPr>
      </w:pPr>
    </w:p>
    <w:p>
      <w:pPr>
        <w:pStyle w:val="41"/>
        <w:rPr>
          <w:rFonts w:hint="default"/>
          <w:color w:val="auto"/>
          <w:highlight w:val="none"/>
        </w:rPr>
      </w:pPr>
    </w:p>
    <w:p>
      <w:pPr>
        <w:pStyle w:val="41"/>
        <w:rPr>
          <w:rFonts w:hint="default"/>
          <w:color w:val="auto"/>
          <w:highlight w:val="none"/>
        </w:rPr>
      </w:pPr>
    </w:p>
    <w:p>
      <w:pPr>
        <w:pStyle w:val="41"/>
        <w:rPr>
          <w:rFonts w:hint="default"/>
          <w:color w:val="auto"/>
          <w:highlight w:val="none"/>
        </w:rPr>
      </w:pPr>
    </w:p>
    <w:p>
      <w:pPr>
        <w:pStyle w:val="41"/>
        <w:rPr>
          <w:rFonts w:hint="default"/>
          <w:color w:val="auto"/>
          <w:highlight w:val="none"/>
        </w:rPr>
      </w:pPr>
    </w:p>
    <w:p>
      <w:pPr>
        <w:pStyle w:val="41"/>
        <w:rPr>
          <w:rFonts w:hint="default"/>
          <w:color w:val="auto"/>
          <w:highlight w:val="none"/>
        </w:rPr>
      </w:pPr>
    </w:p>
    <w:p>
      <w:pPr>
        <w:pStyle w:val="41"/>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26"/>
        <w:spacing w:after="76" w:afterLines="0" w:afterAutospacing="0"/>
        <w:rPr>
          <w:rFonts w:hint="default"/>
          <w:color w:val="auto"/>
          <w:highlight w:val="none"/>
        </w:rPr>
      </w:pPr>
      <w:bookmarkStart w:id="112" w:name="_Toc150813540"/>
      <w:bookmarkStart w:id="113" w:name="_Toc152160660"/>
      <w:r>
        <w:rPr>
          <w:rFonts w:hint="eastAsia"/>
          <w:color w:val="auto"/>
          <w:highlight w:val="none"/>
        </w:rPr>
        <w:t>（１）</w:t>
      </w:r>
      <w:r>
        <w:rPr>
          <w:rFonts w:hint="eastAsia"/>
          <w:color w:val="auto"/>
          <w:highlight w:val="none"/>
        </w:rPr>
        <w:t xml:space="preserve"> </w:t>
      </w:r>
      <w:r>
        <w:rPr>
          <w:rFonts w:hint="eastAsia"/>
          <w:color w:val="auto"/>
          <w:highlight w:val="none"/>
        </w:rPr>
        <w:t>包括的な支援体制の構築</w:t>
      </w:r>
      <w:bookmarkEnd w:id="112"/>
      <w:bookmarkEnd w:id="113"/>
    </w:p>
    <w:p>
      <w:pPr>
        <w:pStyle w:val="50"/>
        <w:spacing w:before="114" w:beforeLines="0" w:beforeAutospacing="0" w:after="114" w:afterLines="0" w:afterAutospacing="0"/>
        <w:rPr>
          <w:rFonts w:hint="default"/>
          <w:color w:val="auto"/>
          <w:highlight w:val="none"/>
        </w:rPr>
      </w:pPr>
      <w:r>
        <w:rPr>
          <w:rFonts w:hint="eastAsia"/>
          <w:color w:val="auto"/>
          <w:highlight w:val="none"/>
        </w:rPr>
        <w:t>◆◆現状と課題◆◆</w:t>
      </w:r>
    </w:p>
    <w:p>
      <w:pPr>
        <w:pStyle w:val="28"/>
        <w:rPr>
          <w:rFonts w:hint="default"/>
          <w:color w:val="auto"/>
          <w:highlight w:val="none"/>
        </w:rPr>
      </w:pPr>
      <w:r>
        <w:rPr>
          <w:rFonts w:hint="eastAsia"/>
          <w:color w:val="auto"/>
          <w:highlight w:val="none"/>
        </w:rPr>
        <w:t>高齢者のひとり暮らしや高齢者夫婦のみの世帯の増加に伴い、在宅生活を継続させるための生活支援を必要とする人は増加しており、また、医療・介護双方の支援を有する高齢者も増加し、そのニーズは多様化しています。</w:t>
      </w:r>
    </w:p>
    <w:p>
      <w:pPr>
        <w:pStyle w:val="28"/>
        <w:rPr>
          <w:rFonts w:hint="default"/>
          <w:color w:val="auto"/>
          <w:highlight w:val="none"/>
        </w:rPr>
      </w:pPr>
      <w:r>
        <w:rPr>
          <w:rFonts w:hint="eastAsia"/>
          <w:color w:val="auto"/>
          <w:highlight w:val="none"/>
        </w:rPr>
        <w:t>また、個人や世帯が抱える生きづらさやリスクが複雑化・複合化する中で、高齢者を取り巻く社会的な課題として</w:t>
      </w:r>
      <w:r>
        <w:rPr>
          <w:rFonts w:hint="default"/>
          <w:color w:val="auto"/>
          <w:highlight w:val="none"/>
        </w:rPr>
        <w:t>8050</w:t>
      </w:r>
      <w:r>
        <w:rPr>
          <w:rFonts w:hint="default"/>
          <w:color w:val="auto"/>
          <w:highlight w:val="none"/>
        </w:rPr>
        <w:t>問題やダブルケア、ヤングケアラーなど</w:t>
      </w:r>
      <w:r>
        <w:rPr>
          <w:rFonts w:hint="eastAsia"/>
          <w:color w:val="auto"/>
          <w:highlight w:val="none"/>
        </w:rPr>
        <w:t>が</w:t>
      </w:r>
      <w:r>
        <w:rPr>
          <w:rFonts w:hint="default"/>
          <w:color w:val="auto"/>
          <w:highlight w:val="none"/>
        </w:rPr>
        <w:t>挙がっています。</w:t>
      </w:r>
    </w:p>
    <w:p>
      <w:pPr>
        <w:pStyle w:val="28"/>
        <w:rPr>
          <w:rFonts w:hint="default"/>
          <w:color w:val="auto"/>
          <w:highlight w:val="none"/>
        </w:rPr>
      </w:pPr>
      <w:r>
        <w:rPr>
          <w:rFonts w:hint="eastAsia"/>
          <w:color w:val="auto"/>
          <w:highlight w:val="none"/>
        </w:rPr>
        <w:t>高齢者の保健福祉に関するアンケート調査（以下、「ニーズ調査」という。）では、高齢になっても安心して自宅生活を継続できる地域と評価する</w:t>
      </w:r>
      <w:r>
        <w:rPr>
          <w:rFonts w:hint="default"/>
          <w:color w:val="auto"/>
          <w:highlight w:val="none"/>
        </w:rPr>
        <w:t>人の割合が</w:t>
      </w:r>
      <w:r>
        <w:rPr>
          <w:rFonts w:hint="eastAsia"/>
          <w:color w:val="auto"/>
          <w:highlight w:val="none"/>
        </w:rPr>
        <w:t>６割を超えており、相談体制への満足度は４割台となっています。また、</w:t>
      </w:r>
      <w:r>
        <w:rPr>
          <w:rFonts w:hint="default"/>
          <w:color w:val="auto"/>
          <w:highlight w:val="none"/>
        </w:rPr>
        <w:t>「地域における支え合い」への希望する関わり方について、「自分ができることがあれば、支え合いの活動をしたい」と回答した人の割合が</w:t>
      </w:r>
      <w:r>
        <w:rPr>
          <w:rFonts w:hint="default"/>
          <w:color w:val="auto"/>
          <w:highlight w:val="none"/>
        </w:rPr>
        <w:t>48.1</w:t>
      </w:r>
      <w:r>
        <w:rPr>
          <w:rFonts w:hint="default"/>
          <w:color w:val="auto"/>
          <w:highlight w:val="none"/>
        </w:rPr>
        <w:t>％と</w:t>
      </w:r>
      <w:r>
        <w:rPr>
          <w:rFonts w:hint="eastAsia"/>
          <w:color w:val="auto"/>
          <w:highlight w:val="none"/>
        </w:rPr>
        <w:t>５割に近くなっています。</w:t>
      </w:r>
    </w:p>
    <w:p>
      <w:pPr>
        <w:pStyle w:val="28"/>
        <w:rPr>
          <w:rFonts w:hint="default"/>
          <w:color w:val="auto"/>
          <w:highlight w:val="none"/>
        </w:rPr>
      </w:pPr>
      <w:r>
        <w:rPr>
          <w:rFonts w:hint="eastAsia"/>
          <w:color w:val="auto"/>
          <w:highlight w:val="none"/>
        </w:rPr>
        <w:t>本市においては、総合相談窓口である地域包括支援センターの機能強化を図り、高齢者やその家族の困りごとに対応する基盤づくりを着実に進めてきました。今後は高齢者だけでなく、障がい者や子育て世帯、生活困窮者など誰もが住み慣れた地域でお互いが支え合い、安心して暮らしていくことができる地域社会の実現を目指して包括的な支援体制の構築を進めていく必要があります。</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◆◆施策の方向性◆◆</w:t>
      </w:r>
    </w:p>
    <w:p>
      <w:pPr>
        <w:pStyle w:val="28"/>
        <w:rPr>
          <w:rFonts w:hint="default"/>
          <w:color w:val="auto"/>
          <w:highlight w:val="none"/>
        </w:rPr>
      </w:pPr>
      <w:r>
        <w:rPr>
          <w:rFonts w:hint="eastAsia"/>
          <w:color w:val="auto"/>
          <w:highlight w:val="none"/>
        </w:rPr>
        <w:t>既存の高齢、障がい、子育て家庭等の相談支援の重層的支援体制整備事業の取組を推進し、複雑化・複合化した支援ニーズや制度の狭間のケースに対応するための包括的な支援体制の構築を目指します。</w:t>
      </w:r>
    </w:p>
    <w:p>
      <w:pPr>
        <w:pStyle w:val="28"/>
        <w:rPr>
          <w:rFonts w:hint="default"/>
          <w:color w:val="auto"/>
          <w:highlight w:val="none"/>
        </w:rPr>
      </w:pPr>
      <w:r>
        <w:rPr>
          <w:rFonts w:hint="eastAsia"/>
          <w:color w:val="auto"/>
          <w:highlight w:val="none"/>
        </w:rPr>
        <w:t>地域包括支援センターの総合相談支援機能の活用により、ヤングケアラーも含めた家庭における介護の負担軽減のための取組を進めます</w:t>
      </w:r>
    </w:p>
    <w:p>
      <w:pPr>
        <w:pStyle w:val="0"/>
        <w:widowControl w:val="1"/>
        <w:jc w:val="left"/>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◆◆具体的施策◆◆</w:t>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包括的な相談支援体制の構築</w:t>
            </w:r>
          </w:p>
        </w:tc>
      </w:tr>
      <w:tr>
        <w:trPr>
          <w:trHeight w:val="1644" w:hRule="atLeast"/>
        </w:trPr>
        <w:tc>
          <w:tcPr>
            <w:tcW w:w="8668" w:type="dxa"/>
            <w:vAlign w:val="center"/>
          </w:tcPr>
          <w:p>
            <w:pPr>
              <w:pStyle w:val="52"/>
              <w:ind w:firstLine="216"/>
              <w:rPr>
                <w:rFonts w:hint="default"/>
                <w:dstrike w:val="1"/>
                <w:color w:val="auto"/>
                <w:spacing w:val="-4"/>
                <w:highlight w:val="none"/>
              </w:rPr>
            </w:pPr>
            <w:r>
              <w:rPr>
                <w:rFonts w:hint="eastAsia"/>
                <w:color w:val="auto"/>
                <w:spacing w:val="-4"/>
                <w:highlight w:val="none"/>
              </w:rPr>
              <w:t>地域の様々な相談機関等とネットワークの構築を図り、多様化、複雑化する課題に適切に対応するとともに、高齢者をはじめとする市民が身近な場所で、世代や分野を問わず、気軽に利用できる相談支援体制の充実を図ります。相談支援体制を充実するために、地域包括支援センターにつながる相談窓口となるブランチの拡充を検討します。</w:t>
            </w:r>
          </w:p>
        </w:tc>
      </w:tr>
    </w:tbl>
    <w:p>
      <w:pPr>
        <w:pStyle w:val="0"/>
        <w:widowControl w:val="1"/>
        <w:jc w:val="left"/>
        <w:rPr>
          <w:rFonts w:hint="default"/>
          <w:color w:val="auto"/>
          <w:highlight w:val="none"/>
        </w:rPr>
      </w:pPr>
    </w:p>
    <w:p>
      <w:pPr>
        <w:pStyle w:val="0"/>
        <w:widowControl w:val="1"/>
        <w:jc w:val="left"/>
        <w:rPr>
          <w:rFonts w:hint="default"/>
          <w:color w:val="auto"/>
          <w:highlight w:val="none"/>
        </w:rPr>
      </w:pPr>
      <w:r>
        <w:rPr>
          <w:rFonts w:hint="default"/>
          <w:color w:val="auto"/>
          <w:highlight w:val="none"/>
        </w:rPr>
        <w:br w:type="page"/>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地域の自主的な取組の支援</w:t>
            </w:r>
          </w:p>
        </w:tc>
      </w:tr>
      <w:tr>
        <w:trPr>
          <w:trHeight w:val="1304" w:hRule="atLeast"/>
        </w:trPr>
        <w:tc>
          <w:tcPr>
            <w:tcW w:w="8668" w:type="dxa"/>
            <w:vAlign w:val="center"/>
          </w:tcPr>
          <w:p>
            <w:pPr>
              <w:pStyle w:val="52"/>
              <w:rPr>
                <w:rFonts w:hint="default"/>
                <w:color w:val="auto"/>
                <w:highlight w:val="none"/>
              </w:rPr>
            </w:pPr>
            <w:r>
              <w:rPr>
                <w:rFonts w:hint="eastAsia"/>
                <w:color w:val="auto"/>
                <w:highlight w:val="none"/>
              </w:rPr>
              <w:t>地域住民の活動が継続性のあるものとして定着するよう、生活支援コーディネーターと連携を図り、介護予防・生活支援サービスやコミュニティビジネスなどの手法を活用し、地域の特性に合った住民の主体的な活動を支援します。</w:t>
            </w:r>
          </w:p>
        </w:tc>
      </w:tr>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生活支援体制整備の推進</w:t>
            </w:r>
          </w:p>
        </w:tc>
      </w:tr>
      <w:tr>
        <w:trPr>
          <w:trHeight w:val="2835" w:hRule="atLeast"/>
        </w:trPr>
        <w:tc>
          <w:tcPr>
            <w:tcW w:w="8668" w:type="dxa"/>
            <w:vAlign w:val="center"/>
          </w:tcPr>
          <w:p>
            <w:pPr>
              <w:pStyle w:val="52"/>
              <w:rPr>
                <w:rFonts w:hint="default"/>
                <w:color w:val="auto"/>
                <w:highlight w:val="none"/>
              </w:rPr>
            </w:pPr>
            <w:r>
              <w:rPr>
                <w:rFonts w:hint="eastAsia"/>
                <w:color w:val="auto"/>
                <w:highlight w:val="none"/>
              </w:rPr>
              <w:t>地域住民のニーズと地域資源の状況を把握しながら、地域における支援体制を整備するため、住民主体の話し合いの場となる第３</w:t>
            </w:r>
            <w:r>
              <w:rPr>
                <w:rFonts w:hint="default"/>
                <w:color w:val="auto"/>
                <w:highlight w:val="none"/>
              </w:rPr>
              <w:t>層の協議体を、小学校区や</w:t>
            </w:r>
            <w:r>
              <w:rPr>
                <w:rFonts w:hint="eastAsia"/>
                <w:color w:val="auto"/>
                <w:highlight w:val="none"/>
              </w:rPr>
              <w:t>地</w:t>
            </w:r>
            <w:r>
              <w:rPr>
                <w:rFonts w:hint="default"/>
                <w:color w:val="auto"/>
                <w:highlight w:val="none"/>
              </w:rPr>
              <w:t>区で構成されるコミュニティを単位に整備できるよう支援します。</w:t>
            </w:r>
          </w:p>
          <w:p>
            <w:pPr>
              <w:pStyle w:val="52"/>
              <w:rPr>
                <w:rFonts w:hint="default"/>
                <w:color w:val="auto"/>
                <w:highlight w:val="none"/>
              </w:rPr>
            </w:pPr>
            <w:r>
              <w:rPr>
                <w:rFonts w:hint="eastAsia"/>
                <w:color w:val="auto"/>
                <w:highlight w:val="none"/>
              </w:rPr>
              <w:t>また、</w:t>
            </w:r>
            <w:r>
              <w:rPr>
                <w:rFonts w:hint="default"/>
                <w:color w:val="auto"/>
                <w:highlight w:val="none"/>
              </w:rPr>
              <w:t>第</w:t>
            </w:r>
            <w:r>
              <w:rPr>
                <w:rFonts w:hint="eastAsia"/>
                <w:color w:val="auto"/>
                <w:highlight w:val="none"/>
              </w:rPr>
              <w:t>３</w:t>
            </w:r>
            <w:r>
              <w:rPr>
                <w:rFonts w:hint="default"/>
                <w:color w:val="auto"/>
                <w:highlight w:val="none"/>
              </w:rPr>
              <w:t>層で明らかになった地域課題について解決に向けた議論ができるよう、日常生活圏域ごとに第</w:t>
            </w:r>
            <w:r>
              <w:rPr>
                <w:rFonts w:hint="eastAsia"/>
                <w:color w:val="auto"/>
                <w:highlight w:val="none"/>
              </w:rPr>
              <w:t>２</w:t>
            </w:r>
            <w:r>
              <w:rPr>
                <w:rFonts w:hint="default"/>
                <w:color w:val="auto"/>
                <w:highlight w:val="none"/>
              </w:rPr>
              <w:t>層協議体</w:t>
            </w:r>
            <w:r>
              <w:rPr>
                <w:rFonts w:hint="eastAsia"/>
                <w:color w:val="auto"/>
                <w:highlight w:val="none"/>
              </w:rPr>
              <w:t>を</w:t>
            </w:r>
            <w:r>
              <w:rPr>
                <w:rFonts w:hint="default"/>
                <w:color w:val="auto"/>
                <w:highlight w:val="none"/>
              </w:rPr>
              <w:t>、市全域の課題解決に向け議論や提言できる場として第</w:t>
            </w:r>
            <w:r>
              <w:rPr>
                <w:rFonts w:hint="eastAsia"/>
                <w:color w:val="auto"/>
                <w:highlight w:val="none"/>
              </w:rPr>
              <w:t>１</w:t>
            </w:r>
            <w:r>
              <w:rPr>
                <w:rFonts w:hint="default"/>
                <w:color w:val="auto"/>
                <w:highlight w:val="none"/>
              </w:rPr>
              <w:t>層協議体を設置します。</w:t>
            </w:r>
          </w:p>
          <w:p>
            <w:pPr>
              <w:pStyle w:val="52"/>
              <w:rPr>
                <w:rFonts w:hint="default"/>
                <w:color w:val="auto"/>
                <w:highlight w:val="none"/>
              </w:rPr>
            </w:pPr>
            <w:r>
              <w:rPr>
                <w:rFonts w:hint="default"/>
                <w:color w:val="auto"/>
                <w:highlight w:val="none"/>
              </w:rPr>
              <w:t>さらに、</w:t>
            </w:r>
            <w:r>
              <w:rPr>
                <w:rFonts w:hint="eastAsia"/>
                <w:color w:val="auto"/>
                <w:highlight w:val="none"/>
              </w:rPr>
              <w:t>ＮＰＯ</w:t>
            </w:r>
            <w:r>
              <w:rPr>
                <w:rFonts w:hint="default"/>
                <w:color w:val="auto"/>
                <w:highlight w:val="none"/>
              </w:rPr>
              <w:t>団体、各種団体、民間企業等に協議体との協力を働きかけます。</w:t>
            </w:r>
          </w:p>
        </w:tc>
      </w:tr>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家族介護者への支援</w:t>
            </w:r>
          </w:p>
        </w:tc>
      </w:tr>
      <w:tr>
        <w:trPr>
          <w:trHeight w:val="1701" w:hRule="atLeast"/>
        </w:trPr>
        <w:tc>
          <w:tcPr>
            <w:tcW w:w="8668" w:type="dxa"/>
            <w:vAlign w:val="center"/>
          </w:tcPr>
          <w:p>
            <w:pPr>
              <w:pStyle w:val="52"/>
              <w:rPr>
                <w:rFonts w:hint="default"/>
                <w:color w:val="auto"/>
                <w:highlight w:val="none"/>
              </w:rPr>
            </w:pPr>
            <w:r>
              <w:rPr>
                <w:rFonts w:hint="eastAsia"/>
                <w:color w:val="auto"/>
                <w:highlight w:val="none"/>
              </w:rPr>
              <w:t>在宅で高齢者を介護する家族介護者を支援するため、介護用品の支給（家族介護支援事業）を行うとともに、家族介護教室や家族介護者の交流会を開催します。</w:t>
            </w:r>
          </w:p>
          <w:p>
            <w:pPr>
              <w:pStyle w:val="52"/>
              <w:rPr>
                <w:rFonts w:hint="default"/>
                <w:color w:val="auto"/>
                <w:highlight w:val="none"/>
              </w:rPr>
            </w:pPr>
            <w:r>
              <w:rPr>
                <w:rFonts w:hint="eastAsia"/>
                <w:color w:val="auto"/>
                <w:highlight w:val="none"/>
              </w:rPr>
              <w:t>また、ケアマネジャーやチームオレンジ等の関係者や、障がいや子育て分野の関係機関が連携を図り、ヤングケアラーなども含めた家族介護支援の取組を推進します。</w:t>
            </w:r>
          </w:p>
        </w:tc>
      </w:tr>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地域包括支援センターの機能強化</w:t>
            </w:r>
          </w:p>
        </w:tc>
      </w:tr>
      <w:tr>
        <w:trPr>
          <w:trHeight w:val="2041" w:hRule="atLeast"/>
        </w:trPr>
        <w:tc>
          <w:tcPr>
            <w:tcW w:w="8668" w:type="dxa"/>
            <w:vAlign w:val="center"/>
          </w:tcPr>
          <w:p>
            <w:pPr>
              <w:pStyle w:val="52"/>
              <w:rPr>
                <w:rFonts w:hint="default"/>
                <w:color w:val="auto"/>
                <w:highlight w:val="none"/>
              </w:rPr>
            </w:pPr>
            <w:r>
              <w:rPr>
                <w:rFonts w:hint="eastAsia"/>
                <w:color w:val="auto"/>
                <w:highlight w:val="none"/>
              </w:rPr>
              <w:t>高齢化の進展や生活課題の複雑化等に伴う業務量や役割の増大に対応するため、地域包括支援センターの増設や総合相談業務の一部を委託することによる体制強化について検討します。</w:t>
            </w:r>
          </w:p>
          <w:p>
            <w:pPr>
              <w:pStyle w:val="52"/>
              <w:rPr>
                <w:rFonts w:hint="default"/>
                <w:color w:val="auto"/>
                <w:highlight w:val="none"/>
              </w:rPr>
            </w:pPr>
            <w:r>
              <w:rPr>
                <w:rFonts w:hint="eastAsia"/>
                <w:color w:val="auto"/>
                <w:highlight w:val="none"/>
              </w:rPr>
              <w:t>また、地域包括支援センター運営協議会にて地域包括支援センターの事業評価を適切に行い、業務負担軽減と質の確保に努めます。</w:t>
            </w:r>
          </w:p>
        </w:tc>
      </w:tr>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地域ケア会議の充実</w:t>
            </w:r>
          </w:p>
        </w:tc>
      </w:tr>
      <w:tr>
        <w:trPr>
          <w:trHeight w:val="2835" w:hRule="atLeast"/>
        </w:trPr>
        <w:tc>
          <w:tcPr>
            <w:tcW w:w="8668" w:type="dxa"/>
            <w:vAlign w:val="center"/>
          </w:tcPr>
          <w:p>
            <w:pPr>
              <w:pStyle w:val="52"/>
              <w:rPr>
                <w:rFonts w:hint="default"/>
                <w:color w:val="auto"/>
                <w:highlight w:val="none"/>
              </w:rPr>
            </w:pPr>
            <w:r>
              <w:rPr>
                <w:rFonts w:hint="eastAsia"/>
                <w:color w:val="auto"/>
                <w:highlight w:val="none"/>
              </w:rPr>
              <w:t>地域ケア会議の目的を明確にし、その機能の充実を図り、多職種連携の推進、地域力の向上につなげます。</w:t>
            </w:r>
          </w:p>
          <w:p>
            <w:pPr>
              <w:pStyle w:val="52"/>
              <w:rPr>
                <w:rFonts w:hint="default"/>
                <w:color w:val="auto"/>
                <w:highlight w:val="none"/>
              </w:rPr>
            </w:pPr>
            <w:r>
              <w:rPr>
                <w:rFonts w:hint="eastAsia"/>
                <w:color w:val="auto"/>
                <w:highlight w:val="none"/>
              </w:rPr>
              <w:t>また、個別ケースの課題解決に向けた支援を検討するとともに、多職種によるネットワークを構築し、地域課題を把握します。</w:t>
            </w:r>
          </w:p>
          <w:p>
            <w:pPr>
              <w:pStyle w:val="52"/>
              <w:rPr>
                <w:rFonts w:hint="default"/>
                <w:color w:val="auto"/>
                <w:highlight w:val="none"/>
              </w:rPr>
            </w:pPr>
            <w:r>
              <w:rPr>
                <w:rFonts w:hint="eastAsia"/>
                <w:color w:val="auto"/>
                <w:highlight w:val="none"/>
              </w:rPr>
              <w:t>地域ケア会議を通じて把握された地域課題を整理し、地域の関係者と共有するとともに、地域課題の解決に必要な資源開発や地域づくりを検討し、圏域内の支援体制の整備を図ります。</w:t>
            </w:r>
          </w:p>
        </w:tc>
      </w:tr>
    </w:tbl>
    <w:p>
      <w:pPr>
        <w:pStyle w:val="0"/>
        <w:widowControl w:val="1"/>
        <w:jc w:val="left"/>
        <w:rPr>
          <w:rFonts w:hint="default"/>
          <w:color w:val="auto"/>
          <w:highlight w:val="none"/>
        </w:rPr>
      </w:pPr>
    </w:p>
    <w:p>
      <w:pPr>
        <w:pStyle w:val="0"/>
        <w:widowControl w:val="1"/>
        <w:jc w:val="left"/>
        <w:rPr>
          <w:rFonts w:hint="default"/>
          <w:color w:val="auto"/>
          <w:highlight w:val="none"/>
        </w:rPr>
      </w:pPr>
      <w:r>
        <w:rPr>
          <w:rFonts w:hint="default"/>
          <w:color w:val="auto"/>
          <w:highlight w:val="none"/>
        </w:rPr>
        <w:br w:type="page"/>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複合的な課題に対する支援</w:t>
            </w:r>
          </w:p>
        </w:tc>
      </w:tr>
      <w:tr>
        <w:trPr>
          <w:trHeight w:val="1027" w:hRule="atLeast"/>
        </w:trPr>
        <w:tc>
          <w:tcPr>
            <w:tcW w:w="8668" w:type="dxa"/>
            <w:vAlign w:val="center"/>
          </w:tcPr>
          <w:p>
            <w:pPr>
              <w:pStyle w:val="52"/>
              <w:rPr>
                <w:rFonts w:hint="default"/>
                <w:color w:val="auto"/>
                <w:highlight w:val="none"/>
              </w:rPr>
            </w:pPr>
            <w:r>
              <w:rPr>
                <w:rFonts w:hint="eastAsia"/>
                <w:color w:val="auto"/>
                <w:highlight w:val="none"/>
              </w:rPr>
              <w:t>複雑化・複合化したニーズに対応するため、相談支援ネットワーク会議を活用した多機関連携による相談、アウトリーチ等の支援を行います。</w:t>
            </w:r>
          </w:p>
        </w:tc>
      </w:tr>
    </w:tbl>
    <w:p>
      <w:pPr>
        <w:pStyle w:val="0"/>
        <w:widowControl w:val="1"/>
        <w:jc w:val="left"/>
        <w:rPr>
          <w:rFonts w:hint="default"/>
          <w:color w:val="auto"/>
          <w:highlight w:val="none"/>
        </w:rPr>
      </w:pPr>
    </w:p>
    <w:p>
      <w:pPr>
        <w:pStyle w:val="30"/>
        <w:spacing w:after="76" w:afterLines="0" w:afterAutospacing="0"/>
        <w:rPr>
          <w:rFonts w:hint="default"/>
          <w:color w:val="auto"/>
          <w:highlight w:val="none"/>
        </w:rPr>
      </w:pPr>
      <w:r>
        <w:rPr>
          <w:rFonts w:hint="eastAsia"/>
          <w:color w:val="auto"/>
          <w:highlight w:val="none"/>
        </w:rPr>
        <w:t>≪施策の活動指標≫</w:t>
      </w:r>
    </w:p>
    <w:p>
      <w:pPr>
        <w:pStyle w:val="30"/>
        <w:numPr>
          <w:ilvl w:val="0"/>
          <w:numId w:val="3"/>
        </w:numPr>
        <w:spacing w:after="76" w:afterLines="0" w:afterAutospacing="0"/>
        <w:ind w:leftChars="0"/>
        <w:rPr>
          <w:rFonts w:hint="default"/>
          <w:b w:val="0"/>
          <w:color w:val="auto"/>
          <w:sz w:val="22"/>
          <w:highlight w:val="none"/>
        </w:rPr>
      </w:pPr>
      <w:r>
        <w:rPr>
          <w:rFonts w:hint="eastAsia"/>
          <w:b w:val="0"/>
          <w:color w:val="auto"/>
          <w:sz w:val="22"/>
          <w:highlight w:val="none"/>
          <w:shd w:val="clear" w:color="auto" w:themeFill="background1" w:themeFillTint="FF" w:themeFillShade="FF"/>
        </w:rPr>
        <w:t>包括的な支援体制の構築の取組</w:t>
      </w:r>
    </w:p>
    <w:tbl>
      <w:tblPr>
        <w:tblStyle w:val="81"/>
        <w:tblW w:w="8626" w:type="dxa"/>
        <w:tblInd w:w="435" w:type="dxa"/>
        <w:tblLayout w:type="fixed"/>
        <w:tblLook w:firstRow="1" w:lastRow="0" w:firstColumn="1" w:lastColumn="0" w:noHBand="0" w:noVBand="1" w:val="04A0"/>
      </w:tblPr>
      <w:tblGrid>
        <w:gridCol w:w="3410"/>
        <w:gridCol w:w="1386"/>
        <w:gridCol w:w="1277"/>
        <w:gridCol w:w="1276"/>
        <w:gridCol w:w="1277"/>
      </w:tblGrid>
      <w:tr>
        <w:trPr>
          <w:trHeight w:val="510" w:hRule="atLeast"/>
        </w:trPr>
        <w:tc>
          <w:tcPr>
            <w:tcW w:w="341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jc w:val="center"/>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指標</w:t>
            </w:r>
          </w:p>
        </w:tc>
        <w:tc>
          <w:tcPr>
            <w:tcW w:w="138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現状</w:t>
            </w:r>
          </w:p>
        </w:tc>
        <w:tc>
          <w:tcPr>
            <w:tcW w:w="12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6</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(2024</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7</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(2025</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8</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(2026</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r>
      <w:tr>
        <w:trPr>
          <w:trHeight w:val="567" w:hRule="atLeast"/>
        </w:trPr>
        <w:tc>
          <w:tcPr>
            <w:tcW w:w="341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地域包括支援センターの認知度</w:t>
            </w:r>
          </w:p>
        </w:tc>
        <w:tc>
          <w:tcPr>
            <w:tcW w:w="138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39.8</w:t>
            </w:r>
            <w:r>
              <w:rPr>
                <w:rFonts w:hint="eastAsia" w:ascii="ＭＳ Ｐゴシック" w:hAnsi="ＭＳ Ｐゴシック" w:eastAsia="ＭＳ Ｐゴシック"/>
                <w:color w:val="auto"/>
                <w:sz w:val="21"/>
                <w:highlight w:val="none"/>
              </w:rPr>
              <w:t>％</w:t>
            </w:r>
          </w:p>
          <w:p>
            <w:pPr>
              <w:pStyle w:val="0"/>
              <w:jc w:val="center"/>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16"/>
                <w:highlight w:val="none"/>
              </w:rPr>
              <w:t>（令和４年度）</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41.0</w:t>
            </w:r>
            <w:r>
              <w:rPr>
                <w:rFonts w:hint="eastAsia" w:ascii="ＭＳ Ｐゴシック" w:hAnsi="ＭＳ Ｐゴシック" w:eastAsia="ＭＳ Ｐゴシック"/>
                <w:color w:val="auto"/>
                <w:sz w:val="21"/>
                <w:highlight w:val="none"/>
              </w:rPr>
              <w:t>％</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43.0</w:t>
            </w:r>
            <w:r>
              <w:rPr>
                <w:rFonts w:hint="eastAsia" w:ascii="ＭＳ Ｐゴシック" w:hAnsi="ＭＳ Ｐゴシック" w:eastAsia="ＭＳ Ｐゴシック"/>
                <w:color w:val="auto"/>
                <w:sz w:val="21"/>
                <w:highlight w:val="none"/>
              </w:rPr>
              <w:t>％</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45.0</w:t>
            </w:r>
            <w:r>
              <w:rPr>
                <w:rFonts w:hint="eastAsia" w:ascii="ＭＳ Ｐゴシック" w:hAnsi="ＭＳ Ｐゴシック" w:eastAsia="ＭＳ Ｐゴシック"/>
                <w:color w:val="auto"/>
                <w:sz w:val="21"/>
                <w:highlight w:val="none"/>
              </w:rPr>
              <w:t>％</w:t>
            </w:r>
          </w:p>
        </w:tc>
      </w:tr>
      <w:tr>
        <w:trPr>
          <w:trHeight w:val="567" w:hRule="atLeast"/>
        </w:trPr>
        <w:tc>
          <w:tcPr>
            <w:tcW w:w="341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第</w:t>
            </w:r>
            <w:r>
              <w:rPr>
                <w:rFonts w:hint="eastAsia" w:ascii="ＭＳ Ｐゴシック" w:hAnsi="ＭＳ Ｐゴシック" w:eastAsia="ＭＳ Ｐゴシック"/>
                <w:color w:val="auto"/>
                <w:sz w:val="21"/>
                <w:highlight w:val="none"/>
              </w:rPr>
              <w:t>2</w:t>
            </w:r>
            <w:r>
              <w:rPr>
                <w:rFonts w:hint="eastAsia" w:ascii="ＭＳ Ｐゴシック" w:hAnsi="ＭＳ Ｐゴシック" w:eastAsia="ＭＳ Ｐゴシック"/>
                <w:color w:val="auto"/>
                <w:sz w:val="21"/>
                <w:highlight w:val="none"/>
              </w:rPr>
              <w:t>層協議体数</w:t>
            </w:r>
          </w:p>
        </w:tc>
        <w:tc>
          <w:tcPr>
            <w:tcW w:w="138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3</w:t>
            </w:r>
            <w:r>
              <w:rPr>
                <w:rFonts w:hint="eastAsia" w:ascii="ＭＳ Ｐゴシック" w:hAnsi="ＭＳ Ｐゴシック" w:eastAsia="ＭＳ Ｐゴシック"/>
                <w:color w:val="auto"/>
                <w:sz w:val="21"/>
                <w:highlight w:val="none"/>
              </w:rPr>
              <w:t>か所</w:t>
            </w:r>
          </w:p>
          <w:p>
            <w:pPr>
              <w:pStyle w:val="0"/>
              <w:jc w:val="center"/>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16"/>
                <w:highlight w:val="none"/>
              </w:rPr>
              <w:t>（令和４年度）</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　</w:t>
            </w:r>
            <w:r>
              <w:rPr>
                <w:rFonts w:hint="eastAsia" w:ascii="ＭＳ Ｐゴシック" w:hAnsi="ＭＳ Ｐゴシック" w:eastAsia="ＭＳ Ｐゴシック"/>
                <w:color w:val="auto"/>
                <w:sz w:val="21"/>
                <w:highlight w:val="none"/>
              </w:rPr>
              <w:t>5</w:t>
            </w:r>
            <w:r>
              <w:rPr>
                <w:rFonts w:hint="eastAsia" w:ascii="ＭＳ Ｐゴシック" w:hAnsi="ＭＳ Ｐゴシック" w:eastAsia="ＭＳ Ｐゴシック"/>
                <w:color w:val="auto"/>
                <w:sz w:val="21"/>
                <w:highlight w:val="none"/>
              </w:rPr>
              <w:t>か所</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　</w:t>
            </w:r>
            <w:r>
              <w:rPr>
                <w:rFonts w:hint="eastAsia" w:ascii="ＭＳ Ｐゴシック" w:hAnsi="ＭＳ Ｐゴシック" w:eastAsia="ＭＳ Ｐゴシック"/>
                <w:color w:val="auto"/>
                <w:sz w:val="21"/>
                <w:highlight w:val="none"/>
              </w:rPr>
              <w:t>7</w:t>
            </w:r>
            <w:r>
              <w:rPr>
                <w:rFonts w:hint="eastAsia" w:ascii="ＭＳ Ｐゴシック" w:hAnsi="ＭＳ Ｐゴシック" w:eastAsia="ＭＳ Ｐゴシック"/>
                <w:color w:val="auto"/>
                <w:sz w:val="21"/>
                <w:highlight w:val="none"/>
              </w:rPr>
              <w:t>か所</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　</w:t>
            </w:r>
            <w:r>
              <w:rPr>
                <w:rFonts w:hint="eastAsia" w:ascii="ＭＳ Ｐゴシック" w:hAnsi="ＭＳ Ｐゴシック" w:eastAsia="ＭＳ Ｐゴシック"/>
                <w:color w:val="auto"/>
                <w:sz w:val="21"/>
                <w:highlight w:val="none"/>
              </w:rPr>
              <w:t>7</w:t>
            </w:r>
            <w:r>
              <w:rPr>
                <w:rFonts w:hint="eastAsia" w:ascii="ＭＳ Ｐゴシック" w:hAnsi="ＭＳ Ｐゴシック" w:eastAsia="ＭＳ Ｐゴシック"/>
                <w:color w:val="auto"/>
                <w:sz w:val="21"/>
                <w:highlight w:val="none"/>
              </w:rPr>
              <w:t>か所</w:t>
            </w:r>
          </w:p>
        </w:tc>
      </w:tr>
      <w:tr>
        <w:trPr>
          <w:trHeight w:val="397" w:hRule="atLeast"/>
        </w:trPr>
        <w:tc>
          <w:tcPr>
            <w:tcW w:w="3410" w:type="dxa"/>
            <w:tcBorders>
              <w:top w:val="none" w:color="auto" w:sz="0"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家族介護教室の参加者数</w:t>
            </w:r>
          </w:p>
        </w:tc>
        <w:tc>
          <w:tcPr>
            <w:tcW w:w="138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50</w:t>
            </w:r>
            <w:r>
              <w:rPr>
                <w:rFonts w:hint="eastAsia" w:ascii="ＭＳ Ｐゴシック" w:hAnsi="ＭＳ Ｐゴシック" w:eastAsia="ＭＳ Ｐゴシック"/>
                <w:color w:val="auto"/>
                <w:sz w:val="21"/>
                <w:highlight w:val="none"/>
              </w:rPr>
              <w:t>人</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50</w:t>
            </w:r>
            <w:r>
              <w:rPr>
                <w:rFonts w:hint="eastAsia" w:ascii="ＭＳ Ｐゴシック" w:hAnsi="ＭＳ Ｐゴシック" w:eastAsia="ＭＳ Ｐゴシック"/>
                <w:color w:val="auto"/>
                <w:sz w:val="21"/>
                <w:highlight w:val="none"/>
              </w:rPr>
              <w:t>人</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50</w:t>
            </w:r>
            <w:r>
              <w:rPr>
                <w:rFonts w:hint="eastAsia" w:ascii="ＭＳ Ｐゴシック" w:hAnsi="ＭＳ Ｐゴシック" w:eastAsia="ＭＳ Ｐゴシック"/>
                <w:color w:val="auto"/>
                <w:sz w:val="21"/>
                <w:highlight w:val="none"/>
              </w:rPr>
              <w:t>人</w:t>
            </w:r>
          </w:p>
        </w:tc>
      </w:tr>
    </w:tbl>
    <w:p>
      <w:pPr>
        <w:pStyle w:val="41"/>
        <w:rPr>
          <w:rFonts w:hint="default"/>
          <w:color w:val="auto"/>
          <w:highlight w:val="none"/>
        </w:rPr>
      </w:pPr>
    </w:p>
    <w:p>
      <w:pPr>
        <w:pStyle w:val="41"/>
        <w:rPr>
          <w:rFonts w:hint="default"/>
          <w:color w:val="auto"/>
          <w:highlight w:val="none"/>
        </w:rPr>
      </w:pPr>
      <w:r>
        <w:rPr>
          <w:rFonts w:hint="eastAsia"/>
          <w:color w:val="auto"/>
          <w:highlight w:val="none"/>
        </w:rPr>
        <mc:AlternateContent>
          <mc:Choice Requires="wps">
            <w:drawing>
              <wp:anchor distT="0" distB="0" distL="203200" distR="203200" simplePos="0" relativeHeight="128" behindDoc="0" locked="0" layoutInCell="1" hidden="0" allowOverlap="1">
                <wp:simplePos x="0" y="0"/>
                <wp:positionH relativeFrom="margin">
                  <wp:posOffset>0</wp:posOffset>
                </wp:positionH>
                <wp:positionV relativeFrom="paragraph">
                  <wp:posOffset>158750</wp:posOffset>
                </wp:positionV>
                <wp:extent cx="5759450" cy="1181735"/>
                <wp:effectExtent l="635" t="635" r="29845" b="10795"/>
                <wp:wrapNone/>
                <wp:docPr id="1175" name="オブジェクト 0"/>
                <a:graphic xmlns:a="http://schemas.openxmlformats.org/drawingml/2006/main">
                  <a:graphicData uri="http://schemas.microsoft.com/office/word/2010/wordprocessingShape">
                    <wps:wsp>
                      <wps:cNvPr id="1175" name="オブジェクト 0"/>
                      <wps:cNvSpPr/>
                      <wps:spPr>
                        <a:xfrm>
                          <a:off x="0" y="0"/>
                          <a:ext cx="5759450" cy="1181735"/>
                        </a:xfrm>
                        <a:prstGeom prst="roundRect">
                          <a:avLst>
                            <a:gd name="adj" fmla="val 9417"/>
                          </a:avLst>
                        </a:pr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right:16pt;mso-wrap-distance-bottom:0pt;margin-top:12.5pt;mso-position-vertical-relative:text;mso-position-horizontal-relative:margin;position:absolute;height:93.05pt;mso-wrap-distance-top:0pt;width:453.5pt;mso-wrap-distance-left:16pt;margin-left:0pt;z-index:128;" o:spid="_x0000_s1175" o:allowincell="t" o:allowoverlap="t" filled="f" stroked="t" strokecolor="#32528f" strokeweight="1pt" o:spt="2" arcsize="6171f">
                <v:fill/>
                <v:stroke linestyle="single" miterlimit="8" endcap="flat" dashstyle="solid" filltype="solid"/>
                <v:textbox style="layout-flow:horizontal;"/>
                <v:imagedata o:title=""/>
                <w10:wrap type="none" anchorx="margin" anchory="text"/>
              </v:roundrect>
            </w:pict>
          </mc:Fallback>
        </mc:AlternateContent>
      </w:r>
    </w:p>
    <w:p>
      <w:pPr>
        <w:pStyle w:val="0"/>
        <w:widowControl w:val="1"/>
        <w:ind w:left="220" w:leftChars="100" w:right="220" w:rightChars="100"/>
        <w:rPr>
          <w:rFonts w:hint="default"/>
          <w:color w:val="auto"/>
          <w:highlight w:val="none"/>
        </w:rPr>
      </w:pPr>
      <w:r>
        <w:rPr>
          <w:rFonts w:hint="eastAsia"/>
          <w:color w:val="auto"/>
          <w:highlight w:val="none"/>
        </w:rPr>
        <w:t>《コラム》</w:t>
      </w:r>
    </w:p>
    <w:p>
      <w:pPr>
        <w:pStyle w:val="0"/>
        <w:widowControl w:val="1"/>
        <w:ind w:left="440" w:leftChars="100" w:right="220" w:rightChars="100" w:hanging="220" w:hangingChars="100"/>
        <w:rPr>
          <w:rFonts w:hint="default" w:ascii="UD デジタル 教科書体 NP-R" w:hAnsi="UD デジタル 教科書体 NP-R" w:eastAsia="UD デジタル 教科書体 NP-R"/>
          <w:color w:val="auto"/>
          <w:highlight w:val="none"/>
        </w:rPr>
      </w:pPr>
      <w:r>
        <w:rPr>
          <w:rFonts w:hint="eastAsia" w:ascii="UD デジタル 教科書体 NP-R" w:hAnsi="UD デジタル 教科書体 NP-R" w:eastAsia="UD デジタル 教科書体 NP-R"/>
          <w:color w:val="auto"/>
          <w:highlight w:val="none"/>
        </w:rPr>
        <w:t>※「協議体」とは、自分たちが住む地域のことを地域の皆さんで、「こんな支え合いがあるといいね」「こんな地域になるといいね」「そのためにはどうしたらいいかな」等を話し合う場です。第</w:t>
      </w:r>
      <w:r>
        <w:rPr>
          <w:rFonts w:hint="eastAsia" w:ascii="UD デジタル 教科書体 NP-R" w:hAnsi="UD デジタル 教科書体 NP-R" w:eastAsia="UD デジタル 教科書体 NP-R"/>
          <w:color w:val="auto"/>
          <w:highlight w:val="none"/>
        </w:rPr>
        <w:t>2</w:t>
      </w:r>
      <w:r>
        <w:rPr>
          <w:rFonts w:hint="eastAsia" w:ascii="UD デジタル 教科書体 NP-R" w:hAnsi="UD デジタル 教科書体 NP-R" w:eastAsia="UD デジタル 教科書体 NP-R"/>
          <w:color w:val="auto"/>
          <w:highlight w:val="none"/>
        </w:rPr>
        <w:t>層協議体は、日常生活圏域ごとに設置することとしています。</w:t>
      </w: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r>
        <w:rPr>
          <w:rFonts w:hint="default"/>
          <w:color w:val="auto"/>
          <w:highlight w:val="none"/>
        </w:rPr>
        <w:br w:type="page"/>
      </w:r>
    </w:p>
    <w:p>
      <w:pPr>
        <w:pStyle w:val="26"/>
        <w:spacing w:after="76" w:afterLines="0" w:afterAutospacing="0"/>
        <w:rPr>
          <w:rFonts w:hint="default"/>
          <w:color w:val="auto"/>
          <w:highlight w:val="none"/>
        </w:rPr>
      </w:pPr>
      <w:bookmarkStart w:id="114" w:name="_Toc152160661"/>
      <w:r>
        <w:rPr>
          <w:rFonts w:hint="eastAsia"/>
          <w:color w:val="auto"/>
          <w:highlight w:val="none"/>
        </w:rPr>
        <w:t>（２）</w:t>
      </w:r>
      <w:r>
        <w:rPr>
          <w:rFonts w:hint="eastAsia"/>
          <w:color w:val="auto"/>
          <w:highlight w:val="none"/>
        </w:rPr>
        <w:t xml:space="preserve"> </w:t>
      </w:r>
      <w:r>
        <w:rPr>
          <w:rFonts w:hint="eastAsia"/>
          <w:color w:val="auto"/>
          <w:highlight w:val="none"/>
        </w:rPr>
        <w:t>医療と介護の連携強化</w:t>
      </w:r>
      <w:bookmarkEnd w:id="114"/>
    </w:p>
    <w:p>
      <w:pPr>
        <w:pStyle w:val="50"/>
        <w:spacing w:before="114" w:beforeLines="0" w:beforeAutospacing="0" w:after="114" w:afterLines="0" w:afterAutospacing="0"/>
        <w:rPr>
          <w:rFonts w:hint="default"/>
          <w:color w:val="auto"/>
          <w:highlight w:val="none"/>
        </w:rPr>
      </w:pPr>
      <w:r>
        <w:rPr>
          <w:rFonts w:hint="eastAsia"/>
          <w:color w:val="auto"/>
          <w:highlight w:val="none"/>
        </w:rPr>
        <w:t>◆◆現状と課題◆◆</w:t>
      </w:r>
    </w:p>
    <w:p>
      <w:pPr>
        <w:pStyle w:val="28"/>
        <w:rPr>
          <w:rFonts w:hint="default"/>
          <w:color w:val="auto"/>
          <w:highlight w:val="none"/>
        </w:rPr>
      </w:pPr>
      <w:r>
        <w:rPr>
          <w:rFonts w:hint="eastAsia"/>
          <w:color w:val="auto"/>
          <w:highlight w:val="none"/>
        </w:rPr>
        <w:t>今後、</w:t>
      </w:r>
      <w:r>
        <w:rPr>
          <w:rFonts w:hint="eastAsia"/>
          <w:color w:val="auto"/>
          <w:highlight w:val="none"/>
        </w:rPr>
        <w:t>85</w:t>
      </w:r>
      <w:r>
        <w:rPr>
          <w:rFonts w:hint="eastAsia"/>
          <w:color w:val="auto"/>
          <w:highlight w:val="none"/>
        </w:rPr>
        <w:t>歳以上の高齢者の増加に伴い、医療・介護の複合的ニーズを有する慢性疾患等の高齢者が増加することが見込まれます。</w:t>
      </w:r>
    </w:p>
    <w:p>
      <w:pPr>
        <w:pStyle w:val="28"/>
        <w:rPr>
          <w:rFonts w:hint="default"/>
          <w:color w:val="auto"/>
          <w:highlight w:val="none"/>
        </w:rPr>
      </w:pPr>
      <w:r>
        <w:rPr>
          <w:rFonts w:hint="eastAsia"/>
          <w:color w:val="auto"/>
          <w:highlight w:val="none"/>
        </w:rPr>
        <w:t>ニーズ調査の結果では、在宅で介護を受けている高齢者の多くに認知症や心疾患、筋骨格系疾患など何らかの傷病がありました。</w:t>
      </w:r>
    </w:p>
    <w:p>
      <w:pPr>
        <w:pStyle w:val="28"/>
        <w:rPr>
          <w:rFonts w:hint="default"/>
          <w:color w:val="auto"/>
          <w:highlight w:val="none"/>
        </w:rPr>
      </w:pPr>
      <w:r>
        <w:rPr>
          <w:rFonts w:hint="eastAsia"/>
          <w:color w:val="auto"/>
          <w:highlight w:val="none"/>
        </w:rPr>
        <w:t>本市においては、医療・介護・福祉の専門職団体である五師士会に事業を委託し、「在宅医療・介護連携推進事業委員会」を中心に、人生会議等の普及啓発の促進、認知症や看取り、感染症対策に関係する専門職の情報共有の促進や研修に取り組んできました。</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◆◆施策の方向性◆◆</w:t>
      </w:r>
    </w:p>
    <w:p>
      <w:pPr>
        <w:pStyle w:val="28"/>
        <w:rPr>
          <w:rFonts w:hint="default"/>
          <w:color w:val="auto"/>
          <w:highlight w:val="none"/>
        </w:rPr>
      </w:pPr>
      <w:r>
        <w:rPr>
          <w:rFonts w:hint="eastAsia"/>
          <w:color w:val="auto"/>
          <w:highlight w:val="none"/>
        </w:rPr>
        <w:t>高齢者が、可能な限り住み慣れた地域において継続した生活を送ることができるよう、入退院支援、急変時の対応、日常の療養支援、看取りの場面において、地域における医療と介護、その他の関係者を支援し、連携を推進する体制整備を行います。</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◆◆具体的施策◆◆</w:t>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78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切れ目のない医療と介護の提供</w:t>
            </w:r>
          </w:p>
        </w:tc>
      </w:tr>
      <w:tr>
        <w:trPr>
          <w:trHeight w:val="1701" w:hRule="atLeast"/>
        </w:trPr>
        <w:tc>
          <w:tcPr>
            <w:tcW w:w="8788" w:type="dxa"/>
            <w:vAlign w:val="center"/>
          </w:tcPr>
          <w:p>
            <w:pPr>
              <w:pStyle w:val="52"/>
              <w:rPr>
                <w:rFonts w:hint="default"/>
                <w:color w:val="auto"/>
                <w:highlight w:val="none"/>
              </w:rPr>
            </w:pPr>
            <w:r>
              <w:rPr>
                <w:rFonts w:hint="eastAsia"/>
                <w:color w:val="auto"/>
                <w:highlight w:val="none"/>
              </w:rPr>
              <w:t>入退院連携ガイドラインを作成し、病院、介護事業所等の関係スタッフで入退院時の連携に関するルールを共有することで、入退院時の連携を図りやすくします。</w:t>
            </w:r>
          </w:p>
          <w:p>
            <w:pPr>
              <w:pStyle w:val="52"/>
              <w:rPr>
                <w:rFonts w:hint="default"/>
                <w:color w:val="auto"/>
                <w:highlight w:val="none"/>
              </w:rPr>
            </w:pPr>
            <w:r>
              <w:rPr>
                <w:rFonts w:hint="eastAsia"/>
                <w:color w:val="auto"/>
                <w:highlight w:val="none"/>
              </w:rPr>
              <w:t>入退院支援担当者連絡会を行い、顔の見える関係づくりや職種間の専門性の理解を促すことで、入退院時の連携を強化します。</w:t>
            </w:r>
          </w:p>
        </w:tc>
      </w:tr>
      <w:tr>
        <w:trPr>
          <w:trHeight w:val="510" w:hRule="atLeast"/>
        </w:trPr>
        <w:tc>
          <w:tcPr>
            <w:tcW w:w="878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急変時に対応できる体制の構築</w:t>
            </w:r>
          </w:p>
        </w:tc>
      </w:tr>
      <w:tr>
        <w:trPr>
          <w:trHeight w:val="1701" w:hRule="atLeast"/>
        </w:trPr>
        <w:tc>
          <w:tcPr>
            <w:tcW w:w="8788" w:type="dxa"/>
            <w:vAlign w:val="center"/>
          </w:tcPr>
          <w:p>
            <w:pPr>
              <w:pStyle w:val="52"/>
              <w:rPr>
                <w:rFonts w:hint="default"/>
                <w:color w:val="auto"/>
                <w:highlight w:val="none"/>
              </w:rPr>
            </w:pPr>
            <w:r>
              <w:rPr>
                <w:rFonts w:hint="eastAsia"/>
                <w:color w:val="auto"/>
                <w:highlight w:val="none"/>
              </w:rPr>
              <w:t>関係課や関係団体、地域包括支援センター、五師士会と連携して、高齢者が緊急時の連絡先や意思表示を身近な人や関係者と共有することの重要性を周知します。</w:t>
            </w:r>
          </w:p>
          <w:p>
            <w:pPr>
              <w:pStyle w:val="52"/>
              <w:rPr>
                <w:rFonts w:hint="default"/>
                <w:color w:val="auto"/>
                <w:highlight w:val="none"/>
              </w:rPr>
            </w:pPr>
            <w:r>
              <w:rPr>
                <w:rFonts w:hint="eastAsia"/>
                <w:color w:val="auto"/>
                <w:highlight w:val="none"/>
              </w:rPr>
              <w:t>急変時の対応を行っている市内の病院、診療所の情報や</w:t>
            </w:r>
            <w:r>
              <w:rPr>
                <w:rFonts w:hint="default"/>
                <w:color w:val="auto"/>
                <w:highlight w:val="none"/>
              </w:rPr>
              <w:t>24</w:t>
            </w:r>
            <w:r>
              <w:rPr>
                <w:rFonts w:hint="default"/>
                <w:color w:val="auto"/>
                <w:highlight w:val="none"/>
              </w:rPr>
              <w:t>時間対応可能な訪問看護ステーションの情報を関係者に提供できる体制を整えます。</w:t>
            </w:r>
          </w:p>
        </w:tc>
      </w:tr>
      <w:tr>
        <w:trPr>
          <w:trHeight w:val="510" w:hRule="atLeast"/>
        </w:trPr>
        <w:tc>
          <w:tcPr>
            <w:tcW w:w="878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在宅医療と介護の連携強化</w:t>
            </w:r>
          </w:p>
        </w:tc>
      </w:tr>
      <w:tr>
        <w:trPr>
          <w:trHeight w:val="1644" w:hRule="atLeast"/>
        </w:trPr>
        <w:tc>
          <w:tcPr>
            <w:tcW w:w="8788" w:type="dxa"/>
            <w:vAlign w:val="center"/>
          </w:tcPr>
          <w:p>
            <w:pPr>
              <w:pStyle w:val="52"/>
              <w:rPr>
                <w:rFonts w:hint="default"/>
                <w:color w:val="auto"/>
                <w:highlight w:val="none"/>
              </w:rPr>
            </w:pPr>
            <w:r>
              <w:rPr>
                <w:rFonts w:hint="eastAsia"/>
                <w:color w:val="auto"/>
                <w:highlight w:val="none"/>
              </w:rPr>
              <w:t>医療・介護関係機関の職員を対象として多職種連携などに関する参加型の研修を実施します。</w:t>
            </w:r>
          </w:p>
          <w:p>
            <w:pPr>
              <w:pStyle w:val="52"/>
              <w:rPr>
                <w:rFonts w:hint="default"/>
                <w:color w:val="auto"/>
                <w:highlight w:val="none"/>
              </w:rPr>
            </w:pPr>
            <w:r>
              <w:rPr>
                <w:rFonts w:hint="eastAsia"/>
                <w:color w:val="auto"/>
                <w:highlight w:val="none"/>
              </w:rPr>
              <w:t>在宅医療・介護連携相談支援室を中心に、医療職と介護職のそれぞれの課題を把握し、共有を促すことで、連携強化を図ります。</w:t>
            </w:r>
          </w:p>
        </w:tc>
      </w:tr>
    </w:tbl>
    <w:p>
      <w:pPr>
        <w:pStyle w:val="0"/>
        <w:widowControl w:val="1"/>
        <w:jc w:val="left"/>
        <w:rPr>
          <w:rFonts w:hint="default"/>
          <w:color w:val="auto"/>
          <w:highlight w:val="none"/>
        </w:rPr>
      </w:pPr>
      <w:r>
        <w:rPr>
          <w:rFonts w:hint="default"/>
          <w:color w:val="auto"/>
          <w:highlight w:val="none"/>
        </w:rPr>
        <w:br w:type="page"/>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78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在宅ケアを支える社会資源の周知</w:t>
            </w:r>
          </w:p>
        </w:tc>
      </w:tr>
      <w:tr>
        <w:trPr>
          <w:trHeight w:val="1020" w:hRule="atLeast"/>
        </w:trPr>
        <w:tc>
          <w:tcPr>
            <w:tcW w:w="8788" w:type="dxa"/>
            <w:vAlign w:val="center"/>
          </w:tcPr>
          <w:p>
            <w:pPr>
              <w:pStyle w:val="52"/>
              <w:rPr>
                <w:rFonts w:hint="default"/>
                <w:color w:val="auto"/>
                <w:highlight w:val="none"/>
              </w:rPr>
            </w:pPr>
            <w:r>
              <w:rPr>
                <w:rFonts w:hint="eastAsia"/>
                <w:color w:val="auto"/>
                <w:highlight w:val="none"/>
              </w:rPr>
              <w:t>在宅訪問が可能な医療機関、歯科医療機関、薬局や居宅系サービス事業所の情報を市民に提供する体制を整備します。</w:t>
            </w:r>
          </w:p>
        </w:tc>
      </w:tr>
      <w:tr>
        <w:trPr>
          <w:trHeight w:val="510" w:hRule="atLeast"/>
        </w:trPr>
        <w:tc>
          <w:tcPr>
            <w:tcW w:w="878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人生会議（ＡＣＰ）の普及啓発</w:t>
            </w:r>
          </w:p>
        </w:tc>
      </w:tr>
      <w:tr>
        <w:trPr>
          <w:trHeight w:val="1644" w:hRule="atLeast"/>
        </w:trPr>
        <w:tc>
          <w:tcPr>
            <w:tcW w:w="8788" w:type="dxa"/>
            <w:vAlign w:val="center"/>
          </w:tcPr>
          <w:p>
            <w:pPr>
              <w:pStyle w:val="52"/>
              <w:rPr>
                <w:rFonts w:hint="default"/>
                <w:color w:val="auto"/>
                <w:highlight w:val="none"/>
              </w:rPr>
            </w:pPr>
            <w:r>
              <w:rPr>
                <w:rFonts w:hint="eastAsia"/>
                <w:color w:val="auto"/>
                <w:highlight w:val="none"/>
              </w:rPr>
              <w:t>自分らしい暮らしを考えるきっかけづくりとなるよう、エンディングノートや人生会議に関連する出前講座等を実施します。</w:t>
            </w:r>
          </w:p>
          <w:p>
            <w:pPr>
              <w:pStyle w:val="52"/>
              <w:rPr>
                <w:rFonts w:hint="default"/>
                <w:color w:val="auto"/>
                <w:highlight w:val="none"/>
              </w:rPr>
            </w:pPr>
            <w:r>
              <w:rPr>
                <w:rFonts w:hint="eastAsia"/>
                <w:color w:val="auto"/>
                <w:highlight w:val="none"/>
              </w:rPr>
              <w:t>また、五師士会と連携し、人生会議の普及啓発を推進する「人生会議サポーター」を養成します。</w:t>
            </w:r>
          </w:p>
        </w:tc>
      </w:tr>
    </w:tbl>
    <w:p>
      <w:pPr>
        <w:pStyle w:val="41"/>
        <w:rPr>
          <w:rFonts w:hint="default"/>
          <w:b w:val="1"/>
          <w:color w:val="auto"/>
          <w:highlight w:val="none"/>
        </w:rPr>
      </w:pPr>
    </w:p>
    <w:p>
      <w:pPr>
        <w:pStyle w:val="41"/>
        <w:ind w:left="440" w:leftChars="200"/>
        <w:rPr>
          <w:rFonts w:hint="default"/>
          <w:b w:val="1"/>
          <w:color w:val="auto"/>
          <w:highlight w:val="none"/>
        </w:rPr>
      </w:pPr>
      <w:r>
        <w:rPr>
          <w:rFonts w:hint="eastAsia"/>
          <w:b w:val="1"/>
          <w:color w:val="auto"/>
          <w:highlight w:val="none"/>
        </w:rPr>
        <w:t>≪施策の活動指標≫</w:t>
      </w:r>
    </w:p>
    <w:p>
      <w:pPr>
        <w:pStyle w:val="30"/>
        <w:numPr>
          <w:ilvl w:val="0"/>
          <w:numId w:val="3"/>
        </w:numPr>
        <w:spacing w:after="76" w:afterLines="0" w:afterAutospacing="0"/>
        <w:ind w:leftChars="0"/>
        <w:rPr>
          <w:rFonts w:hint="default"/>
          <w:b w:val="0"/>
          <w:color w:val="auto"/>
          <w:sz w:val="22"/>
          <w:highlight w:val="none"/>
        </w:rPr>
      </w:pPr>
      <w:r>
        <w:rPr>
          <w:rFonts w:hint="eastAsia"/>
          <w:b w:val="0"/>
          <w:color w:val="auto"/>
          <w:sz w:val="22"/>
          <w:highlight w:val="none"/>
          <w:shd w:val="clear" w:color="auto" w:themeFill="background1" w:themeFillTint="FF" w:themeFillShade="FF"/>
        </w:rPr>
        <w:t>医療と介護の連携強化の取組</w:t>
      </w:r>
    </w:p>
    <w:tbl>
      <w:tblPr>
        <w:tblStyle w:val="81"/>
        <w:tblW w:w="8626" w:type="dxa"/>
        <w:tblInd w:w="435" w:type="dxa"/>
        <w:tblLayout w:type="fixed"/>
        <w:tblLook w:firstRow="1" w:lastRow="0" w:firstColumn="1" w:lastColumn="0" w:noHBand="0" w:noVBand="1" w:val="04A0"/>
      </w:tblPr>
      <w:tblGrid>
        <w:gridCol w:w="3548"/>
        <w:gridCol w:w="1269"/>
        <w:gridCol w:w="1270"/>
        <w:gridCol w:w="1269"/>
        <w:gridCol w:w="1270"/>
      </w:tblGrid>
      <w:tr>
        <w:trPr>
          <w:trHeight w:val="510" w:hRule="atLeast"/>
        </w:trPr>
        <w:tc>
          <w:tcPr>
            <w:tcW w:w="354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26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現状</w:t>
            </w:r>
          </w:p>
        </w:tc>
        <w:tc>
          <w:tcPr>
            <w:tcW w:w="127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6</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(2024</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6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7</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(2025</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8</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(2026</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r>
      <w:tr>
        <w:trPr>
          <w:trHeight w:val="397" w:hRule="exact"/>
        </w:trPr>
        <w:tc>
          <w:tcPr>
            <w:tcW w:w="3548" w:type="dxa"/>
            <w:vAlign w:val="center"/>
          </w:tcPr>
          <w:p>
            <w:pPr>
              <w:pStyle w:val="0"/>
              <w:widowControl w:val="1"/>
              <w:autoSpaceDE w:val="0"/>
              <w:autoSpaceDN w:val="0"/>
              <w:spacing w:line="240" w:lineRule="exact"/>
              <w:ind w:right="-110" w:rightChars="-50"/>
              <w:jc w:val="lef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多職種を対象とした研修会の開催数</w:t>
            </w:r>
          </w:p>
        </w:tc>
        <w:tc>
          <w:tcPr>
            <w:tcW w:w="1269" w:type="dxa"/>
            <w:tcMar>
              <w:left w:w="0" w:type="dxa"/>
              <w:right w:w="0" w:type="dxa"/>
            </w:tcMar>
            <w:vAlign w:val="center"/>
          </w:tcPr>
          <w:p>
            <w:pPr>
              <w:pStyle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6</w:t>
            </w:r>
            <w:r>
              <w:rPr>
                <w:rFonts w:hint="eastAsia" w:ascii="ＭＳ Ｐゴシック" w:hAnsi="ＭＳ Ｐゴシック" w:eastAsia="ＭＳ Ｐゴシック"/>
                <w:color w:val="auto"/>
                <w:sz w:val="21"/>
                <w:highlight w:val="none"/>
              </w:rPr>
              <w:t>回</w:t>
            </w:r>
          </w:p>
        </w:tc>
        <w:tc>
          <w:tcPr>
            <w:tcW w:w="1270" w:type="dxa"/>
            <w:vAlign w:val="center"/>
          </w:tcPr>
          <w:p>
            <w:pPr>
              <w:pStyle w:val="0"/>
              <w:autoSpaceDE w:val="0"/>
              <w:autoSpaceDN w:val="0"/>
              <w:spacing w:line="24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5</w:t>
            </w:r>
            <w:r>
              <w:rPr>
                <w:rFonts w:hint="eastAsia" w:ascii="ＭＳ Ｐゴシック" w:hAnsi="ＭＳ Ｐゴシック" w:eastAsia="ＭＳ Ｐゴシック"/>
                <w:color w:val="auto"/>
                <w:sz w:val="21"/>
                <w:highlight w:val="none"/>
              </w:rPr>
              <w:t>回</w:t>
            </w:r>
          </w:p>
        </w:tc>
        <w:tc>
          <w:tcPr>
            <w:tcW w:w="1269" w:type="dxa"/>
            <w:vAlign w:val="center"/>
          </w:tcPr>
          <w:p>
            <w:pPr>
              <w:pStyle w:val="0"/>
              <w:autoSpaceDE w:val="0"/>
              <w:autoSpaceDN w:val="0"/>
              <w:spacing w:line="24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5</w:t>
            </w:r>
            <w:r>
              <w:rPr>
                <w:rFonts w:hint="eastAsia" w:ascii="ＭＳ Ｐゴシック" w:hAnsi="ＭＳ Ｐゴシック" w:eastAsia="ＭＳ Ｐゴシック"/>
                <w:color w:val="auto"/>
                <w:sz w:val="21"/>
                <w:highlight w:val="none"/>
              </w:rPr>
              <w:t>回</w:t>
            </w:r>
          </w:p>
        </w:tc>
        <w:tc>
          <w:tcPr>
            <w:tcW w:w="1270" w:type="dxa"/>
            <w:vAlign w:val="center"/>
          </w:tcPr>
          <w:p>
            <w:pPr>
              <w:pStyle w:val="0"/>
              <w:autoSpaceDE w:val="0"/>
              <w:autoSpaceDN w:val="0"/>
              <w:spacing w:line="24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5</w:t>
            </w:r>
            <w:r>
              <w:rPr>
                <w:rFonts w:hint="eastAsia" w:ascii="ＭＳ Ｐゴシック" w:hAnsi="ＭＳ Ｐゴシック" w:eastAsia="ＭＳ Ｐゴシック"/>
                <w:color w:val="auto"/>
                <w:sz w:val="21"/>
                <w:highlight w:val="none"/>
              </w:rPr>
              <w:t>回</w:t>
            </w:r>
          </w:p>
        </w:tc>
      </w:tr>
      <w:tr>
        <w:trPr>
          <w:trHeight w:val="572" w:hRule="exact"/>
        </w:trPr>
        <w:tc>
          <w:tcPr>
            <w:tcW w:w="3548" w:type="dxa"/>
            <w:vAlign w:val="center"/>
          </w:tcPr>
          <w:p>
            <w:pPr>
              <w:pStyle w:val="0"/>
              <w:widowControl w:val="1"/>
              <w:autoSpaceDE w:val="0"/>
              <w:autoSpaceDN w:val="0"/>
              <w:spacing w:line="240" w:lineRule="exact"/>
              <w:ind w:right="-110" w:rightChars="-50"/>
              <w:jc w:val="lef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人生会議（ＡＣＰ）の認知度</w:t>
            </w:r>
          </w:p>
        </w:tc>
        <w:tc>
          <w:tcPr>
            <w:tcW w:w="1269" w:type="dxa"/>
            <w:tcMar>
              <w:left w:w="0" w:type="dxa"/>
              <w:right w:w="0" w:type="dxa"/>
            </w:tcMar>
            <w:vAlign w:val="center"/>
          </w:tcPr>
          <w:p>
            <w:pPr>
              <w:pStyle w:val="0"/>
              <w:autoSpaceDE w:val="0"/>
              <w:autoSpaceDN w:val="0"/>
              <w:spacing w:line="24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12.9</w:t>
            </w:r>
            <w:r>
              <w:rPr>
                <w:rFonts w:hint="eastAsia" w:ascii="ＭＳ Ｐゴシック" w:hAnsi="ＭＳ Ｐゴシック" w:eastAsia="ＭＳ Ｐゴシック"/>
                <w:color w:val="auto"/>
                <w:sz w:val="21"/>
                <w:highlight w:val="none"/>
              </w:rPr>
              <w:t>％</w:t>
            </w:r>
          </w:p>
          <w:p>
            <w:pPr>
              <w:pStyle w:val="0"/>
              <w:jc w:val="center"/>
              <w:rPr>
                <w:rFonts w:hint="default" w:ascii="ＭＳ Ｐゴシック" w:hAnsi="ＭＳ Ｐゴシック" w:eastAsia="ＭＳ Ｐゴシック"/>
                <w:color w:val="auto"/>
                <w:sz w:val="16"/>
                <w:highlight w:val="none"/>
              </w:rPr>
            </w:pPr>
            <w:r>
              <w:rPr>
                <w:rFonts w:hint="eastAsia" w:ascii="ＭＳ Ｐゴシック" w:hAnsi="ＭＳ Ｐゴシック" w:eastAsia="ＭＳ Ｐゴシック"/>
                <w:color w:val="auto"/>
                <w:sz w:val="16"/>
                <w:highlight w:val="none"/>
              </w:rPr>
              <w:t>（令和４年度）</w:t>
            </w:r>
          </w:p>
        </w:tc>
        <w:tc>
          <w:tcPr>
            <w:tcW w:w="1270" w:type="dxa"/>
            <w:vAlign w:val="center"/>
          </w:tcPr>
          <w:p>
            <w:pPr>
              <w:pStyle w:val="0"/>
              <w:autoSpaceDE w:val="0"/>
              <w:autoSpaceDN w:val="0"/>
              <w:spacing w:line="24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26.0</w:t>
            </w:r>
            <w:r>
              <w:rPr>
                <w:rFonts w:hint="eastAsia" w:ascii="ＭＳ Ｐゴシック" w:hAnsi="ＭＳ Ｐゴシック" w:eastAsia="ＭＳ Ｐゴシック"/>
                <w:color w:val="auto"/>
                <w:sz w:val="21"/>
                <w:highlight w:val="none"/>
              </w:rPr>
              <w:t>％</w:t>
            </w:r>
          </w:p>
        </w:tc>
        <w:tc>
          <w:tcPr>
            <w:tcW w:w="1269" w:type="dxa"/>
            <w:vAlign w:val="center"/>
          </w:tcPr>
          <w:p>
            <w:pPr>
              <w:pStyle w:val="0"/>
              <w:autoSpaceDE w:val="0"/>
              <w:autoSpaceDN w:val="0"/>
              <w:spacing w:line="24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30.0</w:t>
            </w:r>
            <w:r>
              <w:rPr>
                <w:rFonts w:hint="eastAsia" w:ascii="ＭＳ Ｐゴシック" w:hAnsi="ＭＳ Ｐゴシック" w:eastAsia="ＭＳ Ｐゴシック"/>
                <w:color w:val="auto"/>
                <w:sz w:val="21"/>
                <w:highlight w:val="none"/>
              </w:rPr>
              <w:t>％</w:t>
            </w:r>
          </w:p>
        </w:tc>
        <w:tc>
          <w:tcPr>
            <w:tcW w:w="1270" w:type="dxa"/>
            <w:vAlign w:val="center"/>
          </w:tcPr>
          <w:p>
            <w:pPr>
              <w:pStyle w:val="0"/>
              <w:autoSpaceDE w:val="0"/>
              <w:autoSpaceDN w:val="0"/>
              <w:spacing w:line="24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32.0</w:t>
            </w:r>
            <w:r>
              <w:rPr>
                <w:rFonts w:hint="eastAsia" w:ascii="ＭＳ Ｐゴシック" w:hAnsi="ＭＳ Ｐゴシック" w:eastAsia="ＭＳ Ｐゴシック"/>
                <w:color w:val="auto"/>
                <w:sz w:val="21"/>
                <w:highlight w:val="none"/>
              </w:rPr>
              <w:t>％</w:t>
            </w:r>
          </w:p>
        </w:tc>
      </w:tr>
      <w:tr>
        <w:trPr>
          <w:trHeight w:val="397" w:hRule="exact"/>
        </w:trPr>
        <w:tc>
          <w:tcPr>
            <w:tcW w:w="3548" w:type="dxa"/>
            <w:vAlign w:val="center"/>
          </w:tcPr>
          <w:p>
            <w:pPr>
              <w:pStyle w:val="0"/>
              <w:widowControl w:val="1"/>
              <w:autoSpaceDE w:val="0"/>
              <w:autoSpaceDN w:val="0"/>
              <w:spacing w:line="240" w:lineRule="exact"/>
              <w:ind w:right="-110" w:rightChars="-50"/>
              <w:jc w:val="lef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人生会議（ＡＣＰ）出前講座回数</w:t>
            </w:r>
          </w:p>
        </w:tc>
        <w:tc>
          <w:tcPr>
            <w:tcW w:w="1269" w:type="dxa"/>
            <w:tcMar>
              <w:left w:w="0" w:type="dxa"/>
              <w:right w:w="0" w:type="dxa"/>
            </w:tcMar>
            <w:vAlign w:val="center"/>
          </w:tcPr>
          <w:p>
            <w:pPr>
              <w:pStyle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14</w:t>
            </w:r>
            <w:r>
              <w:rPr>
                <w:rFonts w:hint="eastAsia" w:ascii="ＭＳ Ｐゴシック" w:hAnsi="ＭＳ Ｐゴシック" w:eastAsia="ＭＳ Ｐゴシック"/>
                <w:color w:val="auto"/>
                <w:sz w:val="21"/>
                <w:highlight w:val="none"/>
              </w:rPr>
              <w:t>回</w:t>
            </w:r>
          </w:p>
        </w:tc>
        <w:tc>
          <w:tcPr>
            <w:tcW w:w="1270" w:type="dxa"/>
            <w:vAlign w:val="center"/>
          </w:tcPr>
          <w:p>
            <w:pPr>
              <w:pStyle w:val="0"/>
              <w:autoSpaceDE w:val="0"/>
              <w:autoSpaceDN w:val="0"/>
              <w:spacing w:line="24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12</w:t>
            </w:r>
            <w:r>
              <w:rPr>
                <w:rFonts w:hint="eastAsia" w:ascii="ＭＳ Ｐゴシック" w:hAnsi="ＭＳ Ｐゴシック" w:eastAsia="ＭＳ Ｐゴシック"/>
                <w:color w:val="auto"/>
                <w:sz w:val="21"/>
                <w:highlight w:val="none"/>
              </w:rPr>
              <w:t>回</w:t>
            </w:r>
          </w:p>
        </w:tc>
        <w:tc>
          <w:tcPr>
            <w:tcW w:w="1269" w:type="dxa"/>
            <w:vAlign w:val="center"/>
          </w:tcPr>
          <w:p>
            <w:pPr>
              <w:pStyle w:val="0"/>
              <w:autoSpaceDE w:val="0"/>
              <w:autoSpaceDN w:val="0"/>
              <w:spacing w:line="24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12</w:t>
            </w:r>
            <w:r>
              <w:rPr>
                <w:rFonts w:hint="eastAsia" w:ascii="ＭＳ Ｐゴシック" w:hAnsi="ＭＳ Ｐゴシック" w:eastAsia="ＭＳ Ｐゴシック"/>
                <w:color w:val="auto"/>
                <w:sz w:val="21"/>
                <w:highlight w:val="none"/>
              </w:rPr>
              <w:t>回</w:t>
            </w:r>
          </w:p>
        </w:tc>
        <w:tc>
          <w:tcPr>
            <w:tcW w:w="1270" w:type="dxa"/>
            <w:vAlign w:val="center"/>
          </w:tcPr>
          <w:p>
            <w:pPr>
              <w:pStyle w:val="0"/>
              <w:autoSpaceDE w:val="0"/>
              <w:autoSpaceDN w:val="0"/>
              <w:spacing w:line="24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12</w:t>
            </w:r>
            <w:r>
              <w:rPr>
                <w:rFonts w:hint="eastAsia" w:ascii="ＭＳ Ｐゴシック" w:hAnsi="ＭＳ Ｐゴシック" w:eastAsia="ＭＳ Ｐゴシック"/>
                <w:color w:val="auto"/>
                <w:sz w:val="21"/>
                <w:highlight w:val="none"/>
              </w:rPr>
              <w:t>回</w:t>
            </w:r>
          </w:p>
        </w:tc>
      </w:tr>
    </w:tbl>
    <w:p>
      <w:pPr>
        <w:pStyle w:val="41"/>
        <w:spacing w:line="0" w:lineRule="atLeast"/>
        <w:rPr>
          <w:rFonts w:hint="default" w:ascii="HG丸ｺﾞｼｯｸM-PRO" w:hAnsi="HG丸ｺﾞｼｯｸM-PRO" w:eastAsia="HG丸ｺﾞｼｯｸM-PRO"/>
          <w:color w:val="auto"/>
          <w:highlight w:val="none"/>
        </w:rPr>
      </w:pPr>
    </w:p>
    <w:p>
      <w:pPr>
        <w:pStyle w:val="41"/>
        <w:spacing w:line="0" w:lineRule="atLeast"/>
        <w:rPr>
          <w:rFonts w:hint="default" w:ascii="HG丸ｺﾞｼｯｸM-PRO" w:hAnsi="HG丸ｺﾞｼｯｸM-PRO" w:eastAsia="HG丸ｺﾞｼｯｸM-PRO"/>
          <w:color w:val="auto"/>
          <w:highlight w:val="none"/>
        </w:rPr>
      </w:pPr>
      <w:r>
        <w:rPr>
          <w:rFonts w:hint="eastAsia"/>
          <w:color w:val="auto"/>
          <w:highlight w:val="none"/>
        </w:rPr>
        <mc:AlternateContent>
          <mc:Choice Requires="wps">
            <w:drawing>
              <wp:anchor distT="0" distB="0" distL="203200" distR="203200" simplePos="0" relativeHeight="129" behindDoc="0" locked="0" layoutInCell="1" hidden="0" allowOverlap="1">
                <wp:simplePos x="0" y="0"/>
                <wp:positionH relativeFrom="margin">
                  <wp:align>left</wp:align>
                </wp:positionH>
                <wp:positionV relativeFrom="paragraph">
                  <wp:posOffset>64135</wp:posOffset>
                </wp:positionV>
                <wp:extent cx="5759450" cy="1038225"/>
                <wp:effectExtent l="635" t="635" r="29845" b="10795"/>
                <wp:wrapNone/>
                <wp:docPr id="1176" name="オブジェクト 0"/>
                <a:graphic xmlns:a="http://schemas.openxmlformats.org/drawingml/2006/main">
                  <a:graphicData uri="http://schemas.microsoft.com/office/word/2010/wordprocessingShape">
                    <wps:wsp>
                      <wps:cNvPr id="1176" name="オブジェクト 0"/>
                      <wps:cNvSpPr/>
                      <wps:spPr>
                        <a:xfrm>
                          <a:off x="0" y="0"/>
                          <a:ext cx="5759450" cy="1038225"/>
                        </a:xfrm>
                        <a:prstGeom prst="roundRect">
                          <a:avLst>
                            <a:gd name="adj" fmla="val 12637"/>
                          </a:avLst>
                        </a:pr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right:16pt;mso-wrap-distance-bottom:0pt;margin-top:5.05pt;mso-position-vertical-relative:text;mso-position-horizontal:left;mso-position-horizontal-relative:margin;position:absolute;height:81.75pt;mso-wrap-distance-top:0pt;width:453.5pt;mso-wrap-distance-left:16pt;z-index:129;" o:spid="_x0000_s1176" o:allowincell="t" o:allowoverlap="t" filled="f" stroked="t" strokecolor="#32528f" strokeweight="1pt" o:spt="2" arcsize="8283f">
                <v:fill/>
                <v:stroke linestyle="single" miterlimit="8" endcap="flat" dashstyle="solid" filltype="solid"/>
                <v:textbox style="layout-flow:horizontal;"/>
                <v:imagedata o:title=""/>
                <w10:wrap type="none" anchorx="margin" anchory="text"/>
              </v:roundrect>
            </w:pict>
          </mc:Fallback>
        </mc:AlternateContent>
      </w:r>
    </w:p>
    <w:p>
      <w:pPr>
        <w:pStyle w:val="41"/>
        <w:spacing w:line="0" w:lineRule="atLeast"/>
        <w:ind w:left="220" w:leftChars="10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《コラム》</w:t>
      </w:r>
    </w:p>
    <w:p>
      <w:pPr>
        <w:pStyle w:val="41"/>
        <w:spacing w:line="0" w:lineRule="atLeast"/>
        <w:ind w:left="440" w:leftChars="100" w:right="220" w:rightChars="100" w:hanging="220" w:hangingChars="100"/>
        <w:rPr>
          <w:rFonts w:hint="default" w:ascii="UD デジタル 教科書体 NP-R" w:hAnsi="UD デジタル 教科書体 NP-R" w:eastAsia="UD デジタル 教科書体 NP-R"/>
          <w:color w:val="auto"/>
          <w:highlight w:val="none"/>
        </w:rPr>
      </w:pPr>
      <w:r>
        <w:rPr>
          <w:rFonts w:hint="eastAsia" w:ascii="UD デジタル 教科書体 NP-R" w:hAnsi="UD デジタル 教科書体 NP-R" w:eastAsia="UD デジタル 教科書体 NP-R"/>
          <w:color w:val="auto"/>
          <w:highlight w:val="none"/>
        </w:rPr>
        <w:t>※「人生会議（</w:t>
      </w:r>
      <w:r>
        <w:rPr>
          <w:rFonts w:hint="eastAsia" w:ascii="UD デジタル 教科書体 NP-R" w:hAnsi="UD デジタル 教科書体 NP-R" w:eastAsia="UD デジタル 教科書体 NP-R"/>
          <w:color w:val="auto"/>
          <w:highlight w:val="none"/>
        </w:rPr>
        <w:t>ACP : Advance Care Planning</w:t>
      </w:r>
      <w:r>
        <w:rPr>
          <w:rFonts w:hint="eastAsia" w:ascii="UD デジタル 教科書体 NP-R" w:hAnsi="UD デジタル 教科書体 NP-R" w:eastAsia="UD デジタル 教科書体 NP-R"/>
          <w:color w:val="auto"/>
          <w:highlight w:val="none"/>
        </w:rPr>
        <w:t>）」とは、もしものときのために、自分が望む医療やケアについて前もって考え、家族等や医療・ケアチームと繰り返し話し合い、共有する取組です。</w:t>
      </w:r>
    </w:p>
    <w:p>
      <w:pPr>
        <w:pStyle w:val="0"/>
        <w:widowControl w:val="1"/>
        <w:jc w:val="left"/>
        <w:rPr>
          <w:rFonts w:hint="default" w:ascii="UD デジタル 教科書体 NP-R" w:hAnsi="UD デジタル 教科書体 NP-R" w:eastAsia="UD デジタル 教科書体 NP-R"/>
          <w:color w:val="auto"/>
          <w:highlight w:val="none"/>
        </w:rPr>
      </w:pPr>
    </w:p>
    <w:p>
      <w:pPr>
        <w:pStyle w:val="0"/>
        <w:widowControl w:val="1"/>
        <w:jc w:val="center"/>
        <w:rPr>
          <w:rFonts w:hint="default"/>
          <w:color w:val="auto"/>
          <w:highlight w:val="none"/>
        </w:rPr>
      </w:pPr>
      <w:r>
        <w:rPr>
          <w:rFonts w:hint="default"/>
          <w:color w:val="auto"/>
          <w:highlight w:val="none"/>
        </w:rPr>
        <w:drawing>
          <wp:anchor distT="0" distB="0" distL="114300" distR="114300" simplePos="0" relativeHeight="162" behindDoc="0" locked="0" layoutInCell="1" hidden="0" allowOverlap="1">
            <wp:simplePos x="0" y="0"/>
            <wp:positionH relativeFrom="column">
              <wp:posOffset>280670</wp:posOffset>
            </wp:positionH>
            <wp:positionV relativeFrom="paragraph">
              <wp:posOffset>233045</wp:posOffset>
            </wp:positionV>
            <wp:extent cx="5359400" cy="3208655"/>
            <wp:effectExtent l="0" t="0" r="0" b="0"/>
            <wp:wrapNone/>
            <wp:docPr id="1177" name="図 3" descr="タイムライン&#10;&#10;自動的に生成された説明"/>
            <a:graphic xmlns:a="http://schemas.openxmlformats.org/drawingml/2006/main">
              <a:graphicData uri="http://schemas.openxmlformats.org/drawingml/2006/picture">
                <pic:pic xmlns:pic="http://schemas.openxmlformats.org/drawingml/2006/picture">
                  <pic:nvPicPr>
                    <pic:cNvPr id="1177" name="図 3" descr="タイムライン&#10;&#10;自動的に生成された説明"/>
                    <pic:cNvPicPr/>
                  </pic:nvPicPr>
                  <pic:blipFill>
                    <a:blip r:embed="rId96"/>
                    <a:srcRect t="7475" b="7944"/>
                    <a:stretch>
                      <a:fillRect/>
                    </a:stretch>
                  </pic:blipFill>
                  <pic:spPr>
                    <a:xfrm>
                      <a:off x="0" y="0"/>
                      <a:ext cx="5359400" cy="3208655"/>
                    </a:xfrm>
                    <a:prstGeom prst="rect">
                      <a:avLst/>
                    </a:prstGeom>
                    <a:ln>
                      <a:noFill/>
                    </a:ln>
                  </pic:spPr>
                </pic:pic>
              </a:graphicData>
            </a:graphic>
          </wp:anchor>
        </w:drawing>
      </w:r>
      <w:r>
        <w:rPr>
          <w:rFonts w:hint="eastAsia"/>
          <w:color w:val="auto"/>
          <w:sz w:val="21"/>
          <w:highlight w:val="none"/>
        </w:rPr>
        <w:t>図表　在宅医療・介護連携イメージ</w:t>
      </w: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r>
        <w:rPr>
          <w:rFonts w:hint="default"/>
          <w:b w:val="1"/>
          <w:color w:val="auto"/>
          <w:highlight w:val="none"/>
        </w:rPr>
        <w:br w:type="page"/>
      </w:r>
    </w:p>
    <w:p>
      <w:pPr>
        <w:pStyle w:val="26"/>
        <w:spacing w:after="76" w:afterLines="0" w:afterAutospacing="0"/>
        <w:rPr>
          <w:rFonts w:hint="default"/>
          <w:color w:val="auto"/>
          <w:highlight w:val="none"/>
        </w:rPr>
      </w:pPr>
      <w:bookmarkStart w:id="115" w:name="_Toc152160662"/>
      <w:r>
        <w:rPr>
          <w:rFonts w:hint="eastAsia"/>
          <w:color w:val="auto"/>
          <w:highlight w:val="none"/>
        </w:rPr>
        <w:t>（３）</w:t>
      </w:r>
      <w:r>
        <w:rPr>
          <w:rFonts w:hint="eastAsia"/>
          <w:color w:val="auto"/>
          <w:highlight w:val="none"/>
        </w:rPr>
        <w:t xml:space="preserve"> </w:t>
      </w:r>
      <w:r>
        <w:rPr>
          <w:rFonts w:hint="eastAsia"/>
          <w:color w:val="auto"/>
          <w:highlight w:val="none"/>
        </w:rPr>
        <w:t>高齢者の権利擁護・虐待防止の推進</w:t>
      </w:r>
      <w:bookmarkEnd w:id="115"/>
    </w:p>
    <w:p>
      <w:pPr>
        <w:pStyle w:val="50"/>
        <w:spacing w:before="114" w:beforeLines="0" w:beforeAutospacing="0" w:after="114" w:afterLines="0" w:afterAutospacing="0"/>
        <w:rPr>
          <w:rFonts w:hint="default"/>
          <w:color w:val="auto"/>
          <w:highlight w:val="none"/>
        </w:rPr>
      </w:pPr>
      <w:r>
        <w:rPr>
          <w:rFonts w:hint="eastAsia"/>
          <w:color w:val="auto"/>
          <w:highlight w:val="none"/>
        </w:rPr>
        <w:t>◆◆現状と課題◆◆</w:t>
      </w:r>
    </w:p>
    <w:p>
      <w:pPr>
        <w:pStyle w:val="28"/>
        <w:rPr>
          <w:rFonts w:hint="default"/>
          <w:color w:val="auto"/>
          <w:highlight w:val="none"/>
        </w:rPr>
      </w:pPr>
      <w:r>
        <w:rPr>
          <w:rFonts w:hint="eastAsia"/>
          <w:color w:val="auto"/>
          <w:highlight w:val="none"/>
        </w:rPr>
        <w:t>今後、</w:t>
      </w:r>
      <w:r>
        <w:rPr>
          <w:rFonts w:hint="eastAsia"/>
          <w:color w:val="auto"/>
          <w:highlight w:val="none"/>
        </w:rPr>
        <w:t>85</w:t>
      </w:r>
      <w:r>
        <w:rPr>
          <w:rFonts w:hint="eastAsia"/>
          <w:color w:val="auto"/>
          <w:highlight w:val="none"/>
        </w:rPr>
        <w:t>歳以上人口の増加に伴い、認知症の人や認知機能が低下した高齢者の増加が見込まれる中で、地域で生活する高齢者等の意思決定支援や権利擁護の重要性が高まります。</w:t>
      </w:r>
    </w:p>
    <w:p>
      <w:pPr>
        <w:pStyle w:val="28"/>
        <w:rPr>
          <w:rFonts w:hint="default"/>
          <w:color w:val="auto"/>
          <w:highlight w:val="none"/>
        </w:rPr>
      </w:pPr>
      <w:r>
        <w:rPr>
          <w:rFonts w:hint="eastAsia"/>
          <w:color w:val="auto"/>
          <w:highlight w:val="none"/>
        </w:rPr>
        <w:t>また、高齢者虐待の相談件数が増加傾向にあります。通告を受けてから事実確認、アセスメント、対応の判断等を迅速に行い、高齢者、養護者を含めた世帯全体の課題解決に向けて関係機関と連携し、重層的に支援する必要があります。</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◆◆施策の方向性◆◆</w:t>
      </w:r>
    </w:p>
    <w:p>
      <w:pPr>
        <w:pStyle w:val="28"/>
        <w:rPr>
          <w:rFonts w:hint="default"/>
          <w:color w:val="auto"/>
          <w:highlight w:val="none"/>
        </w:rPr>
      </w:pPr>
      <w:r>
        <w:rPr>
          <w:rFonts w:hint="eastAsia"/>
          <w:color w:val="auto"/>
          <w:highlight w:val="none"/>
        </w:rPr>
        <w:t>高齢者が住み慣れた地域で尊厳が守られ、高齢者やその家族が必要な支援やサービスを受けることができるよう、各種相談事業の充実を図るとともに成年後見制度等の活用を促進します。</w:t>
      </w:r>
    </w:p>
    <w:p>
      <w:pPr>
        <w:pStyle w:val="28"/>
        <w:rPr>
          <w:rFonts w:hint="default"/>
          <w:color w:val="auto"/>
          <w:highlight w:val="none"/>
        </w:rPr>
      </w:pPr>
      <w:r>
        <w:rPr>
          <w:rFonts w:hint="eastAsia"/>
          <w:color w:val="auto"/>
          <w:highlight w:val="none"/>
        </w:rPr>
        <w:t>また、関係機関と連携を図り、見守りや支援体制の充実を図るとともに、高齢者虐待を未然に防ぐ環境づくりを推進します。</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◆◆具体的施策◆◆</w:t>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成年後見制度の利用促進</w:t>
            </w:r>
          </w:p>
        </w:tc>
      </w:tr>
      <w:tr>
        <w:trPr>
          <w:trHeight w:val="2098" w:hRule="atLeast"/>
        </w:trPr>
        <w:tc>
          <w:tcPr>
            <w:tcW w:w="8668" w:type="dxa"/>
            <w:vAlign w:val="center"/>
          </w:tcPr>
          <w:p>
            <w:pPr>
              <w:pStyle w:val="52"/>
              <w:rPr>
                <w:rFonts w:hint="default"/>
                <w:color w:val="auto"/>
                <w:highlight w:val="none"/>
              </w:rPr>
            </w:pPr>
            <w:r>
              <w:rPr>
                <w:rFonts w:hint="eastAsia"/>
                <w:color w:val="auto"/>
                <w:highlight w:val="none"/>
              </w:rPr>
              <w:t>認知症高齢者や単身世帯の高齢者の増加が見込まれる中、高齢者やその家族が必要に応じて、成年後見制度等を活用できるよう、廿日市市成年後見利用促進センターを中心に、市民後見人の養成等、支援体制の充実を図ります。</w:t>
            </w:r>
          </w:p>
          <w:p>
            <w:pPr>
              <w:pStyle w:val="52"/>
              <w:rPr>
                <w:rFonts w:hint="default"/>
                <w:color w:val="auto"/>
                <w:highlight w:val="none"/>
              </w:rPr>
            </w:pPr>
            <w:r>
              <w:rPr>
                <w:rFonts w:hint="eastAsia"/>
                <w:color w:val="auto"/>
                <w:highlight w:val="none"/>
              </w:rPr>
              <w:t>判断能力が低下した場合の成年後見制度等の利用促進と、制度利用に至るまでの支援策（緊急事務管理）の検討を行います。</w:t>
            </w:r>
          </w:p>
        </w:tc>
      </w:tr>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権利擁護事業の推進</w:t>
            </w:r>
          </w:p>
        </w:tc>
      </w:tr>
      <w:tr>
        <w:trPr>
          <w:trHeight w:val="2835" w:hRule="atLeast"/>
        </w:trPr>
        <w:tc>
          <w:tcPr>
            <w:tcW w:w="8668" w:type="dxa"/>
            <w:vAlign w:val="center"/>
          </w:tcPr>
          <w:p>
            <w:pPr>
              <w:pStyle w:val="52"/>
              <w:rPr>
                <w:rFonts w:hint="default"/>
                <w:color w:val="auto"/>
                <w:highlight w:val="none"/>
              </w:rPr>
            </w:pPr>
            <w:r>
              <w:rPr>
                <w:rFonts w:hint="eastAsia"/>
                <w:color w:val="auto"/>
                <w:highlight w:val="none"/>
              </w:rPr>
              <w:t>成年後見制度や日常生活自立支援事業を活用できるよう、広報紙等で制度の周知を図り、利用促進のための取組を推進します。</w:t>
            </w:r>
          </w:p>
          <w:p>
            <w:pPr>
              <w:pStyle w:val="52"/>
              <w:rPr>
                <w:rFonts w:hint="default"/>
                <w:color w:val="auto"/>
                <w:highlight w:val="none"/>
              </w:rPr>
            </w:pPr>
            <w:r>
              <w:rPr>
                <w:rFonts w:hint="eastAsia"/>
                <w:color w:val="auto"/>
                <w:highlight w:val="none"/>
              </w:rPr>
              <w:t>判断能力が不十分で金銭管理等ができず、家族からの支援を受けられない高齢者等の支援の充実を図るとともに、成年後見制度の利用が必要にも関わらず、本人及び親族による申立てが見込めない場合は市長申立てにつなぎます。また、金銭管理等が心配になってきた段階で様々な制度や支援を活用できるよう、金融機関等の関係機関と連携し、早期対応支援を行います。</w:t>
            </w:r>
          </w:p>
        </w:tc>
      </w:tr>
    </w:tbl>
    <w:p>
      <w:pPr>
        <w:pStyle w:val="0"/>
        <w:widowControl w:val="1"/>
        <w:jc w:val="left"/>
        <w:rPr>
          <w:rFonts w:hint="default"/>
          <w:color w:val="auto"/>
          <w:highlight w:val="none"/>
        </w:rPr>
      </w:pPr>
      <w:r>
        <w:rPr>
          <w:rFonts w:hint="default"/>
          <w:color w:val="auto"/>
          <w:highlight w:val="none"/>
        </w:rPr>
        <w:br w:type="page"/>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78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施設における虐待防止の推進</w:t>
            </w:r>
          </w:p>
        </w:tc>
      </w:tr>
      <w:tr>
        <w:trPr>
          <w:trHeight w:val="2855" w:hRule="atLeast"/>
        </w:trPr>
        <w:tc>
          <w:tcPr>
            <w:tcW w:w="8788" w:type="dxa"/>
            <w:vAlign w:val="center"/>
          </w:tcPr>
          <w:p>
            <w:pPr>
              <w:pStyle w:val="52"/>
              <w:rPr>
                <w:rFonts w:hint="default"/>
                <w:color w:val="auto"/>
                <w:highlight w:val="none"/>
              </w:rPr>
            </w:pPr>
            <w:r>
              <w:rPr>
                <w:rFonts w:hint="eastAsia"/>
                <w:color w:val="auto"/>
                <w:highlight w:val="none"/>
              </w:rPr>
              <w:t>養介護施設従事者等による高齢者虐待について、高齢者虐待防止法に基づき、通報から終結までの流れについてのマニュアルを整備し、関係機関と連携を取り、対応に当たります。</w:t>
            </w:r>
          </w:p>
          <w:p>
            <w:pPr>
              <w:pStyle w:val="52"/>
              <w:rPr>
                <w:rFonts w:hint="default"/>
                <w:color w:val="auto"/>
                <w:highlight w:val="none"/>
              </w:rPr>
            </w:pPr>
            <w:r>
              <w:rPr>
                <w:rFonts w:hint="eastAsia"/>
                <w:color w:val="auto"/>
                <w:highlight w:val="none"/>
              </w:rPr>
              <w:t>また、養介護施設従事者等による高齢者虐待を未然に防ぐため、定期的な運営指導の実施や運営推進会議等への参加、介護サービス相談員の派遣などにより、日頃から施設運営等の実態把握を行うとともに、サービス付高齢者向け住宅や有料老人ホームなどを対象に含めた虐待防止研修を開催し、高齢者虐待防止の取組を推進します。</w:t>
            </w:r>
          </w:p>
        </w:tc>
      </w:tr>
      <w:tr>
        <w:trPr>
          <w:trHeight w:val="510" w:hRule="atLeast"/>
        </w:trPr>
        <w:tc>
          <w:tcPr>
            <w:tcW w:w="878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高齢者虐待防止対策の推進</w:t>
            </w:r>
          </w:p>
        </w:tc>
      </w:tr>
      <w:tr>
        <w:trPr>
          <w:trHeight w:val="2438" w:hRule="atLeast"/>
        </w:trPr>
        <w:tc>
          <w:tcPr>
            <w:tcW w:w="8788" w:type="dxa"/>
            <w:vAlign w:val="center"/>
          </w:tcPr>
          <w:p>
            <w:pPr>
              <w:pStyle w:val="52"/>
              <w:rPr>
                <w:rFonts w:hint="default"/>
                <w:color w:val="auto"/>
                <w:highlight w:val="none"/>
              </w:rPr>
            </w:pPr>
            <w:r>
              <w:rPr>
                <w:rFonts w:hint="eastAsia"/>
                <w:color w:val="auto"/>
                <w:highlight w:val="none"/>
              </w:rPr>
              <w:t>高齢者・障がい者虐待防止ネットワーク会議において情報共有を行うとともに、事例から抽出された課題についての協議、関係団体との連携強化を図ることで、複雑化している困難事例への対応を強化します。</w:t>
            </w:r>
          </w:p>
          <w:p>
            <w:pPr>
              <w:pStyle w:val="52"/>
              <w:rPr>
                <w:rFonts w:hint="default"/>
                <w:color w:val="auto"/>
                <w:highlight w:val="none"/>
              </w:rPr>
            </w:pPr>
            <w:r>
              <w:rPr>
                <w:rFonts w:hint="eastAsia"/>
                <w:color w:val="auto"/>
                <w:highlight w:val="none"/>
              </w:rPr>
              <w:t>市広報やホームページ、ＳＮＳ</w:t>
            </w:r>
            <w:r>
              <w:rPr>
                <w:rFonts w:hint="default"/>
                <w:color w:val="auto"/>
                <w:highlight w:val="none"/>
              </w:rPr>
              <w:t>等で市民への周知を継続するとともに、介護者への支援や地域ぐるみでの高齢者の見守りを強化し、虐待の発生を未然に防ぐ取組を推進します。</w:t>
            </w:r>
          </w:p>
        </w:tc>
      </w:tr>
      <w:tr>
        <w:trPr>
          <w:trHeight w:val="510" w:hRule="atLeast"/>
        </w:trPr>
        <w:tc>
          <w:tcPr>
            <w:tcW w:w="878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認知症等の人の意思決定支援</w:t>
            </w:r>
          </w:p>
        </w:tc>
      </w:tr>
      <w:tr>
        <w:trPr>
          <w:trHeight w:val="1701" w:hRule="atLeast"/>
        </w:trPr>
        <w:tc>
          <w:tcPr>
            <w:tcW w:w="8788" w:type="dxa"/>
            <w:vAlign w:val="center"/>
          </w:tcPr>
          <w:p>
            <w:pPr>
              <w:pStyle w:val="52"/>
              <w:rPr>
                <w:rFonts w:hint="default"/>
                <w:color w:val="auto"/>
                <w:highlight w:val="none"/>
              </w:rPr>
            </w:pPr>
            <w:r>
              <w:rPr>
                <w:rFonts w:hint="eastAsia"/>
                <w:color w:val="auto"/>
                <w:highlight w:val="none"/>
              </w:rPr>
              <w:t>認知症等により判断能力が不十分な人が自分の意思を実現することができるよう、意思決定支援を行います。</w:t>
            </w:r>
          </w:p>
          <w:p>
            <w:pPr>
              <w:pStyle w:val="52"/>
              <w:rPr>
                <w:rFonts w:hint="default"/>
                <w:color w:val="auto"/>
                <w:highlight w:val="none"/>
              </w:rPr>
            </w:pPr>
            <w:r>
              <w:rPr>
                <w:rFonts w:hint="eastAsia"/>
                <w:color w:val="auto"/>
                <w:highlight w:val="none"/>
              </w:rPr>
              <w:t>また、受任調整会議により、本人にとって適切な後見人等を選任し、本人の意思が尊重されるよう、後見人等及び関係機関と連携して支援を行います。</w:t>
            </w:r>
          </w:p>
        </w:tc>
      </w:tr>
    </w:tbl>
    <w:p>
      <w:pPr>
        <w:pStyle w:val="41"/>
        <w:rPr>
          <w:rFonts w:hint="default"/>
          <w:b w:val="1"/>
          <w:color w:val="auto"/>
          <w:highlight w:val="none"/>
        </w:rPr>
      </w:pPr>
    </w:p>
    <w:p>
      <w:pPr>
        <w:pStyle w:val="41"/>
        <w:ind w:left="440" w:leftChars="200"/>
        <w:rPr>
          <w:rFonts w:hint="default"/>
          <w:b w:val="1"/>
          <w:color w:val="auto"/>
          <w:highlight w:val="none"/>
        </w:rPr>
      </w:pPr>
      <w:r>
        <w:rPr>
          <w:rFonts w:hint="eastAsia"/>
          <w:b w:val="1"/>
          <w:color w:val="auto"/>
          <w:highlight w:val="none"/>
        </w:rPr>
        <w:t>≪施策の活動指標≫</w:t>
      </w:r>
    </w:p>
    <w:p>
      <w:pPr>
        <w:pStyle w:val="30"/>
        <w:numPr>
          <w:ilvl w:val="0"/>
          <w:numId w:val="3"/>
        </w:numPr>
        <w:spacing w:after="76" w:afterLines="0" w:afterAutospacing="0"/>
        <w:ind w:leftChars="0"/>
        <w:rPr>
          <w:rFonts w:hint="default"/>
          <w:b w:val="0"/>
          <w:color w:val="auto"/>
          <w:sz w:val="22"/>
          <w:highlight w:val="none"/>
        </w:rPr>
      </w:pPr>
      <w:r>
        <w:rPr>
          <w:rFonts w:hint="eastAsia"/>
          <w:b w:val="0"/>
          <w:color w:val="auto"/>
          <w:sz w:val="22"/>
          <w:highlight w:val="none"/>
          <w:shd w:val="clear" w:color="auto" w:themeFill="background1" w:themeFillTint="FF" w:themeFillShade="FF"/>
        </w:rPr>
        <w:t>高齢者の権利擁護・虐待防止の推進の取組</w:t>
      </w:r>
    </w:p>
    <w:tbl>
      <w:tblPr>
        <w:tblStyle w:val="81"/>
        <w:tblW w:w="8626" w:type="dxa"/>
        <w:tblInd w:w="435" w:type="dxa"/>
        <w:tblLayout w:type="fixed"/>
        <w:tblLook w:firstRow="1" w:lastRow="0" w:firstColumn="1" w:lastColumn="0" w:noHBand="0" w:noVBand="1" w:val="04A0"/>
      </w:tblPr>
      <w:tblGrid>
        <w:gridCol w:w="3410"/>
        <w:gridCol w:w="1407"/>
        <w:gridCol w:w="1270"/>
        <w:gridCol w:w="1269"/>
        <w:gridCol w:w="1270"/>
      </w:tblGrid>
      <w:tr>
        <w:trPr>
          <w:trHeight w:val="510" w:hRule="atLeast"/>
        </w:trPr>
        <w:tc>
          <w:tcPr>
            <w:tcW w:w="341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40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現状</w:t>
            </w:r>
          </w:p>
        </w:tc>
        <w:tc>
          <w:tcPr>
            <w:tcW w:w="127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6</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(2024</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6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7</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(2025</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8</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(2026</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r>
      <w:tr>
        <w:trPr>
          <w:trHeight w:val="562" w:hRule="atLeast"/>
        </w:trPr>
        <w:tc>
          <w:tcPr>
            <w:tcW w:w="3410" w:type="dxa"/>
            <w:vAlign w:val="center"/>
          </w:tcPr>
          <w:p>
            <w:pPr>
              <w:pStyle w:val="0"/>
              <w:widowControl w:val="1"/>
              <w:autoSpaceDE w:val="0"/>
              <w:autoSpaceDN w:val="0"/>
              <w:spacing w:line="240" w:lineRule="exact"/>
              <w:ind w:right="-110" w:rightChars="-50"/>
              <w:jc w:val="lef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成年後見制度の認知度</w:t>
            </w:r>
          </w:p>
        </w:tc>
        <w:tc>
          <w:tcPr>
            <w:tcW w:w="1407" w:type="dxa"/>
            <w:tcMar>
              <w:left w:w="0" w:type="dxa"/>
              <w:right w:w="0" w:type="dxa"/>
            </w:tcMar>
            <w:vAlign w:val="center"/>
          </w:tcPr>
          <w:p>
            <w:pPr>
              <w:pStyle w:val="0"/>
              <w:autoSpaceDE w:val="0"/>
              <w:autoSpaceDN w:val="0"/>
              <w:spacing w:line="240" w:lineRule="exact"/>
              <w:ind w:left="-18" w:leftChars="-8"/>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48.5</w:t>
            </w:r>
            <w:r>
              <w:rPr>
                <w:rFonts w:hint="eastAsia" w:ascii="ＭＳ Ｐゴシック" w:hAnsi="ＭＳ Ｐゴシック" w:eastAsia="ＭＳ Ｐゴシック"/>
                <w:color w:val="auto"/>
                <w:sz w:val="21"/>
                <w:highlight w:val="none"/>
              </w:rPr>
              <w:t>％</w:t>
            </w:r>
          </w:p>
          <w:p>
            <w:pPr>
              <w:pStyle w:val="0"/>
              <w:jc w:val="center"/>
              <w:rPr>
                <w:rFonts w:hint="default" w:ascii="ＭＳ Ｐゴシック" w:hAnsi="ＭＳ Ｐゴシック" w:eastAsia="ＭＳ Ｐゴシック"/>
                <w:color w:val="auto"/>
                <w:sz w:val="16"/>
                <w:highlight w:val="none"/>
              </w:rPr>
            </w:pPr>
            <w:r>
              <w:rPr>
                <w:rFonts w:hint="eastAsia" w:ascii="ＭＳ Ｐゴシック" w:hAnsi="ＭＳ Ｐゴシック" w:eastAsia="ＭＳ Ｐゴシック"/>
                <w:color w:val="auto"/>
                <w:sz w:val="16"/>
                <w:highlight w:val="none"/>
              </w:rPr>
              <w:t>（令和４年度）</w:t>
            </w:r>
          </w:p>
        </w:tc>
        <w:tc>
          <w:tcPr>
            <w:tcW w:w="1270" w:type="dxa"/>
            <w:vAlign w:val="center"/>
          </w:tcPr>
          <w:p>
            <w:pPr>
              <w:pStyle w:val="0"/>
              <w:autoSpaceDE w:val="0"/>
              <w:autoSpaceDN w:val="0"/>
              <w:spacing w:line="24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50.0</w:t>
            </w:r>
            <w:r>
              <w:rPr>
                <w:rFonts w:hint="eastAsia" w:ascii="ＭＳ Ｐゴシック" w:hAnsi="ＭＳ Ｐゴシック" w:eastAsia="ＭＳ Ｐゴシック"/>
                <w:color w:val="auto"/>
                <w:sz w:val="21"/>
                <w:highlight w:val="none"/>
              </w:rPr>
              <w:t>％</w:t>
            </w:r>
          </w:p>
        </w:tc>
        <w:tc>
          <w:tcPr>
            <w:tcW w:w="1269" w:type="dxa"/>
            <w:vAlign w:val="center"/>
          </w:tcPr>
          <w:p>
            <w:pPr>
              <w:pStyle w:val="0"/>
              <w:autoSpaceDE w:val="0"/>
              <w:autoSpaceDN w:val="0"/>
              <w:spacing w:line="24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51.0</w:t>
            </w:r>
            <w:r>
              <w:rPr>
                <w:rFonts w:hint="eastAsia" w:ascii="ＭＳ Ｐゴシック" w:hAnsi="ＭＳ Ｐゴシック" w:eastAsia="ＭＳ Ｐゴシック"/>
                <w:color w:val="auto"/>
                <w:sz w:val="21"/>
                <w:highlight w:val="none"/>
              </w:rPr>
              <w:t>％</w:t>
            </w:r>
          </w:p>
        </w:tc>
        <w:tc>
          <w:tcPr>
            <w:tcW w:w="1270" w:type="dxa"/>
            <w:vAlign w:val="center"/>
          </w:tcPr>
          <w:p>
            <w:pPr>
              <w:pStyle w:val="0"/>
              <w:autoSpaceDE w:val="0"/>
              <w:autoSpaceDN w:val="0"/>
              <w:spacing w:line="24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52.0</w:t>
            </w:r>
            <w:r>
              <w:rPr>
                <w:rFonts w:hint="eastAsia" w:ascii="ＭＳ Ｐゴシック" w:hAnsi="ＭＳ Ｐゴシック" w:eastAsia="ＭＳ Ｐゴシック"/>
                <w:color w:val="auto"/>
                <w:sz w:val="21"/>
                <w:highlight w:val="none"/>
              </w:rPr>
              <w:t>％</w:t>
            </w:r>
          </w:p>
        </w:tc>
      </w:tr>
      <w:tr>
        <w:trPr>
          <w:trHeight w:val="397" w:hRule="atLeast"/>
        </w:trPr>
        <w:tc>
          <w:tcPr>
            <w:tcW w:w="3410" w:type="dxa"/>
            <w:vAlign w:val="center"/>
          </w:tcPr>
          <w:p>
            <w:pPr>
              <w:pStyle w:val="0"/>
              <w:widowControl w:val="1"/>
              <w:autoSpaceDE w:val="0"/>
              <w:autoSpaceDN w:val="0"/>
              <w:spacing w:line="240" w:lineRule="exact"/>
              <w:ind w:right="-110" w:rightChars="-50"/>
              <w:jc w:val="lef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市民後見人候補者名簿登録者数</w:t>
            </w:r>
          </w:p>
        </w:tc>
        <w:tc>
          <w:tcPr>
            <w:tcW w:w="1407" w:type="dxa"/>
            <w:tcMar>
              <w:left w:w="0" w:type="dxa"/>
              <w:right w:w="0" w:type="dxa"/>
            </w:tcMar>
            <w:vAlign w:val="center"/>
          </w:tcPr>
          <w:p>
            <w:pPr>
              <w:pStyle w:val="0"/>
              <w:autoSpaceDE w:val="0"/>
              <w:autoSpaceDN w:val="0"/>
              <w:spacing w:line="240" w:lineRule="exact"/>
              <w:ind w:left="-18" w:leftChars="-8"/>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p>
        </w:tc>
        <w:tc>
          <w:tcPr>
            <w:tcW w:w="1270" w:type="dxa"/>
            <w:vAlign w:val="center"/>
          </w:tcPr>
          <w:p>
            <w:pPr>
              <w:pStyle w:val="0"/>
              <w:autoSpaceDE w:val="0"/>
              <w:autoSpaceDN w:val="0"/>
              <w:spacing w:line="24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15</w:t>
            </w:r>
            <w:r>
              <w:rPr>
                <w:rFonts w:hint="eastAsia" w:ascii="ＭＳ Ｐゴシック" w:hAnsi="ＭＳ Ｐゴシック" w:eastAsia="ＭＳ Ｐゴシック"/>
                <w:color w:val="auto"/>
                <w:sz w:val="21"/>
                <w:highlight w:val="none"/>
              </w:rPr>
              <w:t>人</w:t>
            </w:r>
          </w:p>
        </w:tc>
        <w:tc>
          <w:tcPr>
            <w:tcW w:w="1269" w:type="dxa"/>
            <w:vAlign w:val="center"/>
          </w:tcPr>
          <w:p>
            <w:pPr>
              <w:pStyle w:val="0"/>
              <w:autoSpaceDE w:val="0"/>
              <w:autoSpaceDN w:val="0"/>
              <w:spacing w:line="24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15</w:t>
            </w:r>
            <w:r>
              <w:rPr>
                <w:rFonts w:hint="eastAsia" w:ascii="ＭＳ Ｐゴシック" w:hAnsi="ＭＳ Ｐゴシック" w:eastAsia="ＭＳ Ｐゴシック"/>
                <w:color w:val="auto"/>
                <w:sz w:val="21"/>
                <w:highlight w:val="none"/>
              </w:rPr>
              <w:t>人</w:t>
            </w:r>
          </w:p>
        </w:tc>
        <w:tc>
          <w:tcPr>
            <w:tcW w:w="1270" w:type="dxa"/>
            <w:vAlign w:val="center"/>
          </w:tcPr>
          <w:p>
            <w:pPr>
              <w:pStyle w:val="0"/>
              <w:autoSpaceDE w:val="0"/>
              <w:autoSpaceDN w:val="0"/>
              <w:spacing w:line="24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15</w:t>
            </w:r>
            <w:r>
              <w:rPr>
                <w:rFonts w:hint="eastAsia" w:ascii="ＭＳ Ｐゴシック" w:hAnsi="ＭＳ Ｐゴシック" w:eastAsia="ＭＳ Ｐゴシック"/>
                <w:color w:val="auto"/>
                <w:sz w:val="21"/>
                <w:highlight w:val="none"/>
              </w:rPr>
              <w:t>人</w:t>
            </w:r>
          </w:p>
        </w:tc>
      </w:tr>
      <w:tr>
        <w:trPr>
          <w:trHeight w:val="562" w:hRule="atLeast"/>
        </w:trPr>
        <w:tc>
          <w:tcPr>
            <w:tcW w:w="3410" w:type="dxa"/>
            <w:vAlign w:val="center"/>
          </w:tcPr>
          <w:p>
            <w:pPr>
              <w:pStyle w:val="0"/>
              <w:widowControl w:val="1"/>
              <w:autoSpaceDE w:val="0"/>
              <w:autoSpaceDN w:val="0"/>
              <w:spacing w:line="240" w:lineRule="exact"/>
              <w:ind w:right="-110" w:rightChars="-50"/>
              <w:jc w:val="lef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介護サービス事業所等を対象とした虐待防止研修回数</w:t>
            </w:r>
          </w:p>
        </w:tc>
        <w:tc>
          <w:tcPr>
            <w:tcW w:w="1407" w:type="dxa"/>
            <w:tcMar>
              <w:left w:w="0" w:type="dxa"/>
              <w:right w:w="0" w:type="dxa"/>
            </w:tcMar>
            <w:vAlign w:val="center"/>
          </w:tcPr>
          <w:p>
            <w:pPr>
              <w:pStyle w:val="0"/>
              <w:autoSpaceDE w:val="0"/>
              <w:autoSpaceDN w:val="0"/>
              <w:spacing w:line="240" w:lineRule="exact"/>
              <w:ind w:left="-18" w:leftChars="-8"/>
              <w:jc w:val="center"/>
              <w:rPr>
                <w:rFonts w:hint="default" w:ascii="ＭＳ Ｐゴシック" w:hAnsi="ＭＳ Ｐゴシック" w:eastAsia="ＭＳ Ｐゴシック"/>
                <w:color w:val="auto"/>
                <w:sz w:val="16"/>
                <w:highlight w:val="none"/>
              </w:rPr>
            </w:pPr>
            <w:r>
              <w:rPr>
                <w:rFonts w:hint="eastAsia" w:ascii="ＭＳ Ｐゴシック" w:hAnsi="ＭＳ Ｐゴシック" w:eastAsia="ＭＳ Ｐゴシック"/>
                <w:color w:val="auto"/>
                <w:sz w:val="21"/>
                <w:highlight w:val="none"/>
              </w:rPr>
              <w:t>1</w:t>
            </w:r>
            <w:r>
              <w:rPr>
                <w:rFonts w:hint="eastAsia" w:ascii="ＭＳ Ｐゴシック" w:hAnsi="ＭＳ Ｐゴシック" w:eastAsia="ＭＳ Ｐゴシック"/>
                <w:color w:val="auto"/>
                <w:sz w:val="21"/>
                <w:highlight w:val="none"/>
              </w:rPr>
              <w:t>回</w:t>
            </w:r>
          </w:p>
        </w:tc>
        <w:tc>
          <w:tcPr>
            <w:tcW w:w="1270" w:type="dxa"/>
            <w:vAlign w:val="center"/>
          </w:tcPr>
          <w:p>
            <w:pPr>
              <w:pStyle w:val="0"/>
              <w:autoSpaceDE w:val="0"/>
              <w:autoSpaceDN w:val="0"/>
              <w:spacing w:line="24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w:t>
            </w:r>
            <w:r>
              <w:rPr>
                <w:rFonts w:hint="eastAsia" w:ascii="ＭＳ Ｐゴシック" w:hAnsi="ＭＳ Ｐゴシック" w:eastAsia="ＭＳ Ｐゴシック"/>
                <w:color w:val="auto"/>
                <w:sz w:val="21"/>
                <w:highlight w:val="none"/>
              </w:rPr>
              <w:t>回</w:t>
            </w:r>
          </w:p>
        </w:tc>
        <w:tc>
          <w:tcPr>
            <w:tcW w:w="1269" w:type="dxa"/>
            <w:vAlign w:val="center"/>
          </w:tcPr>
          <w:p>
            <w:pPr>
              <w:pStyle w:val="0"/>
              <w:autoSpaceDE w:val="0"/>
              <w:autoSpaceDN w:val="0"/>
              <w:spacing w:line="24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w:t>
            </w:r>
            <w:r>
              <w:rPr>
                <w:rFonts w:hint="eastAsia" w:ascii="ＭＳ Ｐゴシック" w:hAnsi="ＭＳ Ｐゴシック" w:eastAsia="ＭＳ Ｐゴシック"/>
                <w:color w:val="auto"/>
                <w:sz w:val="21"/>
                <w:highlight w:val="none"/>
              </w:rPr>
              <w:t>回</w:t>
            </w:r>
          </w:p>
        </w:tc>
        <w:tc>
          <w:tcPr>
            <w:tcW w:w="1270" w:type="dxa"/>
            <w:vAlign w:val="center"/>
          </w:tcPr>
          <w:p>
            <w:pPr>
              <w:pStyle w:val="0"/>
              <w:autoSpaceDE w:val="0"/>
              <w:autoSpaceDN w:val="0"/>
              <w:spacing w:line="24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w:t>
            </w:r>
            <w:r>
              <w:rPr>
                <w:rFonts w:hint="eastAsia" w:ascii="ＭＳ Ｐゴシック" w:hAnsi="ＭＳ Ｐゴシック" w:eastAsia="ＭＳ Ｐゴシック"/>
                <w:color w:val="auto"/>
                <w:sz w:val="21"/>
                <w:highlight w:val="none"/>
              </w:rPr>
              <w:t>回</w:t>
            </w:r>
          </w:p>
        </w:tc>
      </w:tr>
    </w:tbl>
    <w:p>
      <w:pPr>
        <w:pStyle w:val="41"/>
        <w:rPr>
          <w:rFonts w:hint="default"/>
          <w:color w:val="auto"/>
          <w:highlight w:val="none"/>
        </w:rPr>
      </w:pPr>
      <w:bookmarkStart w:id="116" w:name="_Toc150813543"/>
    </w:p>
    <w:p>
      <w:pPr>
        <w:pStyle w:val="0"/>
        <w:widowControl w:val="1"/>
        <w:jc w:val="left"/>
        <w:rPr>
          <w:rFonts w:hint="default"/>
          <w:color w:val="auto"/>
          <w:highlight w:val="none"/>
        </w:rPr>
      </w:pPr>
      <w:r>
        <w:rPr>
          <w:rFonts w:hint="default"/>
          <w:b w:val="1"/>
          <w:color w:val="auto"/>
          <w:highlight w:val="none"/>
        </w:rPr>
        <w:br w:type="page"/>
      </w:r>
    </w:p>
    <w:p>
      <w:pPr>
        <w:pStyle w:val="41"/>
        <w:rPr>
          <w:rFonts w:hint="default"/>
          <w:color w:val="auto"/>
          <w:highlight w:val="none"/>
        </w:rPr>
      </w:pPr>
      <w:r>
        <w:rPr>
          <w:rFonts w:hint="eastAsia"/>
          <w:color w:val="auto"/>
          <w:highlight w:val="none"/>
        </w:rPr>
        <w:t>（４）</w:t>
      </w:r>
      <w:r>
        <w:rPr>
          <w:rFonts w:hint="eastAsia"/>
          <w:color w:val="auto"/>
          <w:highlight w:val="none"/>
        </w:rPr>
        <w:t xml:space="preserve"> </w:t>
      </w:r>
      <w:r>
        <w:rPr>
          <w:rFonts w:hint="eastAsia"/>
          <w:color w:val="auto"/>
          <w:highlight w:val="none"/>
        </w:rPr>
        <w:t>住まいと生活の一体的支援</w:t>
      </w:r>
      <w:bookmarkEnd w:id="116"/>
    </w:p>
    <w:p>
      <w:pPr>
        <w:pStyle w:val="50"/>
        <w:spacing w:before="114" w:beforeLines="0" w:beforeAutospacing="0" w:after="114" w:afterLines="0" w:afterAutospacing="0"/>
        <w:rPr>
          <w:rFonts w:hint="default"/>
          <w:color w:val="auto"/>
          <w:highlight w:val="none"/>
        </w:rPr>
      </w:pPr>
      <w:r>
        <w:rPr>
          <w:rFonts w:hint="eastAsia"/>
          <w:color w:val="auto"/>
          <w:highlight w:val="none"/>
        </w:rPr>
        <w:t>◆◆現状と課題◆◆</w:t>
      </w:r>
    </w:p>
    <w:p>
      <w:pPr>
        <w:pStyle w:val="28"/>
        <w:rPr>
          <w:rFonts w:hint="default"/>
          <w:color w:val="auto"/>
          <w:highlight w:val="none"/>
        </w:rPr>
      </w:pPr>
      <w:r>
        <w:rPr>
          <w:rFonts w:hint="eastAsia"/>
          <w:color w:val="auto"/>
          <w:highlight w:val="none"/>
        </w:rPr>
        <w:t>高齢者の住まいについては、地域においてそれぞれの生活のニーズにあったものが提供され、その住まいで必要な生活支援サービスを利用しながら、個人の尊厳が保たれた生活ができることが、保健、医療、介護等のサービスが提供される前提となります。</w:t>
      </w:r>
    </w:p>
    <w:p>
      <w:pPr>
        <w:pStyle w:val="28"/>
        <w:rPr>
          <w:rFonts w:hint="default"/>
          <w:color w:val="auto"/>
          <w:highlight w:val="none"/>
        </w:rPr>
      </w:pPr>
      <w:r>
        <w:rPr>
          <w:rFonts w:hint="eastAsia"/>
          <w:color w:val="auto"/>
          <w:highlight w:val="none"/>
        </w:rPr>
        <w:t>今後、独居の困窮者・高齢者等の増加が見込まれる中にあって、住まいをいかに確保するかは、老齢期を含む生活の維持の観点に加え、地域共生社会の実現の観点からも非常に重要な課題です。</w:t>
      </w:r>
    </w:p>
    <w:p>
      <w:pPr>
        <w:pStyle w:val="28"/>
        <w:rPr>
          <w:rFonts w:hint="default"/>
          <w:color w:val="auto"/>
          <w:highlight w:val="none"/>
        </w:rPr>
      </w:pPr>
      <w:r>
        <w:rPr>
          <w:rFonts w:hint="eastAsia"/>
          <w:color w:val="auto"/>
          <w:highlight w:val="none"/>
        </w:rPr>
        <w:t>ニーズ調査の結果では、住居の形態は持家の割合が約９割であり、そのうち８</w:t>
      </w:r>
      <w:r>
        <w:rPr>
          <w:rFonts w:hint="default"/>
          <w:color w:val="auto"/>
          <w:highlight w:val="none"/>
        </w:rPr>
        <w:t>割が一戸建てとなっています。また、</w:t>
      </w:r>
      <w:r>
        <w:rPr>
          <w:rFonts w:hint="eastAsia"/>
          <w:color w:val="auto"/>
          <w:highlight w:val="none"/>
        </w:rPr>
        <w:t>４割を超える</w:t>
      </w:r>
      <w:r>
        <w:rPr>
          <w:rFonts w:hint="default"/>
          <w:color w:val="auto"/>
          <w:highlight w:val="none"/>
        </w:rPr>
        <w:t>人が最期を迎える場所として自宅を</w:t>
      </w:r>
      <w:r>
        <w:rPr>
          <w:rFonts w:hint="eastAsia"/>
          <w:color w:val="auto"/>
          <w:highlight w:val="none"/>
        </w:rPr>
        <w:t>回答</w:t>
      </w:r>
      <w:r>
        <w:rPr>
          <w:rFonts w:hint="default"/>
          <w:color w:val="auto"/>
          <w:highlight w:val="none"/>
        </w:rPr>
        <w:t>して</w:t>
      </w:r>
      <w:r>
        <w:rPr>
          <w:rFonts w:hint="eastAsia"/>
          <w:color w:val="auto"/>
          <w:highlight w:val="none"/>
        </w:rPr>
        <w:t>いることから、</w:t>
      </w:r>
      <w:r>
        <w:rPr>
          <w:rFonts w:hint="default"/>
          <w:color w:val="auto"/>
          <w:highlight w:val="none"/>
        </w:rPr>
        <w:t>介護が</w:t>
      </w:r>
      <w:r>
        <w:rPr>
          <w:rFonts w:hint="eastAsia"/>
          <w:color w:val="auto"/>
          <w:highlight w:val="none"/>
        </w:rPr>
        <w:t>必要になっても自宅で暮らし続けたいという希望を踏まえた検討が必要です。</w:t>
      </w:r>
    </w:p>
    <w:p>
      <w:pPr>
        <w:pStyle w:val="28"/>
        <w:rPr>
          <w:rFonts w:hint="default"/>
          <w:color w:val="auto"/>
          <w:highlight w:val="none"/>
        </w:rPr>
      </w:pPr>
      <w:r>
        <w:rPr>
          <w:rFonts w:hint="eastAsia"/>
          <w:color w:val="auto"/>
          <w:highlight w:val="none"/>
        </w:rPr>
        <w:t>また、高齢となることで身体機能や認知症などにより判断能力が低下することにより、事故にあうリスクや犯罪の対象となるリスクが高まることから、高齢者が住み慣れた地域でいきいきと自分らしい生活を送るためには、誰もが安全で快適に過ごすことができる環境が必要です。</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◆◆施策の方向性◆◆</w:t>
      </w:r>
    </w:p>
    <w:p>
      <w:pPr>
        <w:pStyle w:val="28"/>
        <w:rPr>
          <w:rFonts w:hint="default"/>
          <w:color w:val="auto"/>
          <w:highlight w:val="none"/>
        </w:rPr>
      </w:pPr>
      <w:r>
        <w:rPr>
          <w:rFonts w:hint="eastAsia"/>
          <w:color w:val="auto"/>
          <w:highlight w:val="none"/>
        </w:rPr>
        <w:t>高齢者の多様なニーズに対応するため、安心安全な住まいの支援に取り組むとともに、有料老人ホームやサービス付き高齢者向け住宅等の高齢者の住まいについて、広島県及び関係機関と連携し、設置状況の把握を行うなど高齢者の安定的な住まいの確保を図ります。また、生活に困難を抱えた高齢者に対する住まいの確保と生活の一体的な支援に取り組みます。</w:t>
      </w:r>
    </w:p>
    <w:p>
      <w:pPr>
        <w:pStyle w:val="28"/>
        <w:rPr>
          <w:rFonts w:hint="default"/>
          <w:color w:val="auto"/>
          <w:highlight w:val="none"/>
        </w:rPr>
      </w:pPr>
      <w:r>
        <w:rPr>
          <w:rFonts w:hint="eastAsia"/>
          <w:color w:val="auto"/>
          <w:highlight w:val="none"/>
        </w:rPr>
        <w:t>高齢者が様々な活動に参加できるよう、地域の環境の安全性や利便性の向上、ユニバーサルデザインのまちづくりを進めるとともに、高齢者自身や地域の意識を高め、高齢者の犯罪や交通事故の被害を防ぐ、地域の生活環境づくりを進めます。</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◆◆具体的施策◆◆</w:t>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安心安全な住まいの支援</w:t>
            </w:r>
          </w:p>
        </w:tc>
      </w:tr>
      <w:tr>
        <w:trPr>
          <w:trHeight w:val="907" w:hRule="atLeast"/>
        </w:trPr>
        <w:tc>
          <w:tcPr>
            <w:tcW w:w="8668" w:type="dxa"/>
            <w:vAlign w:val="center"/>
          </w:tcPr>
          <w:p>
            <w:pPr>
              <w:pStyle w:val="52"/>
              <w:rPr>
                <w:rFonts w:hint="default"/>
                <w:color w:val="auto"/>
                <w:highlight w:val="none"/>
              </w:rPr>
            </w:pPr>
            <w:r>
              <w:rPr>
                <w:rFonts w:hint="eastAsia"/>
                <w:color w:val="auto"/>
                <w:highlight w:val="none"/>
              </w:rPr>
              <w:t>高齢者の身体状況やニーズに対応した多様な住まいを確保するため、住居のバリアフリー化など住宅改修に関する相談支援を行います。</w:t>
            </w:r>
          </w:p>
        </w:tc>
      </w:tr>
    </w:tbl>
    <w:p>
      <w:pPr>
        <w:pStyle w:val="0"/>
        <w:widowControl w:val="1"/>
        <w:jc w:val="left"/>
        <w:rPr>
          <w:rFonts w:hint="default"/>
          <w:color w:val="auto"/>
          <w:highlight w:val="none"/>
        </w:rPr>
      </w:pPr>
      <w:r>
        <w:rPr>
          <w:rFonts w:hint="default"/>
          <w:color w:val="auto"/>
          <w:highlight w:val="none"/>
        </w:rPr>
        <w:br w:type="page"/>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住まいに関する情報提供・相談体制の充実</w:t>
            </w:r>
          </w:p>
        </w:tc>
      </w:tr>
      <w:tr>
        <w:trPr>
          <w:trHeight w:val="1722" w:hRule="atLeast"/>
        </w:trPr>
        <w:tc>
          <w:tcPr>
            <w:tcW w:w="8668" w:type="dxa"/>
            <w:vAlign w:val="center"/>
          </w:tcPr>
          <w:p>
            <w:pPr>
              <w:pStyle w:val="52"/>
              <w:rPr>
                <w:rFonts w:hint="default"/>
                <w:color w:val="auto"/>
                <w:highlight w:val="none"/>
              </w:rPr>
            </w:pPr>
            <w:r>
              <w:rPr>
                <w:rFonts w:hint="eastAsia"/>
                <w:color w:val="auto"/>
                <w:highlight w:val="none"/>
              </w:rPr>
              <w:t>廿日市市居住支援協議会において、不動産業者等関係機関と連携し、高齢者の住居ついての適切な情報提供と相談支援体制の充実を図ります。</w:t>
            </w:r>
          </w:p>
          <w:p>
            <w:pPr>
              <w:pStyle w:val="52"/>
              <w:rPr>
                <w:rFonts w:hint="default"/>
                <w:color w:val="auto"/>
                <w:highlight w:val="none"/>
              </w:rPr>
            </w:pPr>
            <w:r>
              <w:rPr>
                <w:rFonts w:hint="eastAsia"/>
                <w:color w:val="auto"/>
                <w:highlight w:val="none"/>
              </w:rPr>
              <w:t>また、ケアハウス（軽費老人ホーム）、有料老人ホームやサービス付き高齢者向け住宅などについて、適正な運営の確保と質の向上に努めます。</w:t>
            </w:r>
          </w:p>
        </w:tc>
      </w:tr>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移動交通手段の確保</w:t>
            </w:r>
          </w:p>
        </w:tc>
      </w:tr>
      <w:tr>
        <w:trPr>
          <w:trHeight w:val="907" w:hRule="atLeast"/>
        </w:trPr>
        <w:tc>
          <w:tcPr>
            <w:tcW w:w="8668" w:type="dxa"/>
            <w:vAlign w:val="center"/>
          </w:tcPr>
          <w:p>
            <w:pPr>
              <w:pStyle w:val="52"/>
              <w:rPr>
                <w:rFonts w:hint="default"/>
                <w:color w:val="auto"/>
                <w:highlight w:val="none"/>
              </w:rPr>
            </w:pPr>
            <w:r>
              <w:rPr>
                <w:rFonts w:hint="eastAsia"/>
                <w:color w:val="auto"/>
                <w:highlight w:val="none"/>
              </w:rPr>
              <w:t>多様な主体との協働により、新たな価値を創造しながら、身近な移動手段となる地域公共交通ネットワークを構築し、人々の暮らしを支えていくことをめざします。</w:t>
            </w:r>
          </w:p>
          <w:p>
            <w:pPr>
              <w:pStyle w:val="52"/>
              <w:rPr>
                <w:rFonts w:hint="default"/>
                <w:color w:val="auto"/>
                <w:highlight w:val="none"/>
              </w:rPr>
            </w:pPr>
            <w:r>
              <w:rPr>
                <w:rFonts w:hint="eastAsia"/>
                <w:color w:val="auto"/>
                <w:highlight w:val="none"/>
              </w:rPr>
              <w:t>特に、高齢化が進展する中で、よりきめ細やかな移動手段を確保するため、地域団体や交通事業者と一緒に考え、地域・地区の特性に応じた地域交通の確保に取り組みます。</w:t>
            </w:r>
          </w:p>
        </w:tc>
      </w:tr>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防犯対策の推進</w:t>
            </w:r>
          </w:p>
        </w:tc>
      </w:tr>
      <w:tr>
        <w:trPr>
          <w:trHeight w:val="907" w:hRule="atLeast"/>
        </w:trPr>
        <w:tc>
          <w:tcPr>
            <w:tcW w:w="8668" w:type="dxa"/>
            <w:vAlign w:val="center"/>
          </w:tcPr>
          <w:p>
            <w:pPr>
              <w:pStyle w:val="52"/>
              <w:rPr>
                <w:rFonts w:hint="default"/>
                <w:color w:val="auto"/>
                <w:highlight w:val="none"/>
              </w:rPr>
            </w:pPr>
            <w:r>
              <w:rPr>
                <w:rFonts w:hint="eastAsia"/>
                <w:color w:val="auto"/>
                <w:highlight w:val="none"/>
              </w:rPr>
              <w:t>「安全・安心なまちづくり」をめざして、地域自治組織、警察、消費者協会等の各種団体と連携し犯罪発生を抑止すると共に、高齢者の防犯への意識啓発を図ります。</w:t>
            </w:r>
          </w:p>
          <w:p>
            <w:pPr>
              <w:pStyle w:val="52"/>
              <w:rPr>
                <w:rFonts w:hint="default"/>
                <w:color w:val="auto"/>
                <w:highlight w:val="none"/>
              </w:rPr>
            </w:pPr>
            <w:r>
              <w:rPr>
                <w:rFonts w:hint="eastAsia"/>
                <w:color w:val="auto"/>
                <w:highlight w:val="none"/>
              </w:rPr>
              <w:t>防犯を高めるための生活道への防犯カメラ・防犯灯（ＬＥＤ</w:t>
            </w:r>
            <w:r>
              <w:rPr>
                <w:rFonts w:hint="default"/>
                <w:color w:val="auto"/>
                <w:highlight w:val="none"/>
              </w:rPr>
              <w:t>照明）設置へ補助するなど防犯への取組を支援します。</w:t>
            </w:r>
          </w:p>
        </w:tc>
      </w:tr>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消費者被害の未然防止</w:t>
            </w:r>
          </w:p>
        </w:tc>
      </w:tr>
      <w:tr>
        <w:trPr>
          <w:trHeight w:val="2100" w:hRule="atLeast"/>
        </w:trPr>
        <w:tc>
          <w:tcPr>
            <w:tcW w:w="8668" w:type="dxa"/>
            <w:vAlign w:val="center"/>
          </w:tcPr>
          <w:p>
            <w:pPr>
              <w:pStyle w:val="52"/>
              <w:rPr>
                <w:rFonts w:hint="default"/>
                <w:color w:val="auto"/>
                <w:highlight w:val="none"/>
              </w:rPr>
            </w:pPr>
            <w:r>
              <w:rPr>
                <w:rFonts w:hint="eastAsia"/>
                <w:color w:val="auto"/>
                <w:highlight w:val="none"/>
              </w:rPr>
              <w:t>近年、多様化する悪質商法などの消費者被害にあわないよう、廿日市市消費生活センターにおいて、出前講座の実施や消費者協会などと連携した啓発活動を推進します。</w:t>
            </w:r>
          </w:p>
          <w:p>
            <w:pPr>
              <w:pStyle w:val="52"/>
              <w:rPr>
                <w:rFonts w:hint="default"/>
                <w:color w:val="auto"/>
                <w:highlight w:val="none"/>
              </w:rPr>
            </w:pPr>
            <w:r>
              <w:rPr>
                <w:rFonts w:hint="eastAsia"/>
                <w:color w:val="auto"/>
                <w:highlight w:val="none"/>
              </w:rPr>
              <w:t>また、消費生活相談員による消費生活全般に関する相談や弁護士による無料法律相談など、相談体制の充実を図ります。</w:t>
            </w:r>
          </w:p>
        </w:tc>
      </w:tr>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交通安全対策の推進</w:t>
            </w:r>
          </w:p>
        </w:tc>
      </w:tr>
      <w:tr>
        <w:trPr>
          <w:trHeight w:val="2435" w:hRule="atLeast"/>
        </w:trPr>
        <w:tc>
          <w:tcPr>
            <w:tcW w:w="8668" w:type="dxa"/>
            <w:vAlign w:val="center"/>
          </w:tcPr>
          <w:p>
            <w:pPr>
              <w:pStyle w:val="52"/>
              <w:rPr>
                <w:rFonts w:hint="default"/>
                <w:color w:val="auto"/>
                <w:highlight w:val="none"/>
              </w:rPr>
            </w:pPr>
            <w:r>
              <w:rPr>
                <w:rFonts w:hint="eastAsia"/>
                <w:color w:val="auto"/>
                <w:highlight w:val="none"/>
              </w:rPr>
              <w:t>交通事故死者数に占める高齢歩行者の割合が高いことから、「人優先」の交通安全思想のもと、交通安全に関する各種啓発活動に取り組むと共に、高齢者の運転事故防止を目的とした、運転免許証を返納した人を支援する高齢者運転免許自主返納支援事業を引き続き実施します。</w:t>
            </w:r>
          </w:p>
          <w:p>
            <w:pPr>
              <w:pStyle w:val="52"/>
              <w:rPr>
                <w:rFonts w:hint="default"/>
                <w:color w:val="auto"/>
                <w:highlight w:val="none"/>
              </w:rPr>
            </w:pPr>
            <w:r>
              <w:rPr>
                <w:rFonts w:hint="eastAsia"/>
                <w:color w:val="auto"/>
                <w:highlight w:val="none"/>
              </w:rPr>
              <w:t>高齢者、障がい者、子どもなど誰もが安心で快適に移動できるよう交通安全施設の整備に努めます。</w:t>
            </w:r>
          </w:p>
        </w:tc>
      </w:tr>
    </w:tbl>
    <w:p>
      <w:pPr>
        <w:pStyle w:val="0"/>
        <w:widowControl w:val="1"/>
        <w:jc w:val="left"/>
        <w:rPr>
          <w:rFonts w:hint="default"/>
          <w:color w:val="auto"/>
          <w:highlight w:val="none"/>
        </w:rPr>
      </w:pPr>
    </w:p>
    <w:p>
      <w:pPr>
        <w:pStyle w:val="0"/>
        <w:widowControl w:val="1"/>
        <w:jc w:val="left"/>
        <w:rPr>
          <w:rFonts w:hint="default"/>
          <w:color w:val="auto"/>
          <w:highlight w:val="none"/>
        </w:rPr>
      </w:pPr>
      <w:r>
        <w:rPr>
          <w:rFonts w:hint="default"/>
          <w:color w:val="auto"/>
          <w:highlight w:val="none"/>
        </w:rPr>
        <w:br w:type="page"/>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ユニバーサルデザインの推進</w:t>
            </w:r>
          </w:p>
        </w:tc>
      </w:tr>
      <w:tr>
        <w:trPr>
          <w:trHeight w:val="1722" w:hRule="atLeast"/>
        </w:trPr>
        <w:tc>
          <w:tcPr>
            <w:tcW w:w="8668" w:type="dxa"/>
            <w:vAlign w:val="center"/>
          </w:tcPr>
          <w:p>
            <w:pPr>
              <w:pStyle w:val="52"/>
              <w:rPr>
                <w:rFonts w:hint="default"/>
                <w:color w:val="auto"/>
                <w:highlight w:val="none"/>
              </w:rPr>
            </w:pPr>
            <w:r>
              <w:rPr>
                <w:rFonts w:hint="eastAsia"/>
                <w:color w:val="auto"/>
                <w:highlight w:val="none"/>
              </w:rPr>
              <w:t>市内の適用施設のバリアフリー化を促進するため、法令などに基づき建築窓口での対応を含めた啓発活動を積極的に行い、バリアフリー法による認定建築物が整備されるように努めます。道路や公園についてもバリアフリー化を推進し、駅や公共交通機関については、バリアフリー化に向け、事業者と連携を図り、支援を行います。</w:t>
            </w:r>
          </w:p>
        </w:tc>
      </w:tr>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終活支援事業</w:t>
            </w:r>
          </w:p>
        </w:tc>
      </w:tr>
      <w:tr>
        <w:trPr>
          <w:trHeight w:val="907" w:hRule="atLeast"/>
        </w:trPr>
        <w:tc>
          <w:tcPr>
            <w:tcW w:w="8668" w:type="dxa"/>
            <w:vAlign w:val="center"/>
          </w:tcPr>
          <w:p>
            <w:pPr>
              <w:pStyle w:val="52"/>
              <w:rPr>
                <w:rFonts w:hint="default"/>
                <w:color w:val="auto"/>
                <w:highlight w:val="none"/>
              </w:rPr>
            </w:pPr>
            <w:r>
              <w:rPr>
                <w:rFonts w:hint="eastAsia"/>
                <w:color w:val="auto"/>
                <w:highlight w:val="none"/>
              </w:rPr>
              <w:t>エンディングノートを作成し、自分の人生を振り返り、これからの夢や目標を考えるきっかけをつくる支援をします。</w:t>
            </w:r>
          </w:p>
        </w:tc>
      </w:tr>
    </w:tbl>
    <w:p>
      <w:pPr>
        <w:pStyle w:val="41"/>
        <w:rPr>
          <w:rFonts w:hint="default"/>
          <w:b w:val="1"/>
          <w:color w:val="auto"/>
          <w:highlight w:val="none"/>
        </w:rPr>
      </w:pPr>
    </w:p>
    <w:p>
      <w:pPr>
        <w:pStyle w:val="41"/>
        <w:ind w:left="440" w:leftChars="200"/>
        <w:rPr>
          <w:rFonts w:hint="default"/>
          <w:b w:val="1"/>
          <w:color w:val="auto"/>
          <w:highlight w:val="none"/>
        </w:rPr>
      </w:pPr>
      <w:r>
        <w:rPr>
          <w:rFonts w:hint="eastAsia"/>
          <w:b w:val="1"/>
          <w:color w:val="auto"/>
          <w:highlight w:val="none"/>
        </w:rPr>
        <w:t>≪施策の活動指標≫</w:t>
      </w:r>
    </w:p>
    <w:p>
      <w:pPr>
        <w:pStyle w:val="30"/>
        <w:numPr>
          <w:ilvl w:val="0"/>
          <w:numId w:val="3"/>
        </w:numPr>
        <w:spacing w:after="76" w:afterLines="0" w:afterAutospacing="0"/>
        <w:ind w:left="726" w:leftChars="0" w:hanging="284"/>
        <w:rPr>
          <w:rFonts w:hint="default"/>
          <w:b w:val="0"/>
          <w:color w:val="auto"/>
          <w:sz w:val="22"/>
          <w:highlight w:val="none"/>
        </w:rPr>
      </w:pPr>
      <w:r>
        <w:rPr>
          <w:rFonts w:hint="default"/>
          <w:b w:val="0"/>
          <w:color w:val="auto"/>
          <w:sz w:val="22"/>
          <w:highlight w:val="none"/>
        </w:rPr>
        <w:t xml:space="preserve"> </w:t>
      </w:r>
      <w:r>
        <w:rPr>
          <w:rFonts w:hint="eastAsia"/>
          <w:b w:val="0"/>
          <w:color w:val="auto"/>
          <w:sz w:val="22"/>
          <w:highlight w:val="none"/>
          <w:shd w:val="clear" w:color="auto" w:themeFill="background1" w:themeFillTint="FF" w:themeFillShade="FF"/>
        </w:rPr>
        <w:t>住まいと生活の一体的支援の取組</w:t>
      </w:r>
    </w:p>
    <w:tbl>
      <w:tblPr>
        <w:tblStyle w:val="81"/>
        <w:tblW w:w="8626" w:type="dxa"/>
        <w:tblInd w:w="435" w:type="dxa"/>
        <w:tblLayout w:type="fixed"/>
        <w:tblLook w:firstRow="1" w:lastRow="0" w:firstColumn="1" w:lastColumn="0" w:noHBand="0" w:noVBand="1" w:val="04A0"/>
      </w:tblPr>
      <w:tblGrid>
        <w:gridCol w:w="3548"/>
        <w:gridCol w:w="1269"/>
        <w:gridCol w:w="1270"/>
        <w:gridCol w:w="1269"/>
        <w:gridCol w:w="1270"/>
      </w:tblGrid>
      <w:tr>
        <w:trPr>
          <w:trHeight w:val="510" w:hRule="atLeast"/>
        </w:trPr>
        <w:tc>
          <w:tcPr>
            <w:tcW w:w="354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26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現状</w:t>
            </w:r>
          </w:p>
        </w:tc>
        <w:tc>
          <w:tcPr>
            <w:tcW w:w="127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6</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(2024</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6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7</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(2025</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8</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(2026</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r>
      <w:tr>
        <w:trPr>
          <w:trHeight w:val="397" w:hRule="exact"/>
        </w:trPr>
        <w:tc>
          <w:tcPr>
            <w:tcW w:w="3548" w:type="dxa"/>
            <w:vAlign w:val="center"/>
          </w:tcPr>
          <w:p>
            <w:pPr>
              <w:pStyle w:val="0"/>
              <w:widowControl w:val="1"/>
              <w:autoSpaceDE w:val="0"/>
              <w:autoSpaceDN w:val="0"/>
              <w:spacing w:line="240" w:lineRule="exact"/>
              <w:ind w:left="4" w:leftChars="2" w:right="-110" w:rightChars="-50"/>
              <w:jc w:val="lef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廿日市市居住支援協議会実施回数</w:t>
            </w:r>
          </w:p>
        </w:tc>
        <w:tc>
          <w:tcPr>
            <w:tcW w:w="1269" w:type="dxa"/>
            <w:tcMar>
              <w:left w:w="0" w:type="dxa"/>
              <w:right w:w="0" w:type="dxa"/>
            </w:tcMar>
            <w:vAlign w:val="center"/>
          </w:tcPr>
          <w:p>
            <w:pPr>
              <w:pStyle w:val="0"/>
              <w:autoSpaceDE w:val="0"/>
              <w:autoSpaceDN w:val="0"/>
              <w:spacing w:line="240" w:lineRule="exact"/>
              <w:ind w:left="-18" w:leftChars="-8"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w:t>
            </w:r>
            <w:r>
              <w:rPr>
                <w:rFonts w:hint="eastAsia" w:ascii="ＭＳ Ｐゴシック" w:hAnsi="ＭＳ Ｐゴシック" w:eastAsia="ＭＳ Ｐゴシック"/>
                <w:color w:val="auto"/>
                <w:sz w:val="21"/>
                <w:highlight w:val="none"/>
              </w:rPr>
              <w:t>回</w:t>
            </w:r>
          </w:p>
        </w:tc>
        <w:tc>
          <w:tcPr>
            <w:tcW w:w="1270" w:type="dxa"/>
            <w:vAlign w:val="center"/>
          </w:tcPr>
          <w:p>
            <w:pPr>
              <w:pStyle w:val="0"/>
              <w:autoSpaceDE w:val="0"/>
              <w:autoSpaceDN w:val="0"/>
              <w:spacing w:line="24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w:t>
            </w:r>
            <w:r>
              <w:rPr>
                <w:rFonts w:hint="eastAsia" w:ascii="ＭＳ Ｐゴシック" w:hAnsi="ＭＳ Ｐゴシック" w:eastAsia="ＭＳ Ｐゴシック"/>
                <w:color w:val="auto"/>
                <w:sz w:val="21"/>
                <w:highlight w:val="none"/>
              </w:rPr>
              <w:t>回</w:t>
            </w:r>
          </w:p>
        </w:tc>
        <w:tc>
          <w:tcPr>
            <w:tcW w:w="1269" w:type="dxa"/>
            <w:vAlign w:val="center"/>
          </w:tcPr>
          <w:p>
            <w:pPr>
              <w:pStyle w:val="0"/>
              <w:autoSpaceDE w:val="0"/>
              <w:autoSpaceDN w:val="0"/>
              <w:spacing w:line="24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w:t>
            </w:r>
            <w:r>
              <w:rPr>
                <w:rFonts w:hint="eastAsia" w:ascii="ＭＳ Ｐゴシック" w:hAnsi="ＭＳ Ｐゴシック" w:eastAsia="ＭＳ Ｐゴシック"/>
                <w:color w:val="auto"/>
                <w:sz w:val="21"/>
                <w:highlight w:val="none"/>
              </w:rPr>
              <w:t>回</w:t>
            </w:r>
          </w:p>
        </w:tc>
        <w:tc>
          <w:tcPr>
            <w:tcW w:w="1270" w:type="dxa"/>
            <w:vAlign w:val="center"/>
          </w:tcPr>
          <w:p>
            <w:pPr>
              <w:pStyle w:val="0"/>
              <w:autoSpaceDE w:val="0"/>
              <w:autoSpaceDN w:val="0"/>
              <w:spacing w:line="24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w:t>
            </w:r>
            <w:r>
              <w:rPr>
                <w:rFonts w:hint="eastAsia" w:ascii="ＭＳ Ｐゴシック" w:hAnsi="ＭＳ Ｐゴシック" w:eastAsia="ＭＳ Ｐゴシック"/>
                <w:color w:val="auto"/>
                <w:sz w:val="21"/>
                <w:highlight w:val="none"/>
              </w:rPr>
              <w:t>回</w:t>
            </w:r>
          </w:p>
        </w:tc>
      </w:tr>
      <w:tr>
        <w:trPr>
          <w:trHeight w:val="572" w:hRule="exact"/>
        </w:trPr>
        <w:tc>
          <w:tcPr>
            <w:tcW w:w="3548" w:type="dxa"/>
            <w:vAlign w:val="center"/>
          </w:tcPr>
          <w:p>
            <w:pPr>
              <w:pStyle w:val="0"/>
              <w:widowControl w:val="1"/>
              <w:autoSpaceDE w:val="0"/>
              <w:autoSpaceDN w:val="0"/>
              <w:spacing w:line="240" w:lineRule="exact"/>
              <w:ind w:right="-110" w:rightChars="-50"/>
              <w:jc w:val="lef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住民主体による移動支援サービス実施団体数</w:t>
            </w:r>
          </w:p>
        </w:tc>
        <w:tc>
          <w:tcPr>
            <w:tcW w:w="1269" w:type="dxa"/>
            <w:tcMar>
              <w:left w:w="0" w:type="dxa"/>
              <w:right w:w="0" w:type="dxa"/>
            </w:tcMar>
            <w:vAlign w:val="center"/>
          </w:tcPr>
          <w:p>
            <w:pPr>
              <w:pStyle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5</w:t>
            </w:r>
            <w:r>
              <w:rPr>
                <w:rFonts w:hint="eastAsia" w:ascii="ＭＳ Ｐゴシック" w:hAnsi="ＭＳ Ｐゴシック" w:eastAsia="ＭＳ Ｐゴシック"/>
                <w:color w:val="auto"/>
                <w:sz w:val="21"/>
                <w:highlight w:val="none"/>
              </w:rPr>
              <w:t>団体</w:t>
            </w:r>
          </w:p>
        </w:tc>
        <w:tc>
          <w:tcPr>
            <w:tcW w:w="1270" w:type="dxa"/>
            <w:vAlign w:val="center"/>
          </w:tcPr>
          <w:p>
            <w:pPr>
              <w:pStyle w:val="0"/>
              <w:autoSpaceDE w:val="0"/>
              <w:autoSpaceDN w:val="0"/>
              <w:spacing w:line="24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6</w:t>
            </w:r>
            <w:r>
              <w:rPr>
                <w:rFonts w:hint="eastAsia" w:ascii="ＭＳ Ｐゴシック" w:hAnsi="ＭＳ Ｐゴシック" w:eastAsia="ＭＳ Ｐゴシック"/>
                <w:color w:val="auto"/>
                <w:sz w:val="21"/>
                <w:highlight w:val="none"/>
              </w:rPr>
              <w:t>団体</w:t>
            </w:r>
          </w:p>
        </w:tc>
        <w:tc>
          <w:tcPr>
            <w:tcW w:w="1269" w:type="dxa"/>
            <w:vAlign w:val="center"/>
          </w:tcPr>
          <w:p>
            <w:pPr>
              <w:pStyle w:val="0"/>
              <w:autoSpaceDE w:val="0"/>
              <w:autoSpaceDN w:val="0"/>
              <w:spacing w:line="24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7</w:t>
            </w:r>
            <w:r>
              <w:rPr>
                <w:rFonts w:hint="eastAsia" w:ascii="ＭＳ Ｐゴシック" w:hAnsi="ＭＳ Ｐゴシック" w:eastAsia="ＭＳ Ｐゴシック"/>
                <w:color w:val="auto"/>
                <w:sz w:val="21"/>
                <w:highlight w:val="none"/>
              </w:rPr>
              <w:t>団体</w:t>
            </w:r>
          </w:p>
        </w:tc>
        <w:tc>
          <w:tcPr>
            <w:tcW w:w="1270" w:type="dxa"/>
            <w:vAlign w:val="center"/>
          </w:tcPr>
          <w:p>
            <w:pPr>
              <w:pStyle w:val="0"/>
              <w:autoSpaceDE w:val="0"/>
              <w:autoSpaceDN w:val="0"/>
              <w:spacing w:line="240" w:lineRule="exac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8</w:t>
            </w:r>
            <w:r>
              <w:rPr>
                <w:rFonts w:hint="eastAsia" w:ascii="ＭＳ Ｐゴシック" w:hAnsi="ＭＳ Ｐゴシック" w:eastAsia="ＭＳ Ｐゴシック"/>
                <w:color w:val="auto"/>
                <w:sz w:val="21"/>
                <w:highlight w:val="none"/>
              </w:rPr>
              <w:t>団体</w:t>
            </w:r>
          </w:p>
        </w:tc>
      </w:tr>
    </w:tbl>
    <w:p>
      <w:pPr>
        <w:pStyle w:val="0"/>
        <w:widowControl w:val="1"/>
        <w:jc w:val="left"/>
        <w:rPr>
          <w:rFonts w:hint="default"/>
          <w:color w:val="auto"/>
          <w:highlight w:val="none"/>
        </w:rPr>
      </w:pPr>
      <w:r>
        <w:rPr>
          <w:rFonts w:hint="default"/>
          <w:color w:val="auto"/>
          <w:highlight w:val="none"/>
        </w:rPr>
        <w:br w:type="page"/>
      </w:r>
    </w:p>
    <w:p>
      <w:pPr>
        <w:pStyle w:val="26"/>
        <w:spacing w:after="76" w:afterLines="0" w:afterAutospacing="0"/>
        <w:rPr>
          <w:rFonts w:hint="default"/>
          <w:color w:val="auto"/>
          <w:highlight w:val="none"/>
        </w:rPr>
      </w:pPr>
      <w:bookmarkStart w:id="117" w:name="_Toc152160663"/>
      <w:r>
        <w:rPr>
          <w:rFonts w:hint="eastAsia"/>
          <w:color w:val="auto"/>
          <w:highlight w:val="none"/>
        </w:rPr>
        <w:t>（５）</w:t>
      </w:r>
      <w:r>
        <w:rPr>
          <w:rFonts w:hint="eastAsia"/>
          <w:color w:val="auto"/>
          <w:highlight w:val="none"/>
        </w:rPr>
        <w:t xml:space="preserve"> </w:t>
      </w:r>
      <w:r>
        <w:rPr>
          <w:rFonts w:hint="eastAsia"/>
          <w:color w:val="auto"/>
          <w:highlight w:val="none"/>
        </w:rPr>
        <w:t>災害や感染症対策に係る体制整備</w:t>
      </w:r>
      <w:bookmarkEnd w:id="117"/>
    </w:p>
    <w:p>
      <w:pPr>
        <w:pStyle w:val="50"/>
        <w:spacing w:before="114" w:beforeLines="0" w:beforeAutospacing="0" w:after="114" w:afterLines="0" w:afterAutospacing="0"/>
        <w:rPr>
          <w:rFonts w:hint="default"/>
          <w:color w:val="auto"/>
          <w:highlight w:val="none"/>
        </w:rPr>
      </w:pPr>
      <w:r>
        <w:rPr>
          <w:rFonts w:hint="eastAsia"/>
          <w:color w:val="auto"/>
          <w:highlight w:val="none"/>
        </w:rPr>
        <w:t>◆◆現状と課題◆◆</w:t>
      </w:r>
    </w:p>
    <w:p>
      <w:pPr>
        <w:pStyle w:val="28"/>
        <w:rPr>
          <w:rFonts w:hint="default"/>
          <w:color w:val="auto"/>
          <w:highlight w:val="none"/>
        </w:rPr>
      </w:pPr>
      <w:r>
        <w:rPr>
          <w:rFonts w:hint="eastAsia"/>
          <w:color w:val="auto"/>
          <w:highlight w:val="none"/>
        </w:rPr>
        <w:t>近年、多くの自然災害が発生し、甚大な被害をもたらしています。高齢者は、身体機能の低下等による影響から災害発生時に的確に行動することが困難であることが多く、災害の犠牲となる危険性が高くなります。</w:t>
      </w:r>
    </w:p>
    <w:p>
      <w:pPr>
        <w:pStyle w:val="28"/>
        <w:rPr>
          <w:rFonts w:hint="default"/>
          <w:color w:val="auto"/>
          <w:highlight w:val="none"/>
        </w:rPr>
      </w:pPr>
      <w:r>
        <w:rPr>
          <w:rFonts w:hint="eastAsia"/>
          <w:color w:val="auto"/>
          <w:highlight w:val="none"/>
        </w:rPr>
        <w:t>また、令和２（</w:t>
      </w:r>
      <w:r>
        <w:rPr>
          <w:rFonts w:hint="default"/>
          <w:color w:val="auto"/>
          <w:highlight w:val="none"/>
        </w:rPr>
        <w:t>2020</w:t>
      </w:r>
      <w:r>
        <w:rPr>
          <w:rFonts w:hint="default"/>
          <w:color w:val="auto"/>
          <w:highlight w:val="none"/>
        </w:rPr>
        <w:t>）</w:t>
      </w:r>
      <w:r>
        <w:rPr>
          <w:rFonts w:hint="eastAsia"/>
          <w:color w:val="auto"/>
          <w:highlight w:val="none"/>
        </w:rPr>
        <w:t>年</w:t>
      </w:r>
      <w:r>
        <w:rPr>
          <w:rFonts w:hint="default"/>
          <w:color w:val="auto"/>
          <w:highlight w:val="none"/>
        </w:rPr>
        <w:t>からの新型コロナウイルス感染症の感染拡大は、</w:t>
      </w:r>
      <w:r>
        <w:rPr>
          <w:rFonts w:hint="eastAsia"/>
          <w:color w:val="auto"/>
          <w:highlight w:val="none"/>
        </w:rPr>
        <w:t>クラスターの発生により介護サービス等の提供</w:t>
      </w:r>
      <w:r>
        <w:rPr>
          <w:rFonts w:hint="eastAsia"/>
          <w:dstrike w:val="1"/>
          <w:color w:val="auto"/>
          <w:highlight w:val="none"/>
        </w:rPr>
        <w:t>等</w:t>
      </w:r>
      <w:r>
        <w:rPr>
          <w:rFonts w:hint="eastAsia"/>
          <w:color w:val="auto"/>
          <w:highlight w:val="none"/>
        </w:rPr>
        <w:t>ができない状況や、</w:t>
      </w:r>
      <w:r>
        <w:rPr>
          <w:rFonts w:hint="default"/>
          <w:color w:val="auto"/>
          <w:highlight w:val="none"/>
        </w:rPr>
        <w:t>外出や介護予防の場等への参加の機会、人とつながる機会が少なく</w:t>
      </w:r>
      <w:r>
        <w:rPr>
          <w:rFonts w:hint="eastAsia"/>
          <w:color w:val="auto"/>
          <w:highlight w:val="none"/>
        </w:rPr>
        <w:t>なり、筋力や認知機能の低下</w:t>
      </w:r>
      <w:r>
        <w:rPr>
          <w:rFonts w:hint="default"/>
          <w:color w:val="auto"/>
          <w:highlight w:val="none"/>
        </w:rPr>
        <w:t>など高齢者の生活に大きな影響を及ぼしました。</w:t>
      </w:r>
    </w:p>
    <w:p>
      <w:pPr>
        <w:pStyle w:val="28"/>
        <w:rPr>
          <w:rFonts w:hint="default"/>
          <w:color w:val="auto"/>
          <w:highlight w:val="none"/>
        </w:rPr>
      </w:pPr>
      <w:r>
        <w:rPr>
          <w:rFonts w:hint="eastAsia"/>
          <w:color w:val="auto"/>
          <w:highlight w:val="none"/>
        </w:rPr>
        <w:t>このため、災害や感染症が発生した際に、高齢者の生活を守るため、地域と連携した防災対策や見守り体制とともに、感染症に配慮して生活や健康状態を維持していくために様々な事業を継続できる体制が重要です。</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◆◆施策の方向性◆◆</w:t>
      </w:r>
    </w:p>
    <w:p>
      <w:pPr>
        <w:pStyle w:val="28"/>
        <w:rPr>
          <w:rFonts w:hint="default"/>
          <w:color w:val="auto"/>
          <w:highlight w:val="none"/>
        </w:rPr>
      </w:pPr>
      <w:r>
        <w:rPr>
          <w:rFonts w:hint="eastAsia"/>
          <w:color w:val="auto"/>
          <w:highlight w:val="none"/>
        </w:rPr>
        <w:t>地域での防災対策や見守り体制の整備を推進するとともに、介護事業所等と連携を図り、災害時の情報を共有し、事業を継続するための体制整備を図ります。</w:t>
      </w:r>
    </w:p>
    <w:p>
      <w:pPr>
        <w:pStyle w:val="28"/>
        <w:rPr>
          <w:rFonts w:hint="default"/>
          <w:color w:val="auto"/>
          <w:highlight w:val="none"/>
        </w:rPr>
      </w:pPr>
      <w:r>
        <w:rPr>
          <w:rFonts w:hint="eastAsia"/>
          <w:color w:val="auto"/>
          <w:highlight w:val="none"/>
        </w:rPr>
        <w:t>また、新型コロナウイルスに限らず感染症等について、介護サービス等の提供や事業の実施にあたり、拡大防止策の周知や発生時に備えた平時からの準備の促進、代替サービス確保に向けた体制整備を行います。</w:t>
      </w:r>
    </w:p>
    <w:p>
      <w:pPr>
        <w:pStyle w:val="28"/>
        <w:rPr>
          <w:rFonts w:hint="default"/>
          <w:color w:val="auto"/>
          <w:highlight w:val="none"/>
        </w:rPr>
      </w:pPr>
      <w:r>
        <w:rPr>
          <w:rFonts w:hint="eastAsia"/>
          <w:color w:val="auto"/>
          <w:highlight w:val="none"/>
        </w:rPr>
        <w:t>また、感染対策を講じたうえで介護予防や通いの場等の地域での活動を継続できる体制を整備するとともに、感染症に関する備えや対策について、研修等を通じて周知・啓発を行います。</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◆◆具体的施策◆◆</w:t>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住民意識の啓発などを通じた地域における防災体制の構築</w:t>
            </w:r>
          </w:p>
        </w:tc>
      </w:tr>
      <w:tr>
        <w:trPr>
          <w:trHeight w:val="1644" w:hRule="atLeast"/>
        </w:trPr>
        <w:tc>
          <w:tcPr>
            <w:tcW w:w="8668" w:type="dxa"/>
            <w:vAlign w:val="center"/>
          </w:tcPr>
          <w:p>
            <w:pPr>
              <w:pStyle w:val="52"/>
              <w:rPr>
                <w:rFonts w:hint="default"/>
                <w:color w:val="auto"/>
                <w:highlight w:val="none"/>
              </w:rPr>
            </w:pPr>
            <w:r>
              <w:rPr>
                <w:rFonts w:hint="eastAsia"/>
                <w:color w:val="auto"/>
                <w:highlight w:val="none"/>
              </w:rPr>
              <w:t>自主防災組織等を対象とした各種研修会や情報交換会、出前トークや防災訓練の実施を通じて市民の防災意識の向上を図ります。</w:t>
            </w:r>
          </w:p>
          <w:p>
            <w:pPr>
              <w:pStyle w:val="52"/>
              <w:rPr>
                <w:rFonts w:hint="default"/>
                <w:color w:val="auto"/>
                <w:highlight w:val="none"/>
              </w:rPr>
            </w:pPr>
            <w:r>
              <w:rPr>
                <w:rFonts w:hint="eastAsia"/>
                <w:color w:val="auto"/>
                <w:highlight w:val="none"/>
              </w:rPr>
              <w:t>また、地域自治組織や自主防災組織などの災害協定支援団体と連携・協力し、高齢者や障がい者等、支援が必要な市民への支援体制づくりを推進します。</w:t>
            </w:r>
          </w:p>
        </w:tc>
      </w:tr>
    </w:tbl>
    <w:p>
      <w:pPr>
        <w:pStyle w:val="0"/>
        <w:widowControl w:val="1"/>
        <w:jc w:val="left"/>
        <w:rPr>
          <w:rFonts w:hint="default"/>
          <w:color w:val="auto"/>
          <w:highlight w:val="none"/>
        </w:rPr>
      </w:pPr>
    </w:p>
    <w:p>
      <w:pPr>
        <w:pStyle w:val="0"/>
        <w:widowControl w:val="1"/>
        <w:jc w:val="left"/>
        <w:rPr>
          <w:rFonts w:hint="default"/>
          <w:color w:val="auto"/>
          <w:highlight w:val="none"/>
        </w:rPr>
      </w:pPr>
      <w:r>
        <w:rPr>
          <w:rFonts w:hint="default"/>
          <w:color w:val="auto"/>
          <w:highlight w:val="none"/>
        </w:rPr>
        <w:br w:type="page"/>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78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避難行動要支援者名簿、個別避難計画の作成及び福祉避難所の確保</w:t>
            </w:r>
          </w:p>
        </w:tc>
      </w:tr>
      <w:tr>
        <w:trPr>
          <w:trHeight w:val="2856" w:hRule="atLeast"/>
        </w:trPr>
        <w:tc>
          <w:tcPr>
            <w:tcW w:w="8788" w:type="dxa"/>
            <w:vAlign w:val="center"/>
          </w:tcPr>
          <w:p>
            <w:pPr>
              <w:pStyle w:val="52"/>
              <w:rPr>
                <w:rFonts w:hint="default"/>
                <w:color w:val="auto"/>
                <w:highlight w:val="none"/>
              </w:rPr>
            </w:pPr>
            <w:r>
              <w:rPr>
                <w:rFonts w:hint="eastAsia"/>
                <w:color w:val="auto"/>
                <w:highlight w:val="none"/>
              </w:rPr>
              <w:t>避難行動要支援者避難支援制度の周知を行い、避難行動要支援者名簿を作成します。避難行動要支援者名簿を提供できていない地区については、避難支援団体（地域自治組織や自主防災組織等の支援団体）との協定締結に取り組みます。</w:t>
            </w:r>
          </w:p>
          <w:p>
            <w:pPr>
              <w:pStyle w:val="52"/>
              <w:rPr>
                <w:rFonts w:hint="default"/>
                <w:color w:val="auto"/>
                <w:highlight w:val="none"/>
              </w:rPr>
            </w:pPr>
            <w:r>
              <w:rPr>
                <w:rFonts w:hint="eastAsia"/>
                <w:color w:val="auto"/>
                <w:highlight w:val="none"/>
              </w:rPr>
              <w:t>避難行動要支援者に係る個別避難計画の作成については、介護支援専門員などの関係者等と連携して取り組みます。</w:t>
            </w:r>
          </w:p>
          <w:p>
            <w:pPr>
              <w:pStyle w:val="52"/>
              <w:rPr>
                <w:rFonts w:hint="default"/>
                <w:color w:val="auto"/>
                <w:highlight w:val="none"/>
              </w:rPr>
            </w:pPr>
            <w:r>
              <w:rPr>
                <w:rFonts w:hint="eastAsia"/>
                <w:color w:val="auto"/>
                <w:highlight w:val="none"/>
              </w:rPr>
              <w:t>また、一般の避難所に滞在することが困難な高齢者など要配慮者を対象とする福祉避難所の確保を推進します。</w:t>
            </w:r>
          </w:p>
        </w:tc>
      </w:tr>
      <w:tr>
        <w:trPr>
          <w:trHeight w:val="510" w:hRule="atLeast"/>
        </w:trPr>
        <w:tc>
          <w:tcPr>
            <w:tcW w:w="878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介護事業所に対する防災啓発活動、感染症拡大防止策の周知・啓発の実施</w:t>
            </w:r>
          </w:p>
        </w:tc>
      </w:tr>
      <w:tr>
        <w:trPr>
          <w:trHeight w:val="964" w:hRule="atLeast"/>
        </w:trPr>
        <w:tc>
          <w:tcPr>
            <w:tcW w:w="8788" w:type="dxa"/>
            <w:vAlign w:val="center"/>
          </w:tcPr>
          <w:p>
            <w:pPr>
              <w:pStyle w:val="52"/>
              <w:rPr>
                <w:rFonts w:hint="default"/>
                <w:color w:val="auto"/>
                <w:highlight w:val="none"/>
              </w:rPr>
            </w:pPr>
            <w:r>
              <w:rPr>
                <w:rFonts w:hint="eastAsia"/>
                <w:color w:val="auto"/>
                <w:highlight w:val="none"/>
              </w:rPr>
              <w:t>国や県からの災害、防災や感染症に関する情報等について、速やかに市内介護事業所に提供するとともに、防災啓発活動、感染拡大防止策の周知・啓発を推進します。</w:t>
            </w:r>
          </w:p>
        </w:tc>
      </w:tr>
      <w:tr>
        <w:trPr>
          <w:trHeight w:val="510" w:hRule="atLeast"/>
        </w:trPr>
        <w:tc>
          <w:tcPr>
            <w:tcW w:w="878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介護事業所における災害時の避難訓練の実施、感染症発生時の事前準備状況の確認</w:t>
            </w:r>
          </w:p>
        </w:tc>
      </w:tr>
      <w:tr>
        <w:trPr>
          <w:trHeight w:val="2098" w:hRule="atLeast"/>
        </w:trPr>
        <w:tc>
          <w:tcPr>
            <w:tcW w:w="8788" w:type="dxa"/>
            <w:vAlign w:val="center"/>
          </w:tcPr>
          <w:p>
            <w:pPr>
              <w:pStyle w:val="52"/>
              <w:rPr>
                <w:rFonts w:hint="default"/>
                <w:color w:val="auto"/>
                <w:highlight w:val="none"/>
              </w:rPr>
            </w:pPr>
            <w:r>
              <w:rPr>
                <w:rFonts w:hint="eastAsia"/>
                <w:color w:val="auto"/>
                <w:highlight w:val="none"/>
              </w:rPr>
              <w:t>関係機関等と連携し、介護事業所等における災害対策や感染症に係る計画等の策定、訓練等の実施、必要な物資の備蓄・調達の状況を定期的に確認します。</w:t>
            </w:r>
          </w:p>
          <w:p>
            <w:pPr>
              <w:pStyle w:val="52"/>
              <w:rPr>
                <w:rFonts w:hint="default"/>
                <w:color w:val="auto"/>
                <w:highlight w:val="none"/>
              </w:rPr>
            </w:pPr>
            <w:r>
              <w:rPr>
                <w:rFonts w:hint="eastAsia"/>
                <w:color w:val="auto"/>
                <w:highlight w:val="none"/>
              </w:rPr>
              <w:t>非常災害対策計画が作成されていない介護事業所等や、避難確保計画が作成されていない浸水想定区域や土砂災害警戒区域内の要配慮者利用施設の管理者等に働きかけ、適切な計画が立案できるよう支援します。</w:t>
            </w:r>
          </w:p>
        </w:tc>
      </w:tr>
      <w:tr>
        <w:trPr>
          <w:trHeight w:val="510" w:hRule="atLeast"/>
        </w:trPr>
        <w:tc>
          <w:tcPr>
            <w:tcW w:w="878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災害・感染症発生時の代替サービスの確保に向けた連絡体制の整備</w:t>
            </w:r>
          </w:p>
        </w:tc>
      </w:tr>
      <w:tr>
        <w:trPr>
          <w:trHeight w:val="2041" w:hRule="atLeast"/>
        </w:trPr>
        <w:tc>
          <w:tcPr>
            <w:tcW w:w="8788" w:type="dxa"/>
            <w:vAlign w:val="center"/>
          </w:tcPr>
          <w:p>
            <w:pPr>
              <w:pStyle w:val="52"/>
              <w:rPr>
                <w:rFonts w:hint="default"/>
                <w:color w:val="auto"/>
                <w:highlight w:val="none"/>
              </w:rPr>
            </w:pPr>
            <w:r>
              <w:rPr>
                <w:rFonts w:hint="eastAsia"/>
                <w:color w:val="auto"/>
                <w:highlight w:val="none"/>
              </w:rPr>
              <w:t>災害や感染症の流行に備え、庁内の関係部局や関係機関、介護事業所等と連携した体制を整備し、情報の共有や介護事業所等との効果的・効率的な訓練、研修を実施します。</w:t>
            </w:r>
          </w:p>
          <w:p>
            <w:pPr>
              <w:pStyle w:val="52"/>
              <w:rPr>
                <w:rFonts w:hint="default"/>
                <w:color w:val="auto"/>
                <w:highlight w:val="none"/>
              </w:rPr>
            </w:pPr>
            <w:r>
              <w:rPr>
                <w:rFonts w:hint="eastAsia"/>
                <w:color w:val="auto"/>
                <w:highlight w:val="none"/>
              </w:rPr>
              <w:t>また、災害発生時に介護サービスが必要な人に継続的にサービス提供できるよう、広島県や近隣市町と連携を図り、介護事業所への支援・応援体制を整備します。</w:t>
            </w:r>
          </w:p>
        </w:tc>
      </w:tr>
    </w:tbl>
    <w:p>
      <w:pPr>
        <w:pStyle w:val="41"/>
        <w:rPr>
          <w:rFonts w:hint="default"/>
          <w:b w:val="1"/>
          <w:color w:val="auto"/>
          <w:highlight w:val="none"/>
        </w:rPr>
      </w:pPr>
    </w:p>
    <w:p>
      <w:pPr>
        <w:pStyle w:val="41"/>
        <w:ind w:left="440" w:leftChars="200"/>
        <w:rPr>
          <w:rFonts w:hint="default"/>
          <w:b w:val="1"/>
          <w:color w:val="auto"/>
          <w:highlight w:val="none"/>
        </w:rPr>
      </w:pPr>
      <w:r>
        <w:rPr>
          <w:rFonts w:hint="eastAsia"/>
          <w:b w:val="1"/>
          <w:color w:val="auto"/>
          <w:highlight w:val="none"/>
        </w:rPr>
        <w:t>≪施策の活動指標≫</w:t>
      </w:r>
    </w:p>
    <w:p>
      <w:pPr>
        <w:pStyle w:val="30"/>
        <w:numPr>
          <w:ilvl w:val="0"/>
          <w:numId w:val="3"/>
        </w:numPr>
        <w:spacing w:after="76" w:afterLines="0" w:afterAutospacing="0"/>
        <w:ind w:leftChars="0"/>
        <w:rPr>
          <w:rFonts w:hint="default"/>
          <w:b w:val="0"/>
          <w:color w:val="auto"/>
          <w:sz w:val="22"/>
          <w:highlight w:val="none"/>
        </w:rPr>
      </w:pPr>
      <w:r>
        <w:rPr>
          <w:rFonts w:hint="eastAsia"/>
          <w:b w:val="0"/>
          <w:color w:val="auto"/>
          <w:sz w:val="22"/>
          <w:highlight w:val="none"/>
          <w:shd w:val="clear" w:color="auto" w:themeFill="background1" w:themeFillTint="FF" w:themeFillShade="FF"/>
        </w:rPr>
        <w:t>災害や感染症対策に係る体制整備の取組</w:t>
      </w:r>
    </w:p>
    <w:tbl>
      <w:tblPr>
        <w:tblStyle w:val="81"/>
        <w:tblW w:w="8626" w:type="dxa"/>
        <w:tblInd w:w="435" w:type="dxa"/>
        <w:tblLayout w:type="fixed"/>
        <w:tblLook w:firstRow="1" w:lastRow="0" w:firstColumn="1" w:lastColumn="0" w:noHBand="0" w:noVBand="1" w:val="04A0"/>
      </w:tblPr>
      <w:tblGrid>
        <w:gridCol w:w="3410"/>
        <w:gridCol w:w="1407"/>
        <w:gridCol w:w="1270"/>
        <w:gridCol w:w="1269"/>
        <w:gridCol w:w="1270"/>
      </w:tblGrid>
      <w:tr>
        <w:trPr>
          <w:trHeight w:val="510" w:hRule="atLeast"/>
        </w:trPr>
        <w:tc>
          <w:tcPr>
            <w:tcW w:w="341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jc w:val="center"/>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指標</w:t>
            </w:r>
          </w:p>
        </w:tc>
        <w:tc>
          <w:tcPr>
            <w:tcW w:w="140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現状</w:t>
            </w:r>
          </w:p>
        </w:tc>
        <w:tc>
          <w:tcPr>
            <w:tcW w:w="127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6</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(2024</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6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7</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(2025</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8</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(2026</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r>
      <w:tr>
        <w:trPr>
          <w:trHeight w:val="572" w:hRule="exact"/>
        </w:trPr>
        <w:tc>
          <w:tcPr>
            <w:tcW w:w="3410" w:type="dxa"/>
            <w:vAlign w:val="center"/>
          </w:tcPr>
          <w:p>
            <w:pPr>
              <w:pStyle w:val="0"/>
              <w:widowControl w:val="1"/>
              <w:autoSpaceDE w:val="0"/>
              <w:autoSpaceDN w:val="0"/>
              <w:spacing w:line="240" w:lineRule="exact"/>
              <w:ind w:left="4" w:leftChars="2" w:right="-110" w:rightChars="-50"/>
              <w:jc w:val="lef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福祉避難所の数</w:t>
            </w:r>
          </w:p>
        </w:tc>
        <w:tc>
          <w:tcPr>
            <w:tcW w:w="1407" w:type="dxa"/>
            <w:tcMar>
              <w:left w:w="0" w:type="dxa"/>
              <w:right w:w="0" w:type="dxa"/>
            </w:tcMar>
            <w:vAlign w:val="center"/>
          </w:tcPr>
          <w:p>
            <w:pPr>
              <w:pStyle w:val="0"/>
              <w:autoSpaceDE w:val="0"/>
              <w:autoSpaceDN w:val="0"/>
              <w:spacing w:line="240" w:lineRule="exact"/>
              <w:jc w:val="center"/>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36</w:t>
            </w:r>
            <w:r>
              <w:rPr>
                <w:rFonts w:hint="eastAsia" w:ascii="ＭＳ Ｐゴシック" w:hAnsi="ＭＳ Ｐゴシック" w:eastAsia="ＭＳ Ｐゴシック"/>
                <w:color w:val="auto"/>
                <w:highlight w:val="none"/>
              </w:rPr>
              <w:t>か所</w:t>
            </w:r>
          </w:p>
          <w:p>
            <w:pPr>
              <w:pStyle w:val="0"/>
              <w:autoSpaceDE w:val="0"/>
              <w:autoSpaceDN w:val="0"/>
              <w:spacing w:line="240" w:lineRule="exact"/>
              <w:jc w:val="center"/>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16"/>
                <w:highlight w:val="none"/>
              </w:rPr>
              <w:t>（令和</w:t>
            </w:r>
            <w:r>
              <w:rPr>
                <w:rFonts w:hint="eastAsia" w:ascii="ＭＳ Ｐゴシック" w:hAnsi="ＭＳ Ｐゴシック" w:eastAsia="ＭＳ Ｐゴシック"/>
                <w:color w:val="auto"/>
                <w:sz w:val="16"/>
                <w:highlight w:val="none"/>
              </w:rPr>
              <w:t>4</w:t>
            </w:r>
            <w:r>
              <w:rPr>
                <w:rFonts w:hint="eastAsia" w:ascii="ＭＳ Ｐゴシック" w:hAnsi="ＭＳ Ｐゴシック" w:eastAsia="ＭＳ Ｐゴシック"/>
                <w:color w:val="auto"/>
                <w:sz w:val="16"/>
                <w:highlight w:val="none"/>
              </w:rPr>
              <w:t>年度）</w:t>
            </w:r>
          </w:p>
        </w:tc>
        <w:tc>
          <w:tcPr>
            <w:tcW w:w="1270" w:type="dxa"/>
            <w:vAlign w:val="center"/>
          </w:tcPr>
          <w:p>
            <w:pPr>
              <w:pStyle w:val="0"/>
              <w:autoSpaceDE w:val="0"/>
              <w:autoSpaceDN w:val="0"/>
              <w:spacing w:line="240" w:lineRule="exact"/>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38</w:t>
            </w:r>
            <w:r>
              <w:rPr>
                <w:rFonts w:hint="eastAsia" w:ascii="ＭＳ Ｐゴシック" w:hAnsi="ＭＳ Ｐゴシック" w:eastAsia="ＭＳ Ｐゴシック"/>
                <w:color w:val="auto"/>
                <w:sz w:val="21"/>
                <w:highlight w:val="none"/>
              </w:rPr>
              <w:t>か所</w:t>
            </w:r>
          </w:p>
        </w:tc>
        <w:tc>
          <w:tcPr>
            <w:tcW w:w="1269" w:type="dxa"/>
            <w:vAlign w:val="center"/>
          </w:tcPr>
          <w:p>
            <w:pPr>
              <w:pStyle w:val="0"/>
              <w:autoSpaceDE w:val="0"/>
              <w:autoSpaceDN w:val="0"/>
              <w:spacing w:line="240" w:lineRule="exact"/>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40</w:t>
            </w:r>
            <w:r>
              <w:rPr>
                <w:rFonts w:hint="eastAsia" w:ascii="ＭＳ Ｐゴシック" w:hAnsi="ＭＳ Ｐゴシック" w:eastAsia="ＭＳ Ｐゴシック"/>
                <w:color w:val="auto"/>
                <w:sz w:val="21"/>
                <w:highlight w:val="none"/>
              </w:rPr>
              <w:t>か所</w:t>
            </w:r>
          </w:p>
        </w:tc>
        <w:tc>
          <w:tcPr>
            <w:tcW w:w="1270" w:type="dxa"/>
            <w:vAlign w:val="center"/>
          </w:tcPr>
          <w:p>
            <w:pPr>
              <w:pStyle w:val="0"/>
              <w:autoSpaceDE w:val="0"/>
              <w:autoSpaceDN w:val="0"/>
              <w:spacing w:line="240" w:lineRule="exact"/>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42</w:t>
            </w:r>
            <w:r>
              <w:rPr>
                <w:rFonts w:hint="eastAsia" w:ascii="ＭＳ Ｐゴシック" w:hAnsi="ＭＳ Ｐゴシック" w:eastAsia="ＭＳ Ｐゴシック"/>
                <w:color w:val="auto"/>
                <w:sz w:val="21"/>
                <w:highlight w:val="none"/>
              </w:rPr>
              <w:t>か所</w:t>
            </w:r>
          </w:p>
        </w:tc>
      </w:tr>
      <w:tr>
        <w:trPr>
          <w:trHeight w:val="572" w:hRule="exact"/>
        </w:trPr>
        <w:tc>
          <w:tcPr>
            <w:tcW w:w="3410" w:type="dxa"/>
            <w:vAlign w:val="center"/>
          </w:tcPr>
          <w:p>
            <w:pPr>
              <w:pStyle w:val="0"/>
              <w:widowControl w:val="1"/>
              <w:autoSpaceDE w:val="0"/>
              <w:autoSpaceDN w:val="0"/>
              <w:spacing w:line="240" w:lineRule="exact"/>
              <w:ind w:left="4" w:leftChars="2" w:right="-110" w:rightChars="-50"/>
              <w:jc w:val="lef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業務継続計画（ＢＣＰ）の点検・見直しに向けた研修会回数</w:t>
            </w:r>
          </w:p>
        </w:tc>
        <w:tc>
          <w:tcPr>
            <w:tcW w:w="1407" w:type="dxa"/>
            <w:tcMar>
              <w:left w:w="0" w:type="dxa"/>
              <w:right w:w="0" w:type="dxa"/>
            </w:tcMar>
            <w:vAlign w:val="center"/>
          </w:tcPr>
          <w:p>
            <w:pPr>
              <w:pStyle w:val="0"/>
              <w:autoSpaceDE w:val="0"/>
              <w:autoSpaceDN w:val="0"/>
              <w:spacing w:line="240" w:lineRule="exact"/>
              <w:jc w:val="center"/>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1</w:t>
            </w:r>
            <w:r>
              <w:rPr>
                <w:rFonts w:hint="eastAsia" w:ascii="ＭＳ Ｐゴシック" w:hAnsi="ＭＳ Ｐゴシック" w:eastAsia="ＭＳ Ｐゴシック"/>
                <w:color w:val="auto"/>
                <w:highlight w:val="none"/>
              </w:rPr>
              <w:t>回</w:t>
            </w:r>
          </w:p>
        </w:tc>
        <w:tc>
          <w:tcPr>
            <w:tcW w:w="1270" w:type="dxa"/>
            <w:vAlign w:val="center"/>
          </w:tcPr>
          <w:p>
            <w:pPr>
              <w:pStyle w:val="0"/>
              <w:autoSpaceDE w:val="0"/>
              <w:autoSpaceDN w:val="0"/>
              <w:spacing w:line="240" w:lineRule="exact"/>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年</w:t>
            </w:r>
            <w:r>
              <w:rPr>
                <w:rFonts w:hint="eastAsia" w:ascii="ＭＳ Ｐゴシック" w:hAnsi="ＭＳ Ｐゴシック" w:eastAsia="ＭＳ Ｐゴシック"/>
                <w:color w:val="auto"/>
                <w:sz w:val="21"/>
                <w:highlight w:val="none"/>
              </w:rPr>
              <w:t>1</w:t>
            </w:r>
            <w:r>
              <w:rPr>
                <w:rFonts w:hint="eastAsia" w:ascii="ＭＳ Ｐゴシック" w:hAnsi="ＭＳ Ｐゴシック" w:eastAsia="ＭＳ Ｐゴシック"/>
                <w:color w:val="auto"/>
                <w:sz w:val="21"/>
                <w:highlight w:val="none"/>
              </w:rPr>
              <w:t>回</w:t>
            </w:r>
          </w:p>
        </w:tc>
        <w:tc>
          <w:tcPr>
            <w:tcW w:w="1269" w:type="dxa"/>
            <w:vAlign w:val="center"/>
          </w:tcPr>
          <w:p>
            <w:pPr>
              <w:pStyle w:val="0"/>
              <w:autoSpaceDE w:val="0"/>
              <w:autoSpaceDN w:val="0"/>
              <w:spacing w:line="240" w:lineRule="exact"/>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年</w:t>
            </w:r>
            <w:r>
              <w:rPr>
                <w:rFonts w:hint="eastAsia" w:ascii="ＭＳ Ｐゴシック" w:hAnsi="ＭＳ Ｐゴシック" w:eastAsia="ＭＳ Ｐゴシック"/>
                <w:color w:val="auto"/>
                <w:sz w:val="21"/>
                <w:highlight w:val="none"/>
              </w:rPr>
              <w:t>1</w:t>
            </w:r>
            <w:r>
              <w:rPr>
                <w:rFonts w:hint="eastAsia" w:ascii="ＭＳ Ｐゴシック" w:hAnsi="ＭＳ Ｐゴシック" w:eastAsia="ＭＳ Ｐゴシック"/>
                <w:color w:val="auto"/>
                <w:sz w:val="21"/>
                <w:highlight w:val="none"/>
              </w:rPr>
              <w:t>回</w:t>
            </w:r>
          </w:p>
        </w:tc>
        <w:tc>
          <w:tcPr>
            <w:tcW w:w="1270" w:type="dxa"/>
            <w:vAlign w:val="center"/>
          </w:tcPr>
          <w:p>
            <w:pPr>
              <w:pStyle w:val="0"/>
              <w:autoSpaceDE w:val="0"/>
              <w:autoSpaceDN w:val="0"/>
              <w:spacing w:line="240" w:lineRule="exact"/>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年</w:t>
            </w:r>
            <w:r>
              <w:rPr>
                <w:rFonts w:hint="eastAsia" w:ascii="ＭＳ Ｐゴシック" w:hAnsi="ＭＳ Ｐゴシック" w:eastAsia="ＭＳ Ｐゴシック"/>
                <w:color w:val="auto"/>
                <w:sz w:val="21"/>
                <w:highlight w:val="none"/>
              </w:rPr>
              <w:t>1</w:t>
            </w:r>
            <w:r>
              <w:rPr>
                <w:rFonts w:hint="eastAsia" w:ascii="ＭＳ Ｐゴシック" w:hAnsi="ＭＳ Ｐゴシック" w:eastAsia="ＭＳ Ｐゴシック"/>
                <w:color w:val="auto"/>
                <w:sz w:val="21"/>
                <w:highlight w:val="none"/>
              </w:rPr>
              <w:t>回</w:t>
            </w:r>
          </w:p>
        </w:tc>
      </w:tr>
    </w:tbl>
    <w:p>
      <w:pPr>
        <w:pStyle w:val="0"/>
        <w:widowControl w:val="1"/>
        <w:jc w:val="left"/>
        <w:rPr>
          <w:rFonts w:hint="default"/>
          <w:color w:val="auto"/>
          <w:highlight w:val="none"/>
        </w:rPr>
      </w:pPr>
      <w:r>
        <w:rPr>
          <w:rFonts w:hint="default"/>
          <w:color w:val="auto"/>
          <w:highlight w:val="none"/>
        </w:rPr>
        <w:br w:type="page"/>
      </w:r>
    </w:p>
    <w:p>
      <w:pPr>
        <w:pStyle w:val="22"/>
        <w:spacing w:after="76" w:afterLines="0" w:afterAutospacing="0"/>
        <w:rPr>
          <w:rFonts w:hint="default"/>
          <w:color w:val="auto"/>
          <w:highlight w:val="none"/>
        </w:rPr>
      </w:pPr>
      <w:bookmarkStart w:id="118" w:name="_Toc152160664"/>
      <w:r>
        <w:rPr>
          <w:rFonts w:hint="eastAsia"/>
          <w:color w:val="auto"/>
          <w:highlight w:val="none"/>
        </w:rPr>
        <w:t>基本方針２　介護予防・健康づくりの推進</w:t>
      </w:r>
      <w:bookmarkEnd w:id="118"/>
    </w:p>
    <w:p>
      <w:pPr>
        <w:pStyle w:val="41"/>
        <w:rPr>
          <w:rFonts w:hint="default"/>
          <w:color w:val="auto"/>
          <w:highlight w:val="none"/>
        </w:rPr>
      </w:pPr>
      <w:r>
        <w:rPr>
          <w:rFonts w:hint="default"/>
          <w:color w:val="auto"/>
          <w:highlight w:val="none"/>
        </w:rPr>
        <mc:AlternateContent>
          <mc:Choice Requires="wps">
            <w:drawing>
              <wp:anchor distT="0" distB="0" distL="114300" distR="114300" simplePos="0" relativeHeight="4" behindDoc="0" locked="0" layoutInCell="1" hidden="0" allowOverlap="1">
                <wp:simplePos x="0" y="0"/>
                <wp:positionH relativeFrom="column">
                  <wp:posOffset>0</wp:posOffset>
                </wp:positionH>
                <wp:positionV relativeFrom="paragraph">
                  <wp:posOffset>51435</wp:posOffset>
                </wp:positionV>
                <wp:extent cx="5734050" cy="647700"/>
                <wp:effectExtent l="635" t="635" r="29845" b="10795"/>
                <wp:wrapNone/>
                <wp:docPr id="1178" name="AutoShape 53"/>
                <a:graphic xmlns:a="http://schemas.openxmlformats.org/drawingml/2006/main">
                  <a:graphicData uri="http://schemas.microsoft.com/office/word/2010/wordprocessingShape">
                    <wps:wsp>
                      <wps:cNvPr id="1178" name="AutoShape 53"/>
                      <wps:cNvSpPr>
                        <a:spLocks noChangeArrowheads="1"/>
                      </wps:cNvSpPr>
                      <wps:spPr>
                        <a:xfrm>
                          <a:off x="0" y="0"/>
                          <a:ext cx="5734050" cy="647700"/>
                        </a:xfrm>
                        <a:prstGeom prst="roundRect">
                          <a:avLst>
                            <a:gd name="adj" fmla="val 13611"/>
                          </a:avLst>
                        </a:prstGeom>
                        <a:solidFill>
                          <a:schemeClr val="bg1"/>
                        </a:solidFill>
                        <a:ln w="6350">
                          <a:solidFill>
                            <a:srgbClr val="0070C0"/>
                          </a:solidFill>
                          <a:round/>
                          <a:headEnd/>
                          <a:tailEnd/>
                        </a:ln>
                      </wps:spPr>
                      <wps:txbx>
                        <w:txbxContent>
                          <w:p>
                            <w:pPr>
                              <w:pStyle w:val="0"/>
                              <w:spacing w:line="360" w:lineRule="exact"/>
                              <w:ind w:left="350" w:leftChars="50" w:hanging="240" w:hangingChars="100"/>
                              <w:jc w:val="left"/>
                              <w:rPr>
                                <w:rFonts w:hint="default" w:ascii="メイリオ" w:hAnsi="メイリオ" w:eastAsia="メイリオ"/>
                                <w:b w:val="1"/>
                                <w:sz w:val="24"/>
                              </w:rPr>
                            </w:pPr>
                            <w:r>
                              <w:rPr>
                                <w:rFonts w:hint="eastAsia" w:ascii="メイリオ" w:hAnsi="メイリオ" w:eastAsia="メイリオ"/>
                                <w:b w:val="1"/>
                                <w:color w:val="FFFFFF" w:themeColor="background1"/>
                                <w:sz w:val="24"/>
                                <w:shd w:val="clear" w:color="auto" w:fill="0070C0"/>
                              </w:rPr>
                              <w:t>めざす</w:t>
                            </w:r>
                            <w:r>
                              <w:rPr>
                                <w:rFonts w:hint="default" w:ascii="メイリオ" w:hAnsi="メイリオ" w:eastAsia="メイリオ"/>
                                <w:b w:val="1"/>
                                <w:color w:val="FFFFFF" w:themeColor="background1"/>
                                <w:sz w:val="24"/>
                                <w:shd w:val="clear" w:color="auto" w:fill="0070C0"/>
                              </w:rPr>
                              <w:t>姿</w:t>
                            </w:r>
                          </w:p>
                          <w:p>
                            <w:pPr>
                              <w:pStyle w:val="0"/>
                              <w:spacing w:before="111" w:beforeLines="30" w:beforeAutospacing="0" w:line="360" w:lineRule="exact"/>
                              <w:ind w:left="570" w:leftChars="150" w:hanging="240" w:hangingChars="100"/>
                              <w:jc w:val="left"/>
                              <w:rPr>
                                <w:rFonts w:hint="default" w:ascii="メイリオ" w:hAnsi="メイリオ" w:eastAsia="メイリオ"/>
                                <w:sz w:val="24"/>
                              </w:rPr>
                            </w:pPr>
                            <w:r>
                              <w:rPr>
                                <w:rFonts w:hint="eastAsia" w:ascii="メイリオ" w:hAnsi="メイリオ" w:eastAsia="メイリオ"/>
                                <w:sz w:val="24"/>
                              </w:rPr>
                              <w:t>高齢者が健康で</w:t>
                            </w:r>
                            <w:r>
                              <w:rPr>
                                <w:rFonts w:hint="default" w:ascii="メイリオ" w:hAnsi="メイリオ" w:eastAsia="メイリオ"/>
                                <w:sz w:val="24"/>
                              </w:rPr>
                              <w:t>生きがいを持ち、充実した生活を送ることができている。</w:t>
                            </w:r>
                          </w:p>
                        </w:txbxContent>
                      </wps:txbx>
                      <wps:bodyPr rot="0" vertOverflow="overflow" horzOverflow="overflow" wrap="square" lIns="0" tIns="0" rIns="0" bIns="0" anchor="ctr" anchorCtr="0" upright="1"/>
                    </wps:wsp>
                  </a:graphicData>
                </a:graphic>
              </wp:anchor>
            </w:drawing>
          </mc:Choice>
          <mc:Fallback>
            <w:pict>
              <v:roundrect id="AutoShape 53" style="mso-wrap-distance-right:9pt;mso-wrap-distance-bottom:0pt;margin-top:4.05pt;mso-position-vertical-relative:text;mso-position-horizontal-relative:text;v-text-anchor:middle;position:absolute;height:51pt;mso-wrap-distance-top:0pt;width:451.5pt;mso-wrap-distance-left:9pt;margin-left:0pt;z-index:4;" o:spid="_x0000_s1178" o:allowincell="t" o:allowoverlap="t" filled="t" fillcolor="#ffffff [3212]" stroked="t" strokecolor="#0070c0" strokeweight="0.5pt" o:spt="2" arcsize="8920f">
                <v:fill/>
                <v:stroke filltype="solid"/>
                <v:textbox style="layout-flow:horizontal;" inset="0mm,0mm,0mm,0mm">
                  <w:txbxContent>
                    <w:p>
                      <w:pPr>
                        <w:pStyle w:val="0"/>
                        <w:spacing w:line="360" w:lineRule="exact"/>
                        <w:ind w:left="350" w:leftChars="50" w:hanging="240" w:hangingChars="100"/>
                        <w:jc w:val="left"/>
                        <w:rPr>
                          <w:rFonts w:hint="default" w:ascii="メイリオ" w:hAnsi="メイリオ" w:eastAsia="メイリオ"/>
                          <w:b w:val="1"/>
                          <w:sz w:val="24"/>
                        </w:rPr>
                      </w:pPr>
                      <w:r>
                        <w:rPr>
                          <w:rFonts w:hint="eastAsia" w:ascii="メイリオ" w:hAnsi="メイリオ" w:eastAsia="メイリオ"/>
                          <w:b w:val="1"/>
                          <w:color w:val="FFFFFF" w:themeColor="background1"/>
                          <w:sz w:val="24"/>
                          <w:shd w:val="clear" w:color="auto" w:fill="0070C0"/>
                        </w:rPr>
                        <w:t>めざす</w:t>
                      </w:r>
                      <w:r>
                        <w:rPr>
                          <w:rFonts w:hint="default" w:ascii="メイリオ" w:hAnsi="メイリオ" w:eastAsia="メイリオ"/>
                          <w:b w:val="1"/>
                          <w:color w:val="FFFFFF" w:themeColor="background1"/>
                          <w:sz w:val="24"/>
                          <w:shd w:val="clear" w:color="auto" w:fill="0070C0"/>
                        </w:rPr>
                        <w:t>姿</w:t>
                      </w:r>
                    </w:p>
                    <w:p>
                      <w:pPr>
                        <w:pStyle w:val="0"/>
                        <w:spacing w:before="111" w:beforeLines="30" w:beforeAutospacing="0" w:line="360" w:lineRule="exact"/>
                        <w:ind w:left="570" w:leftChars="150" w:hanging="240" w:hangingChars="100"/>
                        <w:jc w:val="left"/>
                        <w:rPr>
                          <w:rFonts w:hint="default" w:ascii="メイリオ" w:hAnsi="メイリオ" w:eastAsia="メイリオ"/>
                          <w:sz w:val="24"/>
                        </w:rPr>
                      </w:pPr>
                      <w:r>
                        <w:rPr>
                          <w:rFonts w:hint="eastAsia" w:ascii="メイリオ" w:hAnsi="メイリオ" w:eastAsia="メイリオ"/>
                          <w:sz w:val="24"/>
                        </w:rPr>
                        <w:t>高齢者が健康で</w:t>
                      </w:r>
                      <w:r>
                        <w:rPr>
                          <w:rFonts w:hint="default" w:ascii="メイリオ" w:hAnsi="メイリオ" w:eastAsia="メイリオ"/>
                          <w:sz w:val="24"/>
                        </w:rPr>
                        <w:t>生きがいを持ち、充実した生活を送ることができている。</w:t>
                      </w:r>
                    </w:p>
                  </w:txbxContent>
                </v:textbox>
                <v:imagedata o:title=""/>
                <w10:wrap type="none" anchorx="text" anchory="text"/>
              </v:roundrect>
            </w:pict>
          </mc:Fallback>
        </mc:AlternateContent>
      </w:r>
    </w:p>
    <w:p>
      <w:pPr>
        <w:pStyle w:val="41"/>
        <w:rPr>
          <w:rFonts w:hint="default"/>
          <w:color w:val="auto"/>
          <w:highlight w:val="none"/>
        </w:rPr>
      </w:pPr>
    </w:p>
    <w:p>
      <w:pPr>
        <w:pStyle w:val="41"/>
        <w:rPr>
          <w:rFonts w:hint="default"/>
          <w:color w:val="auto"/>
          <w:highlight w:val="none"/>
        </w:rPr>
      </w:pPr>
    </w:p>
    <w:p>
      <w:pPr>
        <w:pStyle w:val="24"/>
        <w:rPr>
          <w:rFonts w:hint="default"/>
          <w:color w:val="auto"/>
          <w:highlight w:val="none"/>
        </w:rPr>
      </w:pPr>
      <w:r>
        <w:rPr>
          <w:rFonts w:hint="eastAsia"/>
          <w:color w:val="auto"/>
          <w:highlight w:val="none"/>
        </w:rPr>
        <w:t>高齢期に至る前から、市民一人ひとりが主体的かつ継続的に取り組む健康づくりを推進します。また、疾病予防・重度化防止のため、フレイル対策などの保健事業と介護予防を一体的に実施し、高齢者の健康管理を支援します。</w:t>
      </w:r>
    </w:p>
    <w:p>
      <w:pPr>
        <w:pStyle w:val="24"/>
        <w:rPr>
          <w:rFonts w:hint="default"/>
          <w:color w:val="auto"/>
          <w:highlight w:val="none"/>
        </w:rPr>
      </w:pPr>
      <w:r>
        <w:rPr>
          <w:rFonts w:hint="eastAsia"/>
          <w:color w:val="auto"/>
          <w:highlight w:val="none"/>
        </w:rPr>
        <w:t>「支える側・支えられる側」という垣根を取り払い、「担い手となること＝介護予防になる」という考え方に基づき、介護予防・生活支援・社会参加を一体的に推進します。</w:t>
      </w:r>
    </w:p>
    <w:p>
      <w:pPr>
        <w:pStyle w:val="30"/>
        <w:spacing w:before="185" w:beforeLines="50" w:beforeAutospacing="0" w:after="76" w:afterLines="0" w:afterAutospacing="0"/>
        <w:ind w:left="442" w:leftChars="0"/>
        <w:rPr>
          <w:rFonts w:hint="default"/>
          <w:color w:val="auto"/>
          <w:highlight w:val="none"/>
        </w:rPr>
      </w:pPr>
      <w:r>
        <w:rPr>
          <w:rFonts w:hint="eastAsia"/>
          <w:color w:val="auto"/>
          <w:highlight w:val="none"/>
        </w:rPr>
        <w:t>≪基本方針の評価指標≫</w:t>
      </w:r>
    </w:p>
    <w:tbl>
      <w:tblPr>
        <w:tblStyle w:val="81"/>
        <w:tblW w:w="8626" w:type="dxa"/>
        <w:tblInd w:w="435" w:type="dxa"/>
        <w:tblLayout w:type="fixed"/>
        <w:tblLook w:firstRow="1" w:lastRow="0" w:firstColumn="1" w:lastColumn="0" w:noHBand="0" w:noVBand="1" w:val="04A0"/>
      </w:tblPr>
      <w:tblGrid>
        <w:gridCol w:w="2090"/>
        <w:gridCol w:w="1870"/>
        <w:gridCol w:w="1540"/>
        <w:gridCol w:w="1540"/>
        <w:gridCol w:w="1586"/>
      </w:tblGrid>
      <w:tr>
        <w:trPr>
          <w:trHeight w:val="510" w:hRule="atLeast"/>
        </w:trPr>
        <w:tc>
          <w:tcPr>
            <w:tcW w:w="209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87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32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現状</w:t>
            </w:r>
          </w:p>
        </w:tc>
        <w:tc>
          <w:tcPr>
            <w:tcW w:w="154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6</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(2024</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54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7</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(2025</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58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8</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(2026</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r>
      <w:tr>
        <w:trPr>
          <w:trHeight w:val="567" w:hRule="atLeast"/>
        </w:trPr>
        <w:tc>
          <w:tcPr>
            <w:tcW w:w="209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健康寿命</w:t>
            </w:r>
          </w:p>
        </w:tc>
        <w:tc>
          <w:tcPr>
            <w:tcW w:w="187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0" w:lineRule="atLeast"/>
              <w:ind w:right="-48" w:rightChars="-22"/>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男性　</w:t>
            </w:r>
            <w:r>
              <w:rPr>
                <w:rFonts w:hint="eastAsia" w:ascii="ＭＳ Ｐゴシック" w:hAnsi="ＭＳ Ｐゴシック" w:eastAsia="ＭＳ Ｐゴシック"/>
                <w:color w:val="auto"/>
                <w:sz w:val="18"/>
                <w:highlight w:val="none"/>
              </w:rPr>
              <w:t>81.6</w:t>
            </w:r>
          </w:p>
          <w:p>
            <w:pPr>
              <w:pStyle w:val="0"/>
              <w:autoSpaceDE w:val="0"/>
              <w:autoSpaceDN w:val="0"/>
              <w:spacing w:line="0" w:lineRule="atLeast"/>
              <w:ind w:right="-48" w:rightChars="-22"/>
              <w:jc w:val="center"/>
              <w:rPr>
                <w:rFonts w:hint="default" w:ascii="ＭＳ Ｐゴシック" w:hAnsi="ＭＳ Ｐゴシック" w:eastAsia="ＭＳ Ｐゴシック"/>
                <w:dstrike w:val="1"/>
                <w:color w:val="auto"/>
                <w:sz w:val="18"/>
                <w:highlight w:val="none"/>
              </w:rPr>
            </w:pPr>
            <w:r>
              <w:rPr>
                <w:rFonts w:hint="eastAsia" w:ascii="ＭＳ Ｐゴシック" w:hAnsi="ＭＳ Ｐゴシック" w:eastAsia="ＭＳ Ｐゴシック"/>
                <w:color w:val="auto"/>
                <w:sz w:val="18"/>
                <w:highlight w:val="none"/>
              </w:rPr>
              <w:t>女性　</w:t>
            </w:r>
            <w:r>
              <w:rPr>
                <w:rFonts w:hint="eastAsia" w:ascii="ＭＳ Ｐゴシック" w:hAnsi="ＭＳ Ｐゴシック" w:eastAsia="ＭＳ Ｐゴシック"/>
                <w:color w:val="auto"/>
                <w:sz w:val="18"/>
                <w:highlight w:val="none"/>
              </w:rPr>
              <w:t>85.8</w:t>
            </w:r>
          </w:p>
          <w:p>
            <w:pPr>
              <w:pStyle w:val="0"/>
              <w:autoSpaceDE w:val="0"/>
              <w:autoSpaceDN w:val="0"/>
              <w:spacing w:line="0" w:lineRule="atLeast"/>
              <w:ind w:right="-48" w:rightChars="-22"/>
              <w:jc w:val="center"/>
              <w:rPr>
                <w:rFonts w:hint="default" w:ascii="ＭＳ Ｐゴシック" w:hAnsi="ＭＳ Ｐゴシック" w:eastAsia="ＭＳ Ｐゴシック"/>
                <w:color w:val="auto"/>
                <w:sz w:val="16"/>
                <w:highlight w:val="none"/>
              </w:rPr>
            </w:pPr>
            <w:r>
              <w:rPr>
                <w:rFonts w:hint="eastAsia" w:ascii="ＭＳ Ｐゴシック" w:hAnsi="ＭＳ Ｐゴシック" w:eastAsia="ＭＳ Ｐゴシック"/>
                <w:color w:val="auto"/>
                <w:sz w:val="18"/>
                <w:highlight w:val="none"/>
              </w:rPr>
              <w:t>（令和</w:t>
            </w:r>
            <w:r>
              <w:rPr>
                <w:rFonts w:hint="eastAsia" w:ascii="ＭＳ Ｐゴシック" w:hAnsi="ＭＳ Ｐゴシック" w:eastAsia="ＭＳ Ｐゴシック"/>
                <w:color w:val="auto"/>
                <w:sz w:val="18"/>
                <w:highlight w:val="none"/>
              </w:rPr>
              <w:t>3</w:t>
            </w:r>
            <w:r>
              <w:rPr>
                <w:rFonts w:hint="eastAsia" w:ascii="ＭＳ Ｐゴシック" w:hAnsi="ＭＳ Ｐゴシック" w:eastAsia="ＭＳ Ｐゴシック"/>
                <w:color w:val="auto"/>
                <w:sz w:val="18"/>
                <w:highlight w:val="none"/>
              </w:rPr>
              <w:t>年推定値）</w:t>
            </w:r>
          </w:p>
        </w:tc>
        <w:tc>
          <w:tcPr>
            <w:tcW w:w="15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ind w:right="15"/>
              <w:jc w:val="center"/>
              <w:rPr>
                <w:rFonts w:hint="default" w:ascii="ＭＳ Ｐゴシック" w:hAnsi="ＭＳ Ｐゴシック" w:eastAsia="ＭＳ Ｐゴシック"/>
                <w:color w:val="auto"/>
                <w:sz w:val="16"/>
                <w:highlight w:val="none"/>
              </w:rPr>
            </w:pPr>
            <w:r>
              <w:rPr>
                <w:rFonts w:hint="eastAsia" w:ascii="ＭＳ Ｐゴシック" w:hAnsi="ＭＳ Ｐゴシック" w:eastAsia="ＭＳ Ｐゴシック"/>
                <w:color w:val="auto"/>
                <w:highlight w:val="none"/>
              </w:rPr>
              <w:t>延伸</w:t>
            </w:r>
          </w:p>
        </w:tc>
        <w:tc>
          <w:tcPr>
            <w:tcW w:w="15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延伸</w:t>
            </w:r>
          </w:p>
        </w:tc>
        <w:tc>
          <w:tcPr>
            <w:tcW w:w="158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ind w:right="51"/>
              <w:jc w:val="center"/>
              <w:rPr>
                <w:rFonts w:hint="default" w:ascii="ＭＳ Ｐゴシック" w:hAnsi="ＭＳ Ｐゴシック" w:eastAsia="ＭＳ Ｐゴシック"/>
                <w:color w:val="auto"/>
                <w:sz w:val="16"/>
                <w:highlight w:val="none"/>
              </w:rPr>
            </w:pPr>
            <w:r>
              <w:rPr>
                <w:rFonts w:hint="eastAsia" w:ascii="ＭＳ Ｐゴシック" w:hAnsi="ＭＳ Ｐゴシック" w:eastAsia="ＭＳ Ｐゴシック"/>
                <w:color w:val="auto"/>
                <w:highlight w:val="none"/>
              </w:rPr>
              <w:t>延伸</w:t>
            </w:r>
          </w:p>
        </w:tc>
      </w:tr>
      <w:tr>
        <w:trPr>
          <w:trHeight w:val="397" w:hRule="atLeast"/>
        </w:trPr>
        <w:tc>
          <w:tcPr>
            <w:tcW w:w="209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要介護認定率</w:t>
            </w:r>
          </w:p>
        </w:tc>
        <w:tc>
          <w:tcPr>
            <w:tcW w:w="187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17.9</w:t>
            </w:r>
            <w:r>
              <w:rPr>
                <w:rFonts w:hint="eastAsia" w:ascii="ＭＳ Ｐゴシック" w:hAnsi="ＭＳ Ｐゴシック" w:eastAsia="ＭＳ Ｐゴシック"/>
                <w:color w:val="auto"/>
                <w:sz w:val="21"/>
                <w:highlight w:val="none"/>
              </w:rPr>
              <w:t>％</w:t>
            </w:r>
          </w:p>
        </w:tc>
        <w:tc>
          <w:tcPr>
            <w:tcW w:w="15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計画値以下</w:t>
            </w:r>
          </w:p>
        </w:tc>
        <w:tc>
          <w:tcPr>
            <w:tcW w:w="15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計画値以下</w:t>
            </w:r>
          </w:p>
        </w:tc>
        <w:tc>
          <w:tcPr>
            <w:tcW w:w="158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計画値以下</w:t>
            </w:r>
          </w:p>
        </w:tc>
      </w:tr>
      <w:tr>
        <w:trPr>
          <w:trHeight w:val="397" w:hRule="atLeast"/>
        </w:trPr>
        <w:tc>
          <w:tcPr>
            <w:tcW w:w="209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生きがいの有無</w:t>
            </w:r>
          </w:p>
        </w:tc>
        <w:tc>
          <w:tcPr>
            <w:tcW w:w="187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81.4</w:t>
            </w:r>
            <w:r>
              <w:rPr>
                <w:rFonts w:hint="eastAsia" w:ascii="ＭＳ Ｐゴシック" w:hAnsi="ＭＳ Ｐゴシック" w:eastAsia="ＭＳ Ｐゴシック"/>
                <w:color w:val="auto"/>
                <w:sz w:val="21"/>
                <w:highlight w:val="none"/>
              </w:rPr>
              <w:t>％</w:t>
            </w:r>
          </w:p>
        </w:tc>
        <w:tc>
          <w:tcPr>
            <w:tcW w:w="15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highlight w:val="none"/>
              </w:rPr>
              <w:t>80</w:t>
            </w:r>
            <w:r>
              <w:rPr>
                <w:rFonts w:hint="eastAsia" w:ascii="ＭＳ Ｐゴシック" w:hAnsi="ＭＳ Ｐゴシック" w:eastAsia="ＭＳ Ｐゴシック"/>
                <w:color w:val="auto"/>
                <w:highlight w:val="none"/>
              </w:rPr>
              <w:t>％以上</w:t>
            </w:r>
          </w:p>
        </w:tc>
        <w:tc>
          <w:tcPr>
            <w:tcW w:w="15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highlight w:val="none"/>
              </w:rPr>
              <w:t>80%</w:t>
            </w:r>
            <w:r>
              <w:rPr>
                <w:rFonts w:hint="eastAsia" w:ascii="ＭＳ Ｐゴシック" w:hAnsi="ＭＳ Ｐゴシック" w:eastAsia="ＭＳ Ｐゴシック"/>
                <w:color w:val="auto"/>
                <w:highlight w:val="none"/>
              </w:rPr>
              <w:t>以上</w:t>
            </w:r>
          </w:p>
        </w:tc>
        <w:tc>
          <w:tcPr>
            <w:tcW w:w="158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highlight w:val="none"/>
              </w:rPr>
              <w:t>80%</w:t>
            </w:r>
            <w:r>
              <w:rPr>
                <w:rFonts w:hint="eastAsia" w:ascii="ＭＳ Ｐゴシック" w:hAnsi="ＭＳ Ｐゴシック" w:eastAsia="ＭＳ Ｐゴシック"/>
                <w:color w:val="auto"/>
                <w:highlight w:val="none"/>
              </w:rPr>
              <w:t>以上</w:t>
            </w:r>
          </w:p>
        </w:tc>
      </w:tr>
    </w:tbl>
    <w:p>
      <w:pPr>
        <w:pStyle w:val="41"/>
        <w:rPr>
          <w:rFonts w:hint="default"/>
          <w:color w:val="auto"/>
          <w:highlight w:val="none"/>
        </w:rPr>
      </w:pPr>
    </w:p>
    <w:p>
      <w:pPr>
        <w:pStyle w:val="0"/>
        <w:widowControl w:val="1"/>
        <w:jc w:val="left"/>
        <w:rPr>
          <w:rFonts w:hint="default"/>
          <w:color w:val="auto"/>
          <w:highlight w:val="none"/>
        </w:rPr>
      </w:pPr>
      <w:r>
        <w:rPr>
          <w:rFonts w:hint="default"/>
          <w:b w:val="1"/>
          <w:color w:val="auto"/>
          <w:highlight w:val="none"/>
        </w:rPr>
        <w:br w:type="page"/>
      </w:r>
    </w:p>
    <w:p>
      <w:pPr>
        <w:pStyle w:val="26"/>
        <w:spacing w:after="76" w:afterLines="0" w:afterAutospacing="0"/>
        <w:rPr>
          <w:rFonts w:hint="default"/>
          <w:color w:val="auto"/>
          <w:highlight w:val="none"/>
        </w:rPr>
      </w:pPr>
      <w:bookmarkStart w:id="119" w:name="_Toc152160665"/>
      <w:r>
        <w:rPr>
          <w:rFonts w:hint="eastAsia"/>
          <w:color w:val="auto"/>
          <w:highlight w:val="none"/>
        </w:rPr>
        <w:t>（１）</w:t>
      </w:r>
      <w:r>
        <w:rPr>
          <w:rFonts w:hint="eastAsia"/>
          <w:color w:val="auto"/>
          <w:highlight w:val="none"/>
        </w:rPr>
        <w:t xml:space="preserve"> </w:t>
      </w:r>
      <w:r>
        <w:rPr>
          <w:rFonts w:hint="eastAsia"/>
          <w:color w:val="auto"/>
          <w:highlight w:val="none"/>
        </w:rPr>
        <w:t>健康づくりの推進</w:t>
      </w:r>
      <w:bookmarkEnd w:id="119"/>
    </w:p>
    <w:p>
      <w:pPr>
        <w:pStyle w:val="50"/>
        <w:spacing w:before="114" w:beforeLines="0" w:beforeAutospacing="0" w:after="114" w:afterLines="0" w:afterAutospacing="0"/>
        <w:rPr>
          <w:rFonts w:hint="default"/>
          <w:color w:val="auto"/>
          <w:highlight w:val="none"/>
        </w:rPr>
      </w:pPr>
      <w:r>
        <w:rPr>
          <w:rFonts w:hint="eastAsia"/>
          <w:color w:val="auto"/>
          <w:highlight w:val="none"/>
        </w:rPr>
        <w:t>◆◆現状と課題◆◆</w:t>
      </w:r>
    </w:p>
    <w:p>
      <w:pPr>
        <w:pStyle w:val="28"/>
        <w:rPr>
          <w:rFonts w:hint="default"/>
          <w:color w:val="auto"/>
          <w:highlight w:val="none"/>
        </w:rPr>
      </w:pPr>
      <w:r>
        <w:rPr>
          <w:rFonts w:hint="eastAsia"/>
          <w:color w:val="auto"/>
          <w:highlight w:val="none"/>
        </w:rPr>
        <w:t>国においては、令和６</w:t>
      </w:r>
      <w:r>
        <w:rPr>
          <w:rFonts w:hint="default"/>
          <w:color w:val="auto"/>
          <w:highlight w:val="none"/>
        </w:rPr>
        <w:t>（</w:t>
      </w:r>
      <w:r>
        <w:rPr>
          <w:rFonts w:hint="default"/>
          <w:color w:val="auto"/>
          <w:highlight w:val="none"/>
        </w:rPr>
        <w:t>2024</w:t>
      </w:r>
      <w:r>
        <w:rPr>
          <w:rFonts w:hint="default"/>
          <w:color w:val="auto"/>
          <w:highlight w:val="none"/>
        </w:rPr>
        <w:t>）</w:t>
      </w:r>
      <w:r>
        <w:rPr>
          <w:rFonts w:hint="eastAsia"/>
          <w:color w:val="auto"/>
          <w:highlight w:val="none"/>
        </w:rPr>
        <w:t>年度</w:t>
      </w:r>
      <w:r>
        <w:rPr>
          <w:rFonts w:hint="default"/>
          <w:color w:val="auto"/>
          <w:highlight w:val="none"/>
        </w:rPr>
        <w:t>から開始する新たな「健康日本２１（第三次）」において、「誰一人取り残さない健康づくりの展開」と「より実効性をもつ取組の推進」を基本的な考え方とし、健康寿命の延伸・健康格差の縮小の実現を</w:t>
      </w:r>
      <w:r>
        <w:rPr>
          <w:rFonts w:hint="eastAsia"/>
          <w:color w:val="auto"/>
          <w:highlight w:val="none"/>
        </w:rPr>
        <w:t>めざす</w:t>
      </w:r>
      <w:r>
        <w:rPr>
          <w:rFonts w:hint="default"/>
          <w:color w:val="auto"/>
          <w:highlight w:val="none"/>
        </w:rPr>
        <w:t>としています。</w:t>
      </w:r>
    </w:p>
    <w:p>
      <w:pPr>
        <w:pStyle w:val="28"/>
        <w:rPr>
          <w:rFonts w:hint="default"/>
          <w:color w:val="auto"/>
          <w:highlight w:val="none"/>
        </w:rPr>
      </w:pPr>
      <w:r>
        <w:rPr>
          <w:rFonts w:hint="eastAsia"/>
          <w:color w:val="auto"/>
          <w:highlight w:val="none"/>
        </w:rPr>
        <w:t>本市では、「健康はつかいち２１</w:t>
      </w:r>
      <w:r>
        <w:rPr>
          <w:rFonts w:hint="default"/>
          <w:color w:val="auto"/>
          <w:highlight w:val="none"/>
        </w:rPr>
        <w:t>（第</w:t>
      </w:r>
      <w:r>
        <w:rPr>
          <w:rFonts w:hint="eastAsia"/>
          <w:color w:val="auto"/>
          <w:highlight w:val="none"/>
        </w:rPr>
        <w:t>３</w:t>
      </w:r>
      <w:r>
        <w:rPr>
          <w:rFonts w:hint="default"/>
          <w:color w:val="auto"/>
          <w:highlight w:val="none"/>
        </w:rPr>
        <w:t>次）」</w:t>
      </w:r>
      <w:r>
        <w:rPr>
          <w:rFonts w:hint="eastAsia"/>
          <w:color w:val="auto"/>
          <w:highlight w:val="none"/>
        </w:rPr>
        <w:t>に基づき、市民の健康づくりを支援する取組を推進しています。</w:t>
      </w:r>
    </w:p>
    <w:p>
      <w:pPr>
        <w:pStyle w:val="28"/>
        <w:rPr>
          <w:rFonts w:hint="default"/>
          <w:color w:val="auto"/>
          <w:highlight w:val="none"/>
        </w:rPr>
      </w:pPr>
      <w:r>
        <w:rPr>
          <w:rFonts w:hint="eastAsia"/>
          <w:color w:val="auto"/>
          <w:highlight w:val="none"/>
        </w:rPr>
        <w:t>ニーズ調査の結果では、介護・介助が必要になった要因として、「高齢による衰弱」に続いて、「骨折・転倒」、「関節の病気（リウマチ等）」が多くなっています。また、「心臓病」、「脳卒中（脳出血・脳梗塞等）」、「糖尿病」等の生活習慣病も挙がっています。</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◆◆施策の方向性◆◆</w:t>
      </w:r>
    </w:p>
    <w:p>
      <w:pPr>
        <w:pStyle w:val="28"/>
        <w:rPr>
          <w:rFonts w:hint="default"/>
          <w:color w:val="auto"/>
          <w:highlight w:val="none"/>
        </w:rPr>
      </w:pPr>
      <w:r>
        <w:rPr>
          <w:rFonts w:hint="eastAsia"/>
          <w:color w:val="auto"/>
          <w:highlight w:val="none"/>
        </w:rPr>
        <w:t>高齢者が要支援状態、要介護状態になることを予防し、健康寿命をできる限り延ばすための取組とともに、生涯にわたる生活習慣の改善を重視した健康づくりを推進します。</w:t>
      </w:r>
    </w:p>
    <w:p>
      <w:pPr>
        <w:pStyle w:val="0"/>
        <w:widowControl w:val="1"/>
        <w:jc w:val="left"/>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◆◆具体的施策◆◆</w:t>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健康づくりを支援する取組の推進</w:t>
            </w:r>
          </w:p>
        </w:tc>
      </w:tr>
      <w:tr>
        <w:trPr>
          <w:trHeight w:val="2097" w:hRule="atLeast"/>
        </w:trPr>
        <w:tc>
          <w:tcPr>
            <w:tcW w:w="8668" w:type="dxa"/>
            <w:vAlign w:val="center"/>
          </w:tcPr>
          <w:p>
            <w:pPr>
              <w:pStyle w:val="52"/>
              <w:rPr>
                <w:rFonts w:hint="default"/>
                <w:color w:val="auto"/>
                <w:highlight w:val="none"/>
              </w:rPr>
            </w:pPr>
            <w:r>
              <w:rPr>
                <w:rFonts w:hint="eastAsia"/>
                <w:color w:val="auto"/>
                <w:highlight w:val="none"/>
              </w:rPr>
              <w:t>「健康はつかいち２１</w:t>
            </w:r>
            <w:r>
              <w:rPr>
                <w:rFonts w:hint="default"/>
                <w:color w:val="auto"/>
                <w:highlight w:val="none"/>
              </w:rPr>
              <w:t>（第</w:t>
            </w:r>
            <w:r>
              <w:rPr>
                <w:rFonts w:hint="eastAsia"/>
                <w:color w:val="auto"/>
                <w:highlight w:val="none"/>
              </w:rPr>
              <w:t>３</w:t>
            </w:r>
            <w:r>
              <w:rPr>
                <w:rFonts w:hint="default"/>
                <w:color w:val="auto"/>
                <w:highlight w:val="none"/>
              </w:rPr>
              <w:t>次）」に基づき、「生活習慣の改善」「生活習慣病の発症予防・重症化予防」「生活機能の維持・向上」「自然に健康になれる</w:t>
            </w:r>
            <w:r>
              <w:rPr>
                <w:rFonts w:hint="eastAsia"/>
                <w:color w:val="auto"/>
                <w:highlight w:val="none"/>
              </w:rPr>
              <w:t>環境</w:t>
            </w:r>
            <w:r>
              <w:rPr>
                <w:rFonts w:hint="default"/>
                <w:color w:val="auto"/>
                <w:highlight w:val="none"/>
              </w:rPr>
              <w:t>づくり」を方針とし、「栄養・食生活」「身体活動・運動」「睡眠・休養　こころの健康」「喫煙」「飲酒」「歯・口腔」「生活習慣病・がん」「生活機能」「社会とのつながり・健康づくりのための基盤整備」の</w:t>
            </w:r>
            <w:r>
              <w:rPr>
                <w:rFonts w:hint="eastAsia"/>
                <w:color w:val="auto"/>
                <w:highlight w:val="none"/>
              </w:rPr>
              <w:t>９</w:t>
            </w:r>
            <w:r>
              <w:rPr>
                <w:rFonts w:hint="default"/>
                <w:color w:val="auto"/>
                <w:highlight w:val="none"/>
              </w:rPr>
              <w:t>分野ごとに施策を展開します。</w:t>
            </w:r>
          </w:p>
        </w:tc>
      </w:tr>
    </w:tbl>
    <w:p>
      <w:pPr>
        <w:pStyle w:val="0"/>
        <w:widowControl w:val="1"/>
        <w:jc w:val="left"/>
        <w:rPr>
          <w:rFonts w:hint="default"/>
          <w:color w:val="auto"/>
          <w:highlight w:val="none"/>
        </w:rPr>
      </w:pPr>
      <w:r>
        <w:rPr>
          <w:rFonts w:hint="default"/>
          <w:color w:val="auto"/>
          <w:highlight w:val="none"/>
        </w:rPr>
        <w:br w:type="page"/>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住民組織の育成と健康づくりの推進</w:t>
            </w:r>
          </w:p>
        </w:tc>
      </w:tr>
      <w:tr>
        <w:trPr>
          <w:trHeight w:val="3154" w:hRule="atLeast"/>
        </w:trPr>
        <w:tc>
          <w:tcPr>
            <w:tcW w:w="8668" w:type="dxa"/>
            <w:vAlign w:val="center"/>
          </w:tcPr>
          <w:p>
            <w:pPr>
              <w:pStyle w:val="52"/>
              <w:rPr>
                <w:rFonts w:hint="default"/>
                <w:color w:val="auto"/>
                <w:highlight w:val="none"/>
              </w:rPr>
            </w:pPr>
            <w:r>
              <w:rPr>
                <w:rFonts w:hint="eastAsia"/>
                <w:color w:val="auto"/>
                <w:highlight w:val="none"/>
              </w:rPr>
              <w:t>「社会とのつながり・健康づくりのための基盤整備」の分野では、地域での健康づくり活動を推進するために、地域のサロンなどで体操や運動を指導する「健康づくり応援団」を養成し、その活動を支援します。</w:t>
            </w:r>
          </w:p>
          <w:p>
            <w:pPr>
              <w:pStyle w:val="52"/>
              <w:rPr>
                <w:rFonts w:hint="default"/>
                <w:color w:val="auto"/>
                <w:highlight w:val="none"/>
              </w:rPr>
            </w:pPr>
            <w:r>
              <w:rPr>
                <w:rFonts w:hint="eastAsia"/>
                <w:color w:val="auto"/>
                <w:highlight w:val="none"/>
              </w:rPr>
              <w:t>また、交流ウオーキングなど地域にウオーキングを普及するための活動を行う「ウオ－キングリーダー」、食を通じた健康づくりを推進する「食生活改善推進員」、子育てを応援する「母子保健推進員（ママフレンド）」など、あらゆるライフステージにおいて市民の健康づくりを支援する人材の育成や活動の支援を行い、地域における健康づくりを推進します。</w:t>
            </w:r>
          </w:p>
        </w:tc>
      </w:tr>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生活習慣病予防の推進</w:t>
            </w:r>
          </w:p>
        </w:tc>
      </w:tr>
      <w:tr>
        <w:trPr>
          <w:trHeight w:val="1321" w:hRule="atLeast"/>
        </w:trPr>
        <w:tc>
          <w:tcPr>
            <w:tcW w:w="8668" w:type="dxa"/>
            <w:vAlign w:val="center"/>
          </w:tcPr>
          <w:p>
            <w:pPr>
              <w:pStyle w:val="52"/>
              <w:rPr>
                <w:rFonts w:hint="default"/>
                <w:color w:val="auto"/>
                <w:highlight w:val="none"/>
              </w:rPr>
            </w:pPr>
            <w:r>
              <w:rPr>
                <w:rFonts w:hint="eastAsia"/>
                <w:color w:val="auto"/>
                <w:highlight w:val="none"/>
              </w:rPr>
              <w:t>「生活習慣病・がん」の分野では、生活習慣病予防と重症化予防のため、特定健康診査、後期高齢者健康診査、がん検診、健康教育、健康相談、訪問指導などを実施し、生活習慣の改善を支援します。</w:t>
            </w:r>
          </w:p>
        </w:tc>
      </w:tr>
    </w:tbl>
    <w:p>
      <w:pPr>
        <w:pStyle w:val="28"/>
        <w:ind w:left="0" w:leftChars="0" w:firstLine="330" w:firstLineChars="150"/>
        <w:rPr>
          <w:rFonts w:hint="default"/>
          <w:b w:val="1"/>
          <w:color w:val="auto"/>
          <w:highlight w:val="none"/>
        </w:rPr>
      </w:pPr>
    </w:p>
    <w:p>
      <w:pPr>
        <w:pStyle w:val="28"/>
        <w:ind w:firstLine="0" w:firstLineChars="0"/>
        <w:rPr>
          <w:rFonts w:hint="default" w:ascii="HG丸ｺﾞｼｯｸM-PRO" w:hAnsi="HG丸ｺﾞｼｯｸM-PRO" w:eastAsia="HG丸ｺﾞｼｯｸM-PRO"/>
          <w:color w:val="auto"/>
          <w:highlight w:val="none"/>
        </w:rPr>
      </w:pPr>
      <w:r>
        <w:rPr>
          <w:rFonts w:hint="eastAsia"/>
          <w:b w:val="1"/>
          <w:color w:val="auto"/>
          <w:highlight w:val="none"/>
        </w:rPr>
        <w:t>≪施策の活動指標≫</w:t>
      </w:r>
    </w:p>
    <w:p>
      <w:pPr>
        <w:pStyle w:val="30"/>
        <w:numPr>
          <w:ilvl w:val="0"/>
          <w:numId w:val="3"/>
        </w:numPr>
        <w:spacing w:after="76" w:afterLines="0" w:afterAutospacing="0"/>
        <w:ind w:leftChars="0"/>
        <w:rPr>
          <w:rFonts w:hint="default"/>
          <w:b w:val="0"/>
          <w:color w:val="auto"/>
          <w:sz w:val="22"/>
          <w:highlight w:val="none"/>
        </w:rPr>
      </w:pPr>
      <w:r>
        <w:rPr>
          <w:rFonts w:hint="eastAsia"/>
          <w:b w:val="0"/>
          <w:color w:val="auto"/>
          <w:sz w:val="22"/>
          <w:highlight w:val="none"/>
        </w:rPr>
        <w:t>健康づくりの推進の取組</w:t>
      </w:r>
    </w:p>
    <w:tbl>
      <w:tblPr>
        <w:tblStyle w:val="81"/>
        <w:tblW w:w="8626" w:type="dxa"/>
        <w:tblInd w:w="435" w:type="dxa"/>
        <w:tblLayout w:type="fixed"/>
        <w:tblLook w:firstRow="1" w:lastRow="0" w:firstColumn="1" w:lastColumn="0" w:noHBand="0" w:noVBand="1" w:val="04A0"/>
      </w:tblPr>
      <w:tblGrid>
        <w:gridCol w:w="3300"/>
        <w:gridCol w:w="1496"/>
        <w:gridCol w:w="1277"/>
        <w:gridCol w:w="1276"/>
        <w:gridCol w:w="1277"/>
      </w:tblGrid>
      <w:tr>
        <w:trPr>
          <w:trHeight w:val="510" w:hRule="atLeast"/>
        </w:trPr>
        <w:tc>
          <w:tcPr>
            <w:tcW w:w="330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49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8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現状</w:t>
            </w:r>
          </w:p>
        </w:tc>
        <w:tc>
          <w:tcPr>
            <w:tcW w:w="12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6</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(2024</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7</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(2025</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8</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(2026</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r>
      <w:tr>
        <w:trPr>
          <w:trHeight w:val="454" w:hRule="atLeast"/>
        </w:trPr>
        <w:tc>
          <w:tcPr>
            <w:tcW w:w="330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健康づくり応援団累計養成者数</w:t>
            </w:r>
          </w:p>
        </w:tc>
        <w:tc>
          <w:tcPr>
            <w:tcW w:w="149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240</w:t>
            </w:r>
            <w:r>
              <w:rPr>
                <w:rFonts w:hint="eastAsia" w:ascii="ＭＳ Ｐゴシック" w:hAnsi="ＭＳ Ｐゴシック" w:eastAsia="ＭＳ Ｐゴシック"/>
                <w:color w:val="auto"/>
                <w:sz w:val="21"/>
                <w:highlight w:val="none"/>
              </w:rPr>
              <w:t>人</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250</w:t>
            </w:r>
            <w:r>
              <w:rPr>
                <w:rFonts w:hint="eastAsia" w:ascii="ＭＳ Ｐゴシック" w:hAnsi="ＭＳ Ｐゴシック" w:eastAsia="ＭＳ Ｐゴシック"/>
                <w:color w:val="auto"/>
                <w:sz w:val="21"/>
                <w:highlight w:val="none"/>
              </w:rPr>
              <w:t>人</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260</w:t>
            </w:r>
            <w:r>
              <w:rPr>
                <w:rFonts w:hint="eastAsia" w:ascii="ＭＳ Ｐゴシック" w:hAnsi="ＭＳ Ｐゴシック" w:eastAsia="ＭＳ Ｐゴシック"/>
                <w:color w:val="auto"/>
                <w:sz w:val="21"/>
                <w:highlight w:val="none"/>
              </w:rPr>
              <w:t>人</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270</w:t>
            </w:r>
            <w:r>
              <w:rPr>
                <w:rFonts w:hint="eastAsia" w:ascii="ＭＳ Ｐゴシック" w:hAnsi="ＭＳ Ｐゴシック" w:eastAsia="ＭＳ Ｐゴシック"/>
                <w:color w:val="auto"/>
                <w:sz w:val="21"/>
                <w:highlight w:val="none"/>
              </w:rPr>
              <w:t>人</w:t>
            </w:r>
          </w:p>
        </w:tc>
      </w:tr>
      <w:tr>
        <w:trPr>
          <w:trHeight w:val="454" w:hRule="atLeast"/>
        </w:trPr>
        <w:tc>
          <w:tcPr>
            <w:tcW w:w="330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特定健診受診率</w:t>
            </w:r>
          </w:p>
        </w:tc>
        <w:tc>
          <w:tcPr>
            <w:tcW w:w="149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37.8%</w:t>
            </w:r>
          </w:p>
          <w:p>
            <w:pPr>
              <w:pStyle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pacing w:val="12"/>
                <w:w w:val="62"/>
                <w:kern w:val="0"/>
                <w:sz w:val="16"/>
                <w:highlight w:val="none"/>
                <w:fitText w:val="1120" w:id="6"/>
              </w:rPr>
              <w:t>（令和</w:t>
            </w:r>
            <w:r>
              <w:rPr>
                <w:rFonts w:hint="eastAsia" w:ascii="ＭＳ Ｐゴシック" w:hAnsi="ＭＳ Ｐゴシック" w:eastAsia="ＭＳ Ｐゴシック"/>
                <w:color w:val="auto"/>
                <w:spacing w:val="12"/>
                <w:w w:val="62"/>
                <w:kern w:val="0"/>
                <w:sz w:val="16"/>
                <w:highlight w:val="none"/>
                <w:fitText w:val="1120" w:id="6"/>
              </w:rPr>
              <w:t>4</w:t>
            </w:r>
            <w:r>
              <w:rPr>
                <w:rFonts w:hint="eastAsia" w:ascii="ＭＳ Ｐゴシック" w:hAnsi="ＭＳ Ｐゴシック" w:eastAsia="ＭＳ Ｐゴシック"/>
                <w:color w:val="auto"/>
                <w:spacing w:val="12"/>
                <w:w w:val="62"/>
                <w:kern w:val="0"/>
                <w:sz w:val="16"/>
                <w:highlight w:val="none"/>
                <w:fitText w:val="1120" w:id="6"/>
              </w:rPr>
              <w:t>年度法定報告</w:t>
            </w:r>
            <w:r>
              <w:rPr>
                <w:rFonts w:hint="eastAsia" w:ascii="ＭＳ Ｐゴシック" w:hAnsi="ＭＳ Ｐゴシック" w:eastAsia="ＭＳ Ｐゴシック"/>
                <w:color w:val="auto"/>
                <w:spacing w:val="6"/>
                <w:w w:val="62"/>
                <w:kern w:val="0"/>
                <w:sz w:val="16"/>
                <w:highlight w:val="none"/>
                <w:fitText w:val="1120" w:id="6"/>
              </w:rPr>
              <w:t>）</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highlight w:val="none"/>
              </w:rPr>
              <w:t>60.0</w:t>
            </w:r>
            <w:r>
              <w:rPr>
                <w:rFonts w:hint="eastAsia" w:ascii="ＭＳ Ｐゴシック" w:hAnsi="ＭＳ Ｐゴシック" w:eastAsia="ＭＳ Ｐゴシック"/>
                <w:color w:val="auto"/>
                <w:highlight w:val="none"/>
              </w:rPr>
              <w:t>％</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highlight w:val="none"/>
              </w:rPr>
              <w:t>60.0</w:t>
            </w:r>
            <w:r>
              <w:rPr>
                <w:rFonts w:hint="eastAsia" w:ascii="ＭＳ Ｐゴシック" w:hAnsi="ＭＳ Ｐゴシック" w:eastAsia="ＭＳ Ｐゴシック"/>
                <w:color w:val="auto"/>
                <w:highlight w:val="none"/>
              </w:rPr>
              <w:t>％</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highlight w:val="none"/>
              </w:rPr>
              <w:t>60.0</w:t>
            </w:r>
            <w:r>
              <w:rPr>
                <w:rFonts w:hint="eastAsia" w:ascii="ＭＳ Ｐゴシック" w:hAnsi="ＭＳ Ｐゴシック" w:eastAsia="ＭＳ Ｐゴシック"/>
                <w:color w:val="auto"/>
                <w:highlight w:val="none"/>
              </w:rPr>
              <w:t>％</w:t>
            </w:r>
          </w:p>
        </w:tc>
      </w:tr>
    </w:tbl>
    <w:p>
      <w:pPr>
        <w:pStyle w:val="0"/>
        <w:autoSpaceDE w:val="0"/>
        <w:autoSpaceDN w:val="0"/>
        <w:spacing w:line="240" w:lineRule="exact"/>
        <w:rPr>
          <w:rFonts w:hint="default" w:ascii="HG丸ｺﾞｼｯｸM-PRO" w:hAnsi="HG丸ｺﾞｼｯｸM-PRO" w:eastAsia="HG丸ｺﾞｼｯｸM-PRO"/>
          <w:color w:val="auto"/>
          <w:highlight w:val="none"/>
          <w:shd w:val="clear" w:color="auto" w:themeFill="background1" w:themeFillTint="FF" w:themeFillShade="FF"/>
        </w:rPr>
      </w:pPr>
    </w:p>
    <w:p>
      <w:pPr>
        <w:pStyle w:val="41"/>
        <w:rPr>
          <w:rFonts w:hint="default"/>
          <w:color w:val="auto"/>
          <w:highlight w:val="none"/>
        </w:rPr>
      </w:pPr>
    </w:p>
    <w:p>
      <w:pPr>
        <w:pStyle w:val="0"/>
        <w:widowControl w:val="1"/>
        <w:jc w:val="left"/>
        <w:rPr>
          <w:rFonts w:hint="default"/>
          <w:color w:val="auto"/>
          <w:highlight w:val="none"/>
        </w:rPr>
      </w:pPr>
      <w:r>
        <w:rPr>
          <w:rFonts w:hint="default"/>
          <w:color w:val="auto"/>
          <w:highlight w:val="none"/>
        </w:rPr>
        <w:br w:type="page"/>
      </w:r>
    </w:p>
    <w:p>
      <w:pPr>
        <w:pStyle w:val="26"/>
        <w:spacing w:after="76" w:afterLines="0" w:afterAutospacing="0"/>
        <w:rPr>
          <w:rFonts w:hint="default"/>
          <w:color w:val="auto"/>
          <w:highlight w:val="none"/>
        </w:rPr>
      </w:pPr>
      <w:bookmarkStart w:id="120" w:name="_Toc150813548"/>
      <w:bookmarkStart w:id="121" w:name="_Toc152160666"/>
      <w:r>
        <w:rPr>
          <w:rFonts w:hint="eastAsia"/>
          <w:color w:val="auto"/>
          <w:highlight w:val="none"/>
        </w:rPr>
        <w:t>（２）</w:t>
      </w:r>
      <w:r>
        <w:rPr>
          <w:rFonts w:hint="eastAsia"/>
          <w:color w:val="auto"/>
          <w:highlight w:val="none"/>
        </w:rPr>
        <w:t xml:space="preserve"> </w:t>
      </w:r>
      <w:r>
        <w:rPr>
          <w:rFonts w:hint="eastAsia"/>
          <w:color w:val="auto"/>
          <w:highlight w:val="none"/>
        </w:rPr>
        <w:t>保健事業と介護予防の一体的実施</w:t>
      </w:r>
      <w:bookmarkEnd w:id="120"/>
      <w:bookmarkEnd w:id="121"/>
    </w:p>
    <w:p>
      <w:pPr>
        <w:pStyle w:val="50"/>
        <w:spacing w:before="114" w:beforeLines="0" w:beforeAutospacing="0" w:after="114" w:afterLines="0" w:afterAutospacing="0"/>
        <w:rPr>
          <w:rFonts w:hint="default"/>
          <w:color w:val="auto"/>
          <w:highlight w:val="none"/>
        </w:rPr>
      </w:pPr>
      <w:r>
        <w:rPr>
          <w:rFonts w:hint="eastAsia"/>
          <w:color w:val="auto"/>
          <w:highlight w:val="none"/>
        </w:rPr>
        <w:t>◆◆現状と課題◆◆</w:t>
      </w:r>
    </w:p>
    <w:p>
      <w:pPr>
        <w:pStyle w:val="0"/>
        <w:autoSpaceDE w:val="0"/>
        <w:autoSpaceDN w:val="0"/>
        <w:ind w:left="440" w:leftChars="200" w:firstLine="220" w:firstLineChars="10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医療保険制度の適正かつ効率的な運営を図るための健康保険法等の一部を改正する法律が令和２（</w:t>
      </w:r>
      <w:r>
        <w:rPr>
          <w:rFonts w:hint="eastAsia" w:ascii="BIZ UDPゴシック" w:hAnsi="BIZ UDPゴシック" w:eastAsia="BIZ UDPゴシック"/>
          <w:color w:val="auto"/>
          <w:highlight w:val="none"/>
        </w:rPr>
        <w:t>2020</w:t>
      </w:r>
      <w:r>
        <w:rPr>
          <w:rFonts w:hint="eastAsia" w:ascii="BIZ UDPゴシック" w:hAnsi="BIZ UDPゴシック" w:eastAsia="BIZ UDPゴシック"/>
          <w:color w:val="auto"/>
          <w:highlight w:val="none"/>
        </w:rPr>
        <w:t>）年４月から施行され、高齢者の心身の多様な課題に対してきめ細やかな支援を実施するため、高齢者の保健事業について、国民健康保険の保健事業と介護保険の地域支援事業の一体的な実施が開始されました。</w:t>
      </w:r>
    </w:p>
    <w:p>
      <w:pPr>
        <w:pStyle w:val="0"/>
        <w:autoSpaceDE w:val="0"/>
        <w:autoSpaceDN w:val="0"/>
        <w:ind w:left="440" w:leftChars="200" w:firstLine="220" w:firstLineChars="10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本市においては、地域の健康課題の分析や整理を行い、関係機関との連携を図りながら、令和３（</w:t>
      </w:r>
      <w:r>
        <w:rPr>
          <w:rFonts w:hint="eastAsia" w:ascii="BIZ UDPゴシック" w:hAnsi="BIZ UDPゴシック" w:eastAsia="BIZ UDPゴシック"/>
          <w:color w:val="auto"/>
          <w:highlight w:val="none"/>
        </w:rPr>
        <w:t>2021</w:t>
      </w:r>
      <w:r>
        <w:rPr>
          <w:rFonts w:hint="eastAsia" w:ascii="BIZ UDPゴシック" w:hAnsi="BIZ UDPゴシック" w:eastAsia="BIZ UDPゴシック"/>
          <w:color w:val="auto"/>
          <w:highlight w:val="none"/>
        </w:rPr>
        <w:t>）年度より吉和地域から事業を開始し、フレイル予防や生活習慣病重症化予防のための個別支援や通いの場等における健康教育と健康相談などを実施しており、対象地域を順次拡大しています。</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◆◆施策の方向性◆◆</w:t>
      </w:r>
    </w:p>
    <w:p>
      <w:pPr>
        <w:pStyle w:val="28"/>
        <w:rPr>
          <w:rFonts w:hint="default"/>
          <w:color w:val="auto"/>
          <w:highlight w:val="none"/>
        </w:rPr>
      </w:pPr>
      <w:r>
        <w:rPr>
          <w:rFonts w:hint="eastAsia"/>
          <w:color w:val="auto"/>
          <w:highlight w:val="none"/>
        </w:rPr>
        <w:t>疾病予防・重症化予防のため、運動、口腔機能向上、栄養状態の改善等のフレイル対策などの保健事業と介護予防を一体的に実施し、高齢者の健康管理を支援できるよう、さらに圏域を広げ、関係機関との体制整備を行います。</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◆◆具体的施策◆◆</w:t>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78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フレイル予防・重症化予防の取組　</w:t>
            </w:r>
          </w:p>
        </w:tc>
      </w:tr>
      <w:tr>
        <w:trPr>
          <w:trHeight w:val="2098" w:hRule="atLeast"/>
        </w:trPr>
        <w:tc>
          <w:tcPr>
            <w:tcW w:w="8788" w:type="dxa"/>
            <w:vAlign w:val="center"/>
          </w:tcPr>
          <w:p>
            <w:pPr>
              <w:pStyle w:val="52"/>
              <w:rPr>
                <w:rFonts w:hint="default"/>
                <w:color w:val="auto"/>
                <w:highlight w:val="none"/>
              </w:rPr>
            </w:pPr>
            <w:r>
              <w:rPr>
                <w:rFonts w:hint="eastAsia"/>
                <w:color w:val="auto"/>
                <w:highlight w:val="none"/>
              </w:rPr>
              <w:t>ＫＤＢ</w:t>
            </w:r>
            <w:r>
              <w:rPr>
                <w:rFonts w:hint="default"/>
                <w:color w:val="auto"/>
                <w:highlight w:val="none"/>
              </w:rPr>
              <w:t>（国保データベース）等のデータを活用して地域の健康課題の分析や対象者の把握を行い、日常生活圏域ごとの課題に応じた啓発やハイリスク者への個別支援を実施します。</w:t>
            </w:r>
          </w:p>
          <w:p>
            <w:pPr>
              <w:pStyle w:val="52"/>
              <w:rPr>
                <w:rFonts w:hint="default"/>
                <w:color w:val="auto"/>
                <w:highlight w:val="none"/>
              </w:rPr>
            </w:pPr>
            <w:r>
              <w:rPr>
                <w:rFonts w:hint="eastAsia"/>
                <w:color w:val="auto"/>
                <w:highlight w:val="none"/>
              </w:rPr>
              <w:t>日常生活圏域ごとに保健師、栄養士、歯科衛生士等の医療専門職を配置し、高齢者の保健事業と介護予防を一体的に実施する体制を整備します。</w:t>
            </w:r>
          </w:p>
        </w:tc>
      </w:tr>
      <w:tr>
        <w:trPr>
          <w:trHeight w:val="510" w:hRule="atLeast"/>
        </w:trPr>
        <w:tc>
          <w:tcPr>
            <w:tcW w:w="8788" w:type="dxa"/>
            <w:shd w:val="clear" w:color="auto" w:themeFill="accent5" w:themeFillTint="66" w:themeFillShade="FF"/>
            <w:vAlign w:val="center"/>
          </w:tcPr>
          <w:p>
            <w:pPr>
              <w:pStyle w:val="0"/>
              <w:rPr>
                <w:rFonts w:hint="default"/>
                <w:color w:val="auto"/>
                <w:highlight w:val="none"/>
              </w:rPr>
            </w:pPr>
            <w:r>
              <w:rPr>
                <w:rFonts w:hint="eastAsia"/>
                <w:color w:val="auto"/>
                <w:highlight w:val="none"/>
              </w:rPr>
              <w:t>ロコモティブシンドローム予防の推進</w:t>
            </w:r>
          </w:p>
        </w:tc>
      </w:tr>
      <w:tr>
        <w:trPr>
          <w:trHeight w:val="910" w:hRule="atLeast"/>
        </w:trPr>
        <w:tc>
          <w:tcPr>
            <w:tcW w:w="8788" w:type="dxa"/>
            <w:vAlign w:val="center"/>
          </w:tcPr>
          <w:p>
            <w:pPr>
              <w:pStyle w:val="52"/>
              <w:rPr>
                <w:rFonts w:hint="default"/>
                <w:color w:val="auto"/>
                <w:highlight w:val="none"/>
              </w:rPr>
            </w:pPr>
            <w:r>
              <w:rPr>
                <w:rFonts w:hint="eastAsia"/>
                <w:color w:val="auto"/>
                <w:highlight w:val="none"/>
              </w:rPr>
              <w:t>要介護状態の要因ともなる「ロコモティブシンドローム」について健康教育等により普及・啓発を行います。</w:t>
            </w:r>
          </w:p>
        </w:tc>
      </w:tr>
    </w:tbl>
    <w:p>
      <w:pPr>
        <w:pStyle w:val="41"/>
        <w:rPr>
          <w:rFonts w:hint="default"/>
          <w:color w:val="auto"/>
          <w:highlight w:val="none"/>
        </w:rPr>
      </w:pPr>
    </w:p>
    <w:p>
      <w:pPr>
        <w:pStyle w:val="0"/>
        <w:widowControl w:val="1"/>
        <w:jc w:val="left"/>
        <w:rPr>
          <w:rFonts w:hint="default"/>
          <w:color w:val="auto"/>
          <w:highlight w:val="none"/>
        </w:rPr>
      </w:pPr>
      <w:r>
        <w:rPr>
          <w:rFonts w:hint="default"/>
          <w:color w:val="auto"/>
          <w:highlight w:val="none"/>
        </w:rPr>
        <w:br w:type="page"/>
      </w:r>
    </w:p>
    <w:p>
      <w:pPr>
        <w:pStyle w:val="30"/>
        <w:spacing w:after="76" w:afterLines="0" w:afterAutospacing="0"/>
        <w:ind w:left="1098" w:hanging="658"/>
        <w:rPr>
          <w:rFonts w:hint="default" w:ascii="HG丸ｺﾞｼｯｸM-PRO" w:hAnsi="HG丸ｺﾞｼｯｸM-PRO" w:eastAsia="HG丸ｺﾞｼｯｸM-PRO"/>
          <w:color w:val="auto"/>
          <w:highlight w:val="none"/>
        </w:rPr>
      </w:pPr>
      <w:r>
        <w:rPr>
          <w:rFonts w:hint="eastAsia"/>
          <w:color w:val="auto"/>
          <w:highlight w:val="none"/>
        </w:rPr>
        <w:t>≪施策の活動指標≫</w:t>
      </w:r>
    </w:p>
    <w:p>
      <w:pPr>
        <w:pStyle w:val="30"/>
        <w:numPr>
          <w:ilvl w:val="0"/>
          <w:numId w:val="3"/>
        </w:numPr>
        <w:spacing w:after="76" w:afterLines="0" w:afterAutospacing="0"/>
        <w:ind w:leftChars="0"/>
        <w:rPr>
          <w:rFonts w:hint="default"/>
          <w:b w:val="0"/>
          <w:color w:val="auto"/>
          <w:sz w:val="22"/>
          <w:highlight w:val="none"/>
        </w:rPr>
      </w:pPr>
      <w:r>
        <w:rPr>
          <w:rFonts w:hint="eastAsia"/>
          <w:b w:val="0"/>
          <w:color w:val="auto"/>
          <w:sz w:val="22"/>
          <w:highlight w:val="none"/>
          <w:shd w:val="clear" w:color="auto" w:themeFill="background1" w:themeFillTint="FF" w:themeFillShade="FF"/>
        </w:rPr>
        <w:t>保健事業と介護予防の一体的実施の取組</w:t>
      </w:r>
    </w:p>
    <w:tbl>
      <w:tblPr>
        <w:tblStyle w:val="81"/>
        <w:tblW w:w="8626" w:type="dxa"/>
        <w:tblInd w:w="435" w:type="dxa"/>
        <w:tblLayout w:type="fixed"/>
        <w:tblLook w:firstRow="1" w:lastRow="0" w:firstColumn="1" w:lastColumn="0" w:noHBand="0" w:noVBand="1" w:val="04A0"/>
      </w:tblPr>
      <w:tblGrid>
        <w:gridCol w:w="3520"/>
        <w:gridCol w:w="1276"/>
        <w:gridCol w:w="1277"/>
        <w:gridCol w:w="1276"/>
        <w:gridCol w:w="1277"/>
      </w:tblGrid>
      <w:tr>
        <w:trPr>
          <w:trHeight w:val="510" w:hRule="atLeast"/>
        </w:trPr>
        <w:tc>
          <w:tcPr>
            <w:tcW w:w="352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27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現状</w:t>
            </w:r>
          </w:p>
        </w:tc>
        <w:tc>
          <w:tcPr>
            <w:tcW w:w="12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6</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(2024</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7</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(2025</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8</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(2026</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r>
      <w:tr>
        <w:trPr>
          <w:trHeight w:val="454" w:hRule="atLeast"/>
        </w:trPr>
        <w:tc>
          <w:tcPr>
            <w:tcW w:w="352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健康教育・相談実施回数</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auto"/>
                <w:sz w:val="21"/>
                <w:highlight w:val="none"/>
              </w:rPr>
            </w:pP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100</w:t>
            </w:r>
            <w:r>
              <w:rPr>
                <w:rFonts w:hint="eastAsia" w:ascii="ＭＳ Ｐゴシック" w:hAnsi="ＭＳ Ｐゴシック" w:eastAsia="ＭＳ Ｐゴシック"/>
                <w:color w:val="auto"/>
                <w:sz w:val="21"/>
                <w:highlight w:val="none"/>
              </w:rPr>
              <w:t>回</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100</w:t>
            </w:r>
            <w:r>
              <w:rPr>
                <w:rFonts w:hint="eastAsia" w:ascii="ＭＳ Ｐゴシック" w:hAnsi="ＭＳ Ｐゴシック" w:eastAsia="ＭＳ Ｐゴシック"/>
                <w:color w:val="auto"/>
                <w:sz w:val="21"/>
                <w:highlight w:val="none"/>
              </w:rPr>
              <w:t>回</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100</w:t>
            </w:r>
            <w:r>
              <w:rPr>
                <w:rFonts w:hint="eastAsia" w:ascii="ＭＳ Ｐゴシック" w:hAnsi="ＭＳ Ｐゴシック" w:eastAsia="ＭＳ Ｐゴシック"/>
                <w:color w:val="auto"/>
                <w:sz w:val="21"/>
                <w:highlight w:val="none"/>
              </w:rPr>
              <w:t>回</w:t>
            </w:r>
          </w:p>
        </w:tc>
      </w:tr>
      <w:tr>
        <w:trPr>
          <w:trHeight w:val="567" w:hRule="atLeast"/>
        </w:trPr>
        <w:tc>
          <w:tcPr>
            <w:tcW w:w="352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低栄養予防指導対象者の体重維持・改善者の割合</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95.7</w:t>
            </w:r>
            <w:r>
              <w:rPr>
                <w:rFonts w:hint="eastAsia" w:ascii="ＭＳ Ｐゴシック" w:hAnsi="ＭＳ Ｐゴシック" w:eastAsia="ＭＳ Ｐゴシック"/>
                <w:color w:val="auto"/>
                <w:sz w:val="21"/>
                <w:highlight w:val="none"/>
              </w:rPr>
              <w:t>％</w:t>
            </w:r>
          </w:p>
          <w:p>
            <w:pPr>
              <w:pStyle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14"/>
                <w:highlight w:val="none"/>
              </w:rPr>
              <w:t>（令和</w:t>
            </w:r>
            <w:r>
              <w:rPr>
                <w:rFonts w:hint="eastAsia" w:ascii="ＭＳ Ｐゴシック" w:hAnsi="ＭＳ Ｐゴシック" w:eastAsia="ＭＳ Ｐゴシック"/>
                <w:color w:val="auto"/>
                <w:sz w:val="14"/>
                <w:highlight w:val="none"/>
              </w:rPr>
              <w:t>4</w:t>
            </w:r>
            <w:r>
              <w:rPr>
                <w:rFonts w:hint="eastAsia" w:ascii="ＭＳ Ｐゴシック" w:hAnsi="ＭＳ Ｐゴシック" w:eastAsia="ＭＳ Ｐゴシック"/>
                <w:color w:val="auto"/>
                <w:sz w:val="14"/>
                <w:highlight w:val="none"/>
              </w:rPr>
              <w:t>年度）</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80.0</w:t>
            </w:r>
            <w:r>
              <w:rPr>
                <w:rFonts w:hint="eastAsia" w:ascii="ＭＳ Ｐゴシック" w:hAnsi="ＭＳ Ｐゴシック" w:eastAsia="ＭＳ Ｐゴシック"/>
                <w:color w:val="auto"/>
                <w:sz w:val="21"/>
                <w:highlight w:val="none"/>
              </w:rPr>
              <w:t>％</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80.0</w:t>
            </w:r>
            <w:r>
              <w:rPr>
                <w:rFonts w:hint="eastAsia" w:ascii="ＭＳ Ｐゴシック" w:hAnsi="ＭＳ Ｐゴシック" w:eastAsia="ＭＳ Ｐゴシック"/>
                <w:color w:val="auto"/>
                <w:sz w:val="21"/>
                <w:highlight w:val="none"/>
              </w:rPr>
              <w:t>％</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80.0</w:t>
            </w:r>
            <w:r>
              <w:rPr>
                <w:rFonts w:hint="eastAsia" w:ascii="ＭＳ Ｐゴシック" w:hAnsi="ＭＳ Ｐゴシック" w:eastAsia="ＭＳ Ｐゴシック"/>
                <w:color w:val="auto"/>
                <w:sz w:val="21"/>
                <w:highlight w:val="none"/>
              </w:rPr>
              <w:t>％</w:t>
            </w:r>
          </w:p>
        </w:tc>
      </w:tr>
      <w:tr>
        <w:trPr>
          <w:trHeight w:val="566" w:hRule="atLeast"/>
        </w:trPr>
        <w:tc>
          <w:tcPr>
            <w:tcW w:w="352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ロコモティブシンドロームの認知度</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26.8</w:t>
            </w:r>
            <w:r>
              <w:rPr>
                <w:rFonts w:hint="eastAsia" w:ascii="ＭＳ Ｐゴシック" w:hAnsi="ＭＳ Ｐゴシック" w:eastAsia="ＭＳ Ｐゴシック"/>
                <w:color w:val="auto"/>
                <w:sz w:val="21"/>
                <w:highlight w:val="none"/>
              </w:rPr>
              <w:t>％</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28.0</w:t>
            </w:r>
            <w:r>
              <w:rPr>
                <w:rFonts w:hint="eastAsia" w:ascii="ＭＳ Ｐゴシック" w:hAnsi="ＭＳ Ｐゴシック" w:eastAsia="ＭＳ Ｐゴシック"/>
                <w:color w:val="auto"/>
                <w:highlight w:val="none"/>
              </w:rPr>
              <w:t>％</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30.0</w:t>
            </w:r>
            <w:r>
              <w:rPr>
                <w:rFonts w:hint="eastAsia" w:ascii="ＭＳ Ｐゴシック" w:hAnsi="ＭＳ Ｐゴシック" w:eastAsia="ＭＳ Ｐゴシック"/>
                <w:color w:val="auto"/>
                <w:highlight w:val="none"/>
              </w:rPr>
              <w:t>％</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32.0</w:t>
            </w:r>
            <w:r>
              <w:rPr>
                <w:rFonts w:hint="eastAsia" w:ascii="ＭＳ Ｐゴシック" w:hAnsi="ＭＳ Ｐゴシック" w:eastAsia="ＭＳ Ｐゴシック"/>
                <w:color w:val="auto"/>
                <w:highlight w:val="none"/>
              </w:rPr>
              <w:t>％</w:t>
            </w:r>
          </w:p>
        </w:tc>
      </w:tr>
    </w:tbl>
    <w:p>
      <w:pPr>
        <w:pStyle w:val="41"/>
        <w:rPr>
          <w:rFonts w:hint="default"/>
          <w:color w:val="auto"/>
          <w:highlight w:val="none"/>
        </w:rPr>
      </w:pPr>
    </w:p>
    <w:p>
      <w:pPr>
        <w:pStyle w:val="41"/>
        <w:rPr>
          <w:rFonts w:hint="default"/>
          <w:color w:val="auto"/>
          <w:highlight w:val="none"/>
        </w:rPr>
      </w:pPr>
      <w:r>
        <w:rPr>
          <w:rFonts w:hint="eastAsia" w:ascii="BIZ UDPゴシック" w:hAnsi="BIZ UDPゴシック" w:eastAsia="BIZ UDPゴシック"/>
          <w:color w:val="auto"/>
          <w:highlight w:val="none"/>
        </w:rPr>
        <mc:AlternateContent>
          <mc:Choice Requires="wps">
            <w:drawing>
              <wp:anchor distT="0" distB="0" distL="203200" distR="203200" simplePos="0" relativeHeight="130" behindDoc="0" locked="0" layoutInCell="1" hidden="0" allowOverlap="1">
                <wp:simplePos x="0" y="0"/>
                <wp:positionH relativeFrom="column">
                  <wp:posOffset>0</wp:posOffset>
                </wp:positionH>
                <wp:positionV relativeFrom="paragraph">
                  <wp:posOffset>154305</wp:posOffset>
                </wp:positionV>
                <wp:extent cx="5759450" cy="1883410"/>
                <wp:effectExtent l="635" t="635" r="29845" b="10795"/>
                <wp:wrapNone/>
                <wp:docPr id="1179" name="オブジェクト 0"/>
                <a:graphic xmlns:a="http://schemas.openxmlformats.org/drawingml/2006/main">
                  <a:graphicData uri="http://schemas.microsoft.com/office/word/2010/wordprocessingShape">
                    <wps:wsp>
                      <wps:cNvPr id="1179" name="オブジェクト 0"/>
                      <wps:cNvSpPr/>
                      <wps:spPr>
                        <a:xfrm>
                          <a:off x="0" y="0"/>
                          <a:ext cx="5759450" cy="1883410"/>
                        </a:xfrm>
                        <a:prstGeom prst="roundRect">
                          <a:avLst>
                            <a:gd name="adj" fmla="val 6047"/>
                          </a:avLst>
                        </a:pr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right:16pt;mso-wrap-distance-bottom:0pt;margin-top:12.15pt;mso-position-vertical-relative:text;mso-position-horizontal-relative:text;position:absolute;height:148.30000000000001pt;mso-wrap-distance-top:0pt;width:453.5pt;mso-wrap-distance-left:16pt;margin-left:0pt;z-index:130;" o:spid="_x0000_s1179" o:allowincell="t" o:allowoverlap="t" filled="f" stroked="t" strokecolor="#32528f" strokeweight="1pt" o:spt="2" arcsize="3963f">
                <v:fill/>
                <v:stroke linestyle="single" miterlimit="8" endcap="flat" dashstyle="solid" filltype="solid"/>
                <v:textbox style="layout-flow:horizontal;"/>
                <v:imagedata o:title=""/>
                <w10:wrap type="none" anchorx="text" anchory="text"/>
              </v:roundrect>
            </w:pict>
          </mc:Fallback>
        </mc:AlternateContent>
      </w:r>
    </w:p>
    <w:p>
      <w:pPr>
        <w:pStyle w:val="0"/>
        <w:widowControl w:val="1"/>
        <w:ind w:left="440" w:leftChars="100" w:right="220" w:rightChars="100" w:hanging="220" w:hangingChars="10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《コラム》</w:t>
      </w:r>
    </w:p>
    <w:p>
      <w:pPr>
        <w:pStyle w:val="0"/>
        <w:widowControl w:val="1"/>
        <w:ind w:left="440" w:leftChars="100" w:right="220" w:rightChars="100" w:hanging="220" w:hangingChars="100"/>
        <w:rPr>
          <w:rFonts w:hint="default" w:ascii="UD デジタル 教科書体 NP-R" w:hAnsi="UD デジタル 教科書体 NP-R" w:eastAsia="UD デジタル 教科書体 NP-R"/>
          <w:color w:val="auto"/>
          <w:highlight w:val="none"/>
        </w:rPr>
      </w:pPr>
      <w:r>
        <w:rPr>
          <w:rFonts w:hint="eastAsia" w:ascii="UD デジタル 教科書体 NP-R" w:hAnsi="UD デジタル 教科書体 NP-R" w:eastAsia="UD デジタル 教科書体 NP-R"/>
          <w:color w:val="auto"/>
          <w:highlight w:val="none"/>
        </w:rPr>
        <w:t>※「フレイル」とは、加齢や疾患によって身体的・精神的なさまざまな機能が徐々に衰え、心身のストレスに脆弱ぜいじゃくになった状態のことです。適切な介入・支援により、生活機能が以前の状態に改善する可能性があるとされています。</w:t>
      </w:r>
    </w:p>
    <w:p>
      <w:pPr>
        <w:pStyle w:val="0"/>
        <w:widowControl w:val="1"/>
        <w:ind w:left="440" w:leftChars="100" w:right="220" w:rightChars="100" w:hanging="220" w:hangingChars="100"/>
        <w:rPr>
          <w:rFonts w:hint="default" w:ascii="UD デジタル 教科書体 NP-R" w:hAnsi="UD デジタル 教科書体 NP-R" w:eastAsia="UD デジタル 教科書体 NP-R"/>
          <w:color w:val="auto"/>
          <w:highlight w:val="none"/>
        </w:rPr>
      </w:pPr>
      <w:r>
        <w:rPr>
          <w:rFonts w:hint="eastAsia" w:ascii="UD デジタル 教科書体 NP-R" w:hAnsi="UD デジタル 教科書体 NP-R" w:eastAsia="UD デジタル 教科書体 NP-R"/>
          <w:color w:val="auto"/>
          <w:highlight w:val="none"/>
        </w:rPr>
        <w:t>※「ロコモティブシンドローム」とは、加齢に伴う筋力の低下や関節や脊椎の病気、骨粗しょう症などにより運動器の機能が衰えて要介護や寝たきりになってしまったり、そのリスクが高い状態のことです。</w:t>
      </w:r>
    </w:p>
    <w:p>
      <w:pPr>
        <w:pStyle w:val="0"/>
        <w:widowControl w:val="1"/>
        <w:jc w:val="left"/>
        <w:rPr>
          <w:rFonts w:hint="default"/>
          <w:color w:val="auto"/>
          <w:highlight w:val="none"/>
        </w:rPr>
      </w:pPr>
      <w:r>
        <w:rPr>
          <w:rFonts w:hint="default"/>
          <w:color w:val="auto"/>
          <w:highlight w:val="none"/>
        </w:rPr>
        <w:br w:type="page"/>
      </w:r>
    </w:p>
    <w:p>
      <w:pPr>
        <w:pStyle w:val="26"/>
        <w:spacing w:after="76" w:afterLines="0" w:afterAutospacing="0"/>
        <w:rPr>
          <w:rFonts w:hint="default"/>
          <w:color w:val="auto"/>
          <w:highlight w:val="none"/>
        </w:rPr>
      </w:pPr>
      <w:bookmarkStart w:id="122" w:name="_Toc152160667"/>
      <w:r>
        <w:rPr>
          <w:rFonts w:hint="eastAsia"/>
          <w:color w:val="auto"/>
          <w:highlight w:val="none"/>
        </w:rPr>
        <w:t>（３）</w:t>
      </w:r>
      <w:r>
        <w:rPr>
          <w:rFonts w:hint="eastAsia"/>
          <w:color w:val="auto"/>
          <w:highlight w:val="none"/>
        </w:rPr>
        <w:t xml:space="preserve"> </w:t>
      </w:r>
      <w:r>
        <w:rPr>
          <w:rFonts w:hint="eastAsia"/>
          <w:color w:val="auto"/>
          <w:highlight w:val="none"/>
        </w:rPr>
        <w:t>自立支援、介護予防・重度化防止の推進</w:t>
      </w:r>
      <w:bookmarkEnd w:id="122"/>
    </w:p>
    <w:p>
      <w:pPr>
        <w:pStyle w:val="50"/>
        <w:spacing w:before="114" w:beforeLines="0" w:beforeAutospacing="0" w:after="114" w:afterLines="0" w:afterAutospacing="0"/>
        <w:rPr>
          <w:rFonts w:hint="default"/>
          <w:color w:val="auto"/>
          <w:highlight w:val="none"/>
        </w:rPr>
      </w:pPr>
      <w:r>
        <w:rPr>
          <w:rFonts w:hint="eastAsia"/>
          <w:color w:val="auto"/>
          <w:highlight w:val="none"/>
        </w:rPr>
        <w:t>◆◆現状と課題◆◆</w:t>
      </w:r>
    </w:p>
    <w:p>
      <w:pPr>
        <w:pStyle w:val="28"/>
        <w:rPr>
          <w:rFonts w:hint="default"/>
          <w:color w:val="auto"/>
          <w:highlight w:val="none"/>
        </w:rPr>
      </w:pPr>
      <w:r>
        <w:rPr>
          <w:rFonts w:hint="eastAsia"/>
          <w:color w:val="auto"/>
          <w:highlight w:val="none"/>
        </w:rPr>
        <w:t>介護保険制度は、高齢者の有する能力に応じて自立した日常生活を送ることができるように支援することをめざしています。本市においては平成</w:t>
      </w:r>
      <w:r>
        <w:rPr>
          <w:rFonts w:hint="default"/>
          <w:color w:val="auto"/>
          <w:highlight w:val="none"/>
        </w:rPr>
        <w:t>28</w:t>
      </w:r>
      <w:r>
        <w:rPr>
          <w:rFonts w:hint="default"/>
          <w:color w:val="auto"/>
          <w:highlight w:val="none"/>
        </w:rPr>
        <w:t>（</w:t>
      </w:r>
      <w:r>
        <w:rPr>
          <w:rFonts w:hint="default"/>
          <w:color w:val="auto"/>
          <w:highlight w:val="none"/>
        </w:rPr>
        <w:t>2016</w:t>
      </w:r>
      <w:r>
        <w:rPr>
          <w:rFonts w:hint="default"/>
          <w:color w:val="auto"/>
          <w:highlight w:val="none"/>
        </w:rPr>
        <w:t>）年度から、介護予防・日常生活支援総合事業（以下</w:t>
      </w:r>
      <w:r>
        <w:rPr>
          <w:rFonts w:hint="eastAsia"/>
          <w:color w:val="auto"/>
          <w:highlight w:val="none"/>
        </w:rPr>
        <w:t>、</w:t>
      </w:r>
      <w:r>
        <w:rPr>
          <w:rFonts w:hint="default"/>
          <w:color w:val="auto"/>
          <w:highlight w:val="none"/>
        </w:rPr>
        <w:t>「総合事業」という。）として、地域の実情に応じて住民等の多様な主体の参画を得て、「介護予防・生活支援サービス事業」及び「一般介護予防事業」を実施するなど、要支援・要介護状態となることの予防、要介護状態等の軽減、悪化の防止を推進してきました。</w:t>
      </w:r>
    </w:p>
    <w:p>
      <w:pPr>
        <w:pStyle w:val="28"/>
        <w:rPr>
          <w:rFonts w:hint="default"/>
          <w:color w:val="auto"/>
          <w:highlight w:val="none"/>
        </w:rPr>
      </w:pPr>
      <w:r>
        <w:rPr>
          <w:rFonts w:hint="eastAsia"/>
          <w:color w:val="auto"/>
          <w:highlight w:val="none"/>
        </w:rPr>
        <w:t>ニーズ調査の結果では、運動器機能・口腔機能の低下や低栄養、閉じこもり等のリスクがある高齢者が多くおり、また、新型コロナウイルス感染症により、外出自粛や人との交流の機会の減少、体力の低下がみられるなど高齢者の生活全体に大きく影響を及ぼしたことがあらわれており、フレイルの進行等が懸念されます。</w:t>
      </w:r>
    </w:p>
    <w:p>
      <w:pPr>
        <w:pStyle w:val="28"/>
        <w:rPr>
          <w:rFonts w:hint="default"/>
          <w:color w:val="auto"/>
          <w:highlight w:val="none"/>
        </w:rPr>
      </w:pPr>
      <w:r>
        <w:rPr>
          <w:rFonts w:hint="eastAsia"/>
          <w:color w:val="auto"/>
          <w:highlight w:val="none"/>
        </w:rPr>
        <w:t>地域の様々な資源と連携し、高齢者の介護予防に向けた取組を展開していく必要があります。</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◆◆施策の方向性◆◆</w:t>
      </w:r>
    </w:p>
    <w:p>
      <w:pPr>
        <w:pStyle w:val="28"/>
        <w:rPr>
          <w:rFonts w:hint="default"/>
          <w:color w:val="auto"/>
          <w:highlight w:val="none"/>
        </w:rPr>
      </w:pPr>
      <w:r>
        <w:rPr>
          <w:rFonts w:hint="eastAsia"/>
          <w:color w:val="auto"/>
          <w:highlight w:val="none"/>
        </w:rPr>
        <w:t>市民や事業者など地域全体への自立支援、介護予防・重度化防止に関する啓発を行うとともに、リスクがある人への適切なサービスや支援の提供、多職種連携による取組を推進します。</w:t>
      </w:r>
    </w:p>
    <w:p>
      <w:pPr>
        <w:pStyle w:val="28"/>
        <w:rPr>
          <w:rFonts w:hint="default"/>
          <w:color w:val="auto"/>
          <w:highlight w:val="none"/>
        </w:rPr>
      </w:pPr>
      <w:r>
        <w:rPr>
          <w:rFonts w:hint="eastAsia"/>
          <w:color w:val="auto"/>
          <w:highlight w:val="none"/>
        </w:rPr>
        <w:t>あわせて、高齢者の関心や介護予防の実践を効果的・継続的とするため、医療や介護の専門職が関与した取組を行います。多様な主体によるサービスを含めた総合事業の普及・充実化に向けて、集中的に取り組みます。</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◆◆具体的施策◆◆</w:t>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介護予防・日常生活支援総合事業の充実［介護予防・生活支援サービス事業］</w:t>
            </w:r>
          </w:p>
        </w:tc>
      </w:tr>
      <w:tr>
        <w:trPr>
          <w:trHeight w:val="907" w:hRule="atLeast"/>
        </w:trPr>
        <w:tc>
          <w:tcPr>
            <w:tcW w:w="8668" w:type="dxa"/>
            <w:vAlign w:val="center"/>
          </w:tcPr>
          <w:p>
            <w:pPr>
              <w:pStyle w:val="52"/>
              <w:rPr>
                <w:rFonts w:hint="default"/>
                <w:color w:val="auto"/>
                <w:highlight w:val="none"/>
              </w:rPr>
            </w:pPr>
            <w:r>
              <w:rPr>
                <w:rFonts w:hint="eastAsia"/>
                <w:color w:val="auto"/>
                <w:highlight w:val="none"/>
              </w:rPr>
              <w:t>基本チェックリストで生活機能の低下がみられた事業対象となる高齢者及び要支援１・２の認定者（以下、「要支援者等」という。）を対象とし、本人の希望及び自立支援のために必要な範囲でサービスを提供します。</w:t>
            </w:r>
          </w:p>
          <w:p>
            <w:pPr>
              <w:pStyle w:val="52"/>
              <w:rPr>
                <w:rFonts w:hint="default"/>
                <w:color w:val="auto"/>
                <w:highlight w:val="none"/>
              </w:rPr>
            </w:pPr>
            <w:r>
              <w:rPr>
                <w:rFonts w:hint="eastAsia"/>
                <w:color w:val="auto"/>
                <w:highlight w:val="none"/>
              </w:rPr>
              <w:t>総合事業の弾力化については、住民主体型助け合いサービス（訪問Ｂ）、訪問型移動支援サービス（訪問Ｄ）、住民主体型通いの場サービス（通所Ｂ）において要介護者の受入れを柔軟に行います。</w:t>
            </w:r>
          </w:p>
        </w:tc>
      </w:tr>
    </w:tbl>
    <w:p>
      <w:pPr>
        <w:pStyle w:val="0"/>
        <w:autoSpaceDE w:val="0"/>
        <w:autoSpaceDN w:val="0"/>
        <w:spacing w:before="185" w:beforeLines="50" w:beforeAutospacing="0" w:after="74" w:afterLines="20" w:afterAutospacing="0" w:line="360" w:lineRule="exact"/>
        <w:ind w:left="669"/>
        <w:rPr>
          <w:rFonts w:hint="default" w:ascii="メイリオ" w:hAnsi="メイリオ" w:eastAsia="メイリオ"/>
          <w:color w:val="auto"/>
          <w:highlight w:val="none"/>
        </w:rPr>
      </w:pPr>
    </w:p>
    <w:p>
      <w:pPr>
        <w:pStyle w:val="0"/>
        <w:widowControl w:val="1"/>
        <w:jc w:val="left"/>
        <w:rPr>
          <w:rFonts w:hint="default" w:ascii="メイリオ" w:hAnsi="メイリオ" w:eastAsia="メイリオ"/>
          <w:color w:val="auto"/>
          <w:highlight w:val="none"/>
        </w:rPr>
      </w:pPr>
      <w:r>
        <w:rPr>
          <w:rFonts w:hint="default" w:ascii="メイリオ" w:hAnsi="メイリオ" w:eastAsia="メイリオ"/>
          <w:color w:val="auto"/>
          <w:highlight w:val="none"/>
        </w:rPr>
        <w:br w:type="page"/>
      </w:r>
    </w:p>
    <w:p>
      <w:pPr>
        <w:pStyle w:val="0"/>
        <w:autoSpaceDE w:val="0"/>
        <w:autoSpaceDN w:val="0"/>
        <w:spacing w:before="185" w:beforeLines="50" w:beforeAutospacing="0" w:after="74" w:afterLines="20" w:afterAutospacing="0" w:line="360" w:lineRule="exact"/>
        <w:ind w:left="669"/>
        <w:rPr>
          <w:rFonts w:hint="default" w:ascii="メイリオ" w:hAnsi="メイリオ" w:eastAsia="メイリオ"/>
          <w:color w:val="auto"/>
          <w:highlight w:val="none"/>
        </w:rPr>
      </w:pPr>
      <w:r>
        <w:rPr>
          <w:rFonts w:hint="eastAsia" w:ascii="メイリオ" w:hAnsi="メイリオ" w:eastAsia="メイリオ"/>
          <w:color w:val="auto"/>
          <w:highlight w:val="none"/>
        </w:rPr>
        <w:t>［介護予防・生活支援サービス事業］</w:t>
      </w:r>
    </w:p>
    <w:tbl>
      <w:tblPr>
        <w:tblStyle w:val="90"/>
        <w:tblW w:w="8632" w:type="dxa"/>
        <w:tblInd w:w="435" w:type="dxa"/>
        <w:tblLayout w:type="fixed"/>
        <w:tblLook w:firstRow="1" w:lastRow="0" w:firstColumn="1" w:lastColumn="0" w:noHBand="0" w:noVBand="1" w:val="04A0"/>
      </w:tblPr>
      <w:tblGrid>
        <w:gridCol w:w="1429"/>
        <w:gridCol w:w="2213"/>
        <w:gridCol w:w="4990"/>
      </w:tblGrid>
      <w:tr>
        <w:trPr>
          <w:trHeight w:val="1984" w:hRule="atLeast"/>
        </w:trPr>
        <w:tc>
          <w:tcPr>
            <w:tcW w:w="1429" w:type="dxa"/>
            <w:shd w:val="clear" w:color="auto" w:themeFill="accent5" w:themeFillTint="66" w:themeFillShade="FF"/>
            <w:vAlign w:val="center"/>
          </w:tcPr>
          <w:p>
            <w:pPr>
              <w:pStyle w:val="0"/>
              <w:autoSpaceDE w:val="0"/>
              <w:autoSpaceDN w:val="0"/>
              <w:spacing w:before="74" w:beforeLines="20" w:beforeAutospacing="0" w:line="320" w:lineRule="exact"/>
              <w:ind w:left="-110" w:leftChars="-50" w:right="-110" w:rightChars="-50"/>
              <w:jc w:val="center"/>
              <w:rPr>
                <w:rFonts w:hint="default"/>
                <w:color w:val="auto"/>
                <w:highlight w:val="none"/>
              </w:rPr>
            </w:pPr>
            <w:r>
              <w:rPr>
                <w:rFonts w:hint="eastAsia"/>
                <w:color w:val="auto"/>
                <w:highlight w:val="none"/>
              </w:rPr>
              <w:t>介護予防ケア</w:t>
            </w:r>
          </w:p>
          <w:p>
            <w:pPr>
              <w:pStyle w:val="0"/>
              <w:autoSpaceDE w:val="0"/>
              <w:autoSpaceDN w:val="0"/>
              <w:spacing w:line="320" w:lineRule="exact"/>
              <w:ind w:left="-110" w:leftChars="-50" w:right="-110" w:rightChars="-50"/>
              <w:jc w:val="center"/>
              <w:rPr>
                <w:rFonts w:hint="default"/>
                <w:color w:val="auto"/>
                <w:highlight w:val="none"/>
              </w:rPr>
            </w:pPr>
            <w:r>
              <w:rPr>
                <w:rFonts w:hint="eastAsia"/>
                <w:color w:val="auto"/>
                <w:highlight w:val="none"/>
              </w:rPr>
              <w:t>マネジメント</w:t>
            </w:r>
          </w:p>
          <w:p>
            <w:pPr>
              <w:pStyle w:val="0"/>
              <w:autoSpaceDE w:val="0"/>
              <w:autoSpaceDN w:val="0"/>
              <w:spacing w:line="320" w:lineRule="exact"/>
              <w:ind w:left="-110" w:leftChars="-50" w:right="-110" w:rightChars="-50"/>
              <w:jc w:val="center"/>
              <w:rPr>
                <w:rFonts w:hint="default"/>
                <w:color w:val="auto"/>
                <w:highlight w:val="none"/>
              </w:rPr>
            </w:pPr>
            <w:r>
              <w:rPr>
                <w:rFonts w:hint="eastAsia"/>
                <w:color w:val="auto"/>
                <w:highlight w:val="none"/>
              </w:rPr>
              <w:t>事業</w:t>
            </w:r>
          </w:p>
        </w:tc>
        <w:tc>
          <w:tcPr>
            <w:tcW w:w="2213" w:type="dxa"/>
            <w:vAlign w:val="center"/>
          </w:tcPr>
          <w:p>
            <w:pPr>
              <w:pStyle w:val="0"/>
              <w:autoSpaceDE w:val="0"/>
              <w:autoSpaceDN w:val="0"/>
              <w:ind w:right="152" w:rightChars="69"/>
              <w:rPr>
                <w:rFonts w:hint="default"/>
                <w:color w:val="auto"/>
                <w:highlight w:val="none"/>
              </w:rPr>
            </w:pPr>
            <w:r>
              <w:rPr>
                <w:rFonts w:hint="eastAsia"/>
                <w:color w:val="auto"/>
                <w:highlight w:val="none"/>
              </w:rPr>
              <w:t>介護予防ケア</w:t>
            </w:r>
          </w:p>
          <w:p>
            <w:pPr>
              <w:pStyle w:val="0"/>
              <w:autoSpaceDE w:val="0"/>
              <w:autoSpaceDN w:val="0"/>
              <w:ind w:right="152" w:rightChars="69"/>
              <w:rPr>
                <w:rFonts w:hint="default"/>
                <w:color w:val="auto"/>
                <w:highlight w:val="none"/>
              </w:rPr>
            </w:pPr>
            <w:r>
              <w:rPr>
                <w:rFonts w:hint="eastAsia"/>
                <w:color w:val="auto"/>
                <w:highlight w:val="none"/>
              </w:rPr>
              <w:t>マネジメント</w:t>
            </w:r>
          </w:p>
        </w:tc>
        <w:tc>
          <w:tcPr>
            <w:tcW w:w="4990" w:type="dxa"/>
            <w:vAlign w:val="center"/>
          </w:tcPr>
          <w:p>
            <w:pPr>
              <w:pStyle w:val="0"/>
              <w:autoSpaceDE w:val="0"/>
              <w:autoSpaceDN w:val="0"/>
              <w:spacing w:line="320" w:lineRule="exact"/>
              <w:ind w:firstLine="220" w:firstLineChars="100"/>
              <w:rPr>
                <w:rFonts w:hint="default"/>
                <w:color w:val="auto"/>
                <w:highlight w:val="none"/>
              </w:rPr>
            </w:pPr>
            <w:r>
              <w:rPr>
                <w:rFonts w:hint="eastAsia"/>
                <w:color w:val="auto"/>
                <w:highlight w:val="none"/>
              </w:rPr>
              <w:t>適切なアセスメントに基づき、高齢者の自立に向けて設定された目標の達成をめざします。利用者の生活上の困りごとに対して、単にできないことを補うのではなく、高齢者の自立支援や介護予防に資するよう、専門的支援により生活機能の維持改善を図ります。</w:t>
            </w:r>
          </w:p>
        </w:tc>
      </w:tr>
      <w:tr>
        <w:trPr>
          <w:trHeight w:val="964" w:hRule="atLeast"/>
        </w:trPr>
        <w:tc>
          <w:tcPr>
            <w:tcW w:w="1429" w:type="dxa"/>
            <w:vMerge w:val="restart"/>
            <w:shd w:val="clear" w:color="auto" w:themeFill="accent5" w:themeFillTint="66" w:themeFillShade="FF"/>
            <w:vAlign w:val="center"/>
          </w:tcPr>
          <w:p>
            <w:pPr>
              <w:pStyle w:val="0"/>
              <w:autoSpaceDE w:val="0"/>
              <w:autoSpaceDN w:val="0"/>
              <w:spacing w:line="340" w:lineRule="exact"/>
              <w:jc w:val="center"/>
              <w:rPr>
                <w:rFonts w:hint="default"/>
                <w:color w:val="auto"/>
                <w:highlight w:val="none"/>
              </w:rPr>
            </w:pPr>
            <w:r>
              <w:rPr>
                <w:rFonts w:hint="eastAsia"/>
                <w:color w:val="auto"/>
                <w:highlight w:val="none"/>
              </w:rPr>
              <w:t>訪問型</w:t>
            </w:r>
          </w:p>
          <w:p>
            <w:pPr>
              <w:pStyle w:val="0"/>
              <w:autoSpaceDE w:val="0"/>
              <w:autoSpaceDN w:val="0"/>
              <w:spacing w:line="340" w:lineRule="exact"/>
              <w:jc w:val="center"/>
              <w:rPr>
                <w:rFonts w:hint="default"/>
                <w:color w:val="auto"/>
                <w:highlight w:val="none"/>
              </w:rPr>
            </w:pPr>
            <w:r>
              <w:rPr>
                <w:rFonts w:hint="eastAsia"/>
                <w:color w:val="auto"/>
                <w:highlight w:val="none"/>
              </w:rPr>
              <w:t>サービス</w:t>
            </w:r>
          </w:p>
        </w:tc>
        <w:tc>
          <w:tcPr>
            <w:tcW w:w="2213" w:type="dxa"/>
            <w:vAlign w:val="center"/>
          </w:tcPr>
          <w:p>
            <w:pPr>
              <w:pStyle w:val="0"/>
              <w:autoSpaceDE w:val="0"/>
              <w:autoSpaceDN w:val="0"/>
              <w:spacing w:line="340" w:lineRule="exact"/>
              <w:rPr>
                <w:rFonts w:hint="default"/>
                <w:color w:val="auto"/>
                <w:highlight w:val="none"/>
              </w:rPr>
            </w:pPr>
            <w:r>
              <w:rPr>
                <w:rFonts w:hint="eastAsia"/>
                <w:color w:val="auto"/>
                <w:highlight w:val="none"/>
              </w:rPr>
              <w:t>訪問介護型サービス</w:t>
            </w:r>
          </w:p>
          <w:p>
            <w:pPr>
              <w:pStyle w:val="0"/>
              <w:autoSpaceDE w:val="0"/>
              <w:autoSpaceDN w:val="0"/>
              <w:spacing w:line="340" w:lineRule="exact"/>
              <w:rPr>
                <w:rFonts w:hint="default"/>
                <w:color w:val="auto"/>
                <w:highlight w:val="none"/>
              </w:rPr>
            </w:pPr>
            <w:r>
              <w:rPr>
                <w:rFonts w:hint="eastAsia"/>
                <w:color w:val="auto"/>
                <w:highlight w:val="none"/>
              </w:rPr>
              <w:t>（従前相当）</w:t>
            </w:r>
          </w:p>
        </w:tc>
        <w:tc>
          <w:tcPr>
            <w:tcW w:w="4990" w:type="dxa"/>
            <w:vAlign w:val="center"/>
          </w:tcPr>
          <w:p>
            <w:pPr>
              <w:pStyle w:val="0"/>
              <w:autoSpaceDE w:val="0"/>
              <w:autoSpaceDN w:val="0"/>
              <w:spacing w:line="320" w:lineRule="exact"/>
              <w:ind w:firstLine="220" w:firstLineChars="100"/>
              <w:rPr>
                <w:rFonts w:hint="default"/>
                <w:color w:val="auto"/>
                <w:highlight w:val="none"/>
              </w:rPr>
            </w:pPr>
            <w:r>
              <w:rPr>
                <w:rFonts w:hint="eastAsia"/>
                <w:color w:val="auto"/>
                <w:highlight w:val="none"/>
              </w:rPr>
              <w:t>身体介護が必要とされた要支援者等を対象とし、訪問介護員による身体介護および生活介護を実施します。</w:t>
            </w:r>
          </w:p>
        </w:tc>
      </w:tr>
      <w:tr>
        <w:trPr>
          <w:trHeight w:val="1644" w:hRule="atLeast"/>
        </w:trPr>
        <w:tc>
          <w:tcPr>
            <w:tcW w:w="1429" w:type="dxa"/>
            <w:vMerge w:val="continue"/>
            <w:shd w:val="clear" w:color="auto" w:themeFill="accent5" w:themeFillTint="66" w:themeFillShade="FF"/>
            <w:vAlign w:val="center"/>
          </w:tcPr>
          <w:p>
            <w:pPr>
              <w:pStyle w:val="0"/>
              <w:rPr>
                <w:rFonts w:hint="default"/>
              </w:rPr>
            </w:pPr>
          </w:p>
        </w:tc>
        <w:tc>
          <w:tcPr>
            <w:tcW w:w="2213" w:type="dxa"/>
            <w:vAlign w:val="center"/>
          </w:tcPr>
          <w:p>
            <w:pPr>
              <w:pStyle w:val="0"/>
              <w:autoSpaceDE w:val="0"/>
              <w:autoSpaceDN w:val="0"/>
              <w:spacing w:line="340" w:lineRule="exact"/>
              <w:rPr>
                <w:rFonts w:hint="default"/>
                <w:color w:val="auto"/>
                <w:highlight w:val="none"/>
              </w:rPr>
            </w:pPr>
            <w:r>
              <w:rPr>
                <w:rFonts w:hint="eastAsia"/>
                <w:color w:val="auto"/>
                <w:highlight w:val="none"/>
              </w:rPr>
              <w:t>生活援助型訪問</w:t>
            </w:r>
          </w:p>
          <w:p>
            <w:pPr>
              <w:pStyle w:val="0"/>
              <w:autoSpaceDE w:val="0"/>
              <w:autoSpaceDN w:val="0"/>
              <w:spacing w:line="340" w:lineRule="exact"/>
              <w:rPr>
                <w:rFonts w:hint="default"/>
                <w:color w:val="auto"/>
                <w:highlight w:val="none"/>
              </w:rPr>
            </w:pPr>
            <w:r>
              <w:rPr>
                <w:rFonts w:hint="eastAsia"/>
                <w:color w:val="auto"/>
                <w:highlight w:val="none"/>
              </w:rPr>
              <w:t>サービス（訪問Ａ）</w:t>
            </w:r>
          </w:p>
        </w:tc>
        <w:tc>
          <w:tcPr>
            <w:tcW w:w="4990" w:type="dxa"/>
            <w:vAlign w:val="center"/>
          </w:tcPr>
          <w:p>
            <w:pPr>
              <w:pStyle w:val="0"/>
              <w:autoSpaceDE w:val="0"/>
              <w:autoSpaceDN w:val="0"/>
              <w:spacing w:line="320" w:lineRule="exact"/>
              <w:ind w:firstLine="220" w:firstLineChars="100"/>
              <w:rPr>
                <w:rFonts w:hint="default"/>
                <w:color w:val="auto"/>
                <w:highlight w:val="none"/>
              </w:rPr>
            </w:pPr>
            <w:r>
              <w:rPr>
                <w:rFonts w:hint="eastAsia"/>
                <w:color w:val="auto"/>
                <w:highlight w:val="none"/>
              </w:rPr>
              <w:t>身体介護を除く自立支援・介護予防に資する生活援助が必要な要支援者等を対象とし、訪問介護員及び廿日市市介護予防・生活支援員（市が定める養成研修を修了した者）による生活援助を実施します。</w:t>
            </w:r>
          </w:p>
        </w:tc>
      </w:tr>
      <w:tr>
        <w:trPr>
          <w:trHeight w:val="964" w:hRule="atLeast"/>
        </w:trPr>
        <w:tc>
          <w:tcPr>
            <w:tcW w:w="1429" w:type="dxa"/>
            <w:vMerge w:val="continue"/>
            <w:shd w:val="clear" w:color="auto" w:themeFill="accent5" w:themeFillTint="66" w:themeFillShade="FF"/>
            <w:vAlign w:val="center"/>
          </w:tcPr>
          <w:p>
            <w:pPr>
              <w:pStyle w:val="0"/>
              <w:rPr>
                <w:rFonts w:hint="default"/>
              </w:rPr>
            </w:pPr>
          </w:p>
        </w:tc>
        <w:tc>
          <w:tcPr>
            <w:tcW w:w="2213" w:type="dxa"/>
            <w:vAlign w:val="center"/>
          </w:tcPr>
          <w:p>
            <w:pPr>
              <w:pStyle w:val="0"/>
              <w:autoSpaceDE w:val="0"/>
              <w:autoSpaceDN w:val="0"/>
              <w:spacing w:line="340" w:lineRule="exact"/>
              <w:rPr>
                <w:rFonts w:hint="default"/>
                <w:color w:val="auto"/>
                <w:highlight w:val="none"/>
              </w:rPr>
            </w:pPr>
            <w:r>
              <w:rPr>
                <w:rFonts w:hint="eastAsia"/>
                <w:color w:val="auto"/>
                <w:highlight w:val="none"/>
              </w:rPr>
              <w:t>住民主体型助け合い</w:t>
            </w:r>
          </w:p>
          <w:p>
            <w:pPr>
              <w:pStyle w:val="0"/>
              <w:autoSpaceDE w:val="0"/>
              <w:autoSpaceDN w:val="0"/>
              <w:spacing w:line="340" w:lineRule="exact"/>
              <w:rPr>
                <w:rFonts w:hint="default"/>
                <w:color w:val="auto"/>
                <w:highlight w:val="none"/>
              </w:rPr>
            </w:pPr>
            <w:r>
              <w:rPr>
                <w:rFonts w:hint="eastAsia"/>
                <w:color w:val="auto"/>
                <w:highlight w:val="none"/>
              </w:rPr>
              <w:t>サービス（訪問Ｂ）</w:t>
            </w:r>
          </w:p>
        </w:tc>
        <w:tc>
          <w:tcPr>
            <w:tcW w:w="4990" w:type="dxa"/>
            <w:vAlign w:val="center"/>
          </w:tcPr>
          <w:p>
            <w:pPr>
              <w:pStyle w:val="0"/>
              <w:autoSpaceDE w:val="0"/>
              <w:autoSpaceDN w:val="0"/>
              <w:spacing w:line="320" w:lineRule="exact"/>
              <w:ind w:firstLine="220" w:firstLineChars="100"/>
              <w:rPr>
                <w:rFonts w:hint="default"/>
                <w:color w:val="auto"/>
                <w:highlight w:val="none"/>
              </w:rPr>
            </w:pPr>
            <w:r>
              <w:rPr>
                <w:rFonts w:hint="eastAsia"/>
                <w:color w:val="auto"/>
                <w:highlight w:val="none"/>
              </w:rPr>
              <w:t>有償ボランティアが庭そうじ、草むしり、ゴミの片づけ、電球の交換、季節物の入れ替え等を行います。</w:t>
            </w:r>
          </w:p>
        </w:tc>
      </w:tr>
      <w:tr>
        <w:trPr>
          <w:trHeight w:val="1304" w:hRule="atLeast"/>
        </w:trPr>
        <w:tc>
          <w:tcPr>
            <w:tcW w:w="1429" w:type="dxa"/>
            <w:vMerge w:val="continue"/>
            <w:shd w:val="clear" w:color="auto" w:themeFill="accent5" w:themeFillTint="66" w:themeFillShade="FF"/>
            <w:vAlign w:val="center"/>
          </w:tcPr>
          <w:p>
            <w:pPr>
              <w:pStyle w:val="0"/>
              <w:rPr>
                <w:rFonts w:hint="default"/>
              </w:rPr>
            </w:pPr>
          </w:p>
        </w:tc>
        <w:tc>
          <w:tcPr>
            <w:tcW w:w="2213" w:type="dxa"/>
            <w:vAlign w:val="center"/>
          </w:tcPr>
          <w:p>
            <w:pPr>
              <w:pStyle w:val="0"/>
              <w:autoSpaceDE w:val="0"/>
              <w:autoSpaceDN w:val="0"/>
              <w:spacing w:line="340" w:lineRule="exact"/>
              <w:rPr>
                <w:rFonts w:hint="default"/>
                <w:color w:val="auto"/>
                <w:highlight w:val="none"/>
              </w:rPr>
            </w:pPr>
            <w:r>
              <w:rPr>
                <w:rFonts w:hint="eastAsia"/>
                <w:color w:val="auto"/>
                <w:highlight w:val="none"/>
              </w:rPr>
              <w:t>短期集中型訪問</w:t>
            </w:r>
          </w:p>
          <w:p>
            <w:pPr>
              <w:pStyle w:val="0"/>
              <w:autoSpaceDE w:val="0"/>
              <w:autoSpaceDN w:val="0"/>
              <w:spacing w:line="340" w:lineRule="exact"/>
              <w:rPr>
                <w:rFonts w:hint="default"/>
                <w:color w:val="auto"/>
                <w:highlight w:val="none"/>
              </w:rPr>
            </w:pPr>
            <w:r>
              <w:rPr>
                <w:rFonts w:hint="eastAsia"/>
                <w:color w:val="auto"/>
                <w:highlight w:val="none"/>
              </w:rPr>
              <w:t>サービス（訪問Ｃ）</w:t>
            </w:r>
          </w:p>
        </w:tc>
        <w:tc>
          <w:tcPr>
            <w:tcW w:w="4990" w:type="dxa"/>
            <w:vAlign w:val="center"/>
          </w:tcPr>
          <w:p>
            <w:pPr>
              <w:pStyle w:val="0"/>
              <w:autoSpaceDE w:val="0"/>
              <w:autoSpaceDN w:val="0"/>
              <w:spacing w:line="320" w:lineRule="exact"/>
              <w:ind w:firstLine="220" w:firstLineChars="100"/>
              <w:rPr>
                <w:rFonts w:hint="default"/>
                <w:color w:val="auto"/>
                <w:highlight w:val="none"/>
              </w:rPr>
            </w:pPr>
            <w:r>
              <w:rPr>
                <w:rFonts w:hint="eastAsia"/>
                <w:color w:val="auto"/>
                <w:highlight w:val="none"/>
              </w:rPr>
              <w:t>リハビリ専門職、管理栄養士等が利用者の自宅を訪問し、３～６か月以内の短期間で身体等の機能改善や生活の自立をめざした助言や指導を行います。</w:t>
            </w:r>
          </w:p>
        </w:tc>
      </w:tr>
      <w:tr>
        <w:trPr>
          <w:trHeight w:val="1020" w:hRule="atLeast"/>
        </w:trPr>
        <w:tc>
          <w:tcPr>
            <w:tcW w:w="1429" w:type="dxa"/>
            <w:vMerge w:val="continue"/>
            <w:shd w:val="clear" w:color="auto" w:themeFill="accent5" w:themeFillTint="66" w:themeFillShade="FF"/>
            <w:vAlign w:val="center"/>
          </w:tcPr>
          <w:p>
            <w:pPr>
              <w:pStyle w:val="0"/>
              <w:rPr>
                <w:rFonts w:hint="default"/>
              </w:rPr>
            </w:pPr>
          </w:p>
        </w:tc>
        <w:tc>
          <w:tcPr>
            <w:tcW w:w="2213" w:type="dxa"/>
            <w:vAlign w:val="center"/>
          </w:tcPr>
          <w:p>
            <w:pPr>
              <w:pStyle w:val="0"/>
              <w:rPr>
                <w:rFonts w:hint="default"/>
                <w:color w:val="auto"/>
                <w:highlight w:val="none"/>
              </w:rPr>
            </w:pPr>
            <w:r>
              <w:rPr>
                <w:rFonts w:hint="eastAsia"/>
                <w:color w:val="auto"/>
                <w:highlight w:val="none"/>
              </w:rPr>
              <w:t>訪問型移動支援</w:t>
            </w:r>
          </w:p>
          <w:p>
            <w:pPr>
              <w:pStyle w:val="0"/>
              <w:rPr>
                <w:rFonts w:hint="default"/>
                <w:color w:val="auto"/>
                <w:highlight w:val="none"/>
              </w:rPr>
            </w:pPr>
            <w:r>
              <w:rPr>
                <w:rFonts w:hint="eastAsia"/>
                <w:color w:val="auto"/>
                <w:highlight w:val="none"/>
              </w:rPr>
              <w:t>サービス（訪問Ｄ）</w:t>
            </w:r>
          </w:p>
        </w:tc>
        <w:tc>
          <w:tcPr>
            <w:tcW w:w="4990" w:type="dxa"/>
            <w:vAlign w:val="center"/>
          </w:tcPr>
          <w:p>
            <w:pPr>
              <w:pStyle w:val="0"/>
              <w:ind w:firstLine="220" w:firstLineChars="100"/>
              <w:rPr>
                <w:rFonts w:hint="default"/>
                <w:color w:val="auto"/>
                <w:highlight w:val="none"/>
              </w:rPr>
            </w:pPr>
            <w:r>
              <w:rPr>
                <w:rFonts w:hint="eastAsia"/>
                <w:color w:val="auto"/>
                <w:highlight w:val="none"/>
              </w:rPr>
              <w:t>介護予防を目的とした地域の通いの場や高齢者サロン、認知症カフェ等へ参加するための送迎を行います。</w:t>
            </w:r>
          </w:p>
        </w:tc>
      </w:tr>
      <w:tr>
        <w:trPr>
          <w:trHeight w:val="964" w:hRule="atLeast"/>
        </w:trPr>
        <w:tc>
          <w:tcPr>
            <w:tcW w:w="1429" w:type="dxa"/>
            <w:vMerge w:val="restart"/>
            <w:shd w:val="clear" w:color="auto" w:themeFill="accent5" w:themeFillTint="66" w:themeFillShade="FF"/>
            <w:vAlign w:val="center"/>
          </w:tcPr>
          <w:p>
            <w:pPr>
              <w:pStyle w:val="0"/>
              <w:autoSpaceDE w:val="0"/>
              <w:autoSpaceDN w:val="0"/>
              <w:spacing w:line="340" w:lineRule="exact"/>
              <w:jc w:val="center"/>
              <w:rPr>
                <w:rFonts w:hint="default"/>
                <w:color w:val="auto"/>
                <w:highlight w:val="none"/>
              </w:rPr>
            </w:pPr>
            <w:r>
              <w:rPr>
                <w:rFonts w:hint="eastAsia"/>
                <w:color w:val="auto"/>
                <w:highlight w:val="none"/>
              </w:rPr>
              <w:t>通所型</w:t>
            </w:r>
          </w:p>
          <w:p>
            <w:pPr>
              <w:pStyle w:val="0"/>
              <w:autoSpaceDE w:val="0"/>
              <w:autoSpaceDN w:val="0"/>
              <w:spacing w:line="340" w:lineRule="exact"/>
              <w:jc w:val="center"/>
              <w:rPr>
                <w:rFonts w:hint="default"/>
                <w:color w:val="auto"/>
                <w:highlight w:val="none"/>
              </w:rPr>
            </w:pPr>
            <w:r>
              <w:rPr>
                <w:rFonts w:hint="eastAsia"/>
                <w:color w:val="auto"/>
                <w:highlight w:val="none"/>
              </w:rPr>
              <w:t>サービス</w:t>
            </w:r>
          </w:p>
        </w:tc>
        <w:tc>
          <w:tcPr>
            <w:tcW w:w="2213" w:type="dxa"/>
            <w:vAlign w:val="center"/>
          </w:tcPr>
          <w:p>
            <w:pPr>
              <w:pStyle w:val="0"/>
              <w:autoSpaceDE w:val="0"/>
              <w:autoSpaceDN w:val="0"/>
              <w:spacing w:line="340" w:lineRule="exact"/>
              <w:rPr>
                <w:rFonts w:hint="default"/>
                <w:color w:val="auto"/>
                <w:highlight w:val="none"/>
              </w:rPr>
            </w:pPr>
            <w:r>
              <w:rPr>
                <w:rFonts w:hint="eastAsia"/>
                <w:color w:val="auto"/>
                <w:highlight w:val="none"/>
              </w:rPr>
              <w:t>通所介護型サービス</w:t>
            </w:r>
          </w:p>
          <w:p>
            <w:pPr>
              <w:pStyle w:val="0"/>
              <w:autoSpaceDE w:val="0"/>
              <w:autoSpaceDN w:val="0"/>
              <w:spacing w:line="340" w:lineRule="exact"/>
              <w:rPr>
                <w:rFonts w:hint="default"/>
                <w:color w:val="auto"/>
                <w:highlight w:val="none"/>
              </w:rPr>
            </w:pPr>
            <w:r>
              <w:rPr>
                <w:rFonts w:hint="eastAsia"/>
                <w:color w:val="auto"/>
                <w:highlight w:val="none"/>
              </w:rPr>
              <w:t>（従前相当）</w:t>
            </w:r>
          </w:p>
        </w:tc>
        <w:tc>
          <w:tcPr>
            <w:tcW w:w="4990" w:type="dxa"/>
            <w:vAlign w:val="center"/>
          </w:tcPr>
          <w:p>
            <w:pPr>
              <w:pStyle w:val="0"/>
              <w:autoSpaceDE w:val="0"/>
              <w:autoSpaceDN w:val="0"/>
              <w:spacing w:line="320" w:lineRule="exact"/>
              <w:ind w:firstLine="220" w:firstLineChars="100"/>
              <w:rPr>
                <w:rFonts w:hint="default"/>
                <w:color w:val="auto"/>
                <w:highlight w:val="none"/>
              </w:rPr>
            </w:pPr>
            <w:r>
              <w:rPr>
                <w:rFonts w:hint="eastAsia"/>
                <w:color w:val="auto"/>
                <w:highlight w:val="none"/>
              </w:rPr>
              <w:t>３時間以上の利用あるいは入浴介助が必要とされた要支援者等を対象とし、生活機能向上のための機能訓練等を実施します。</w:t>
            </w:r>
          </w:p>
        </w:tc>
      </w:tr>
      <w:tr>
        <w:trPr>
          <w:trHeight w:val="680" w:hRule="atLeast"/>
        </w:trPr>
        <w:tc>
          <w:tcPr>
            <w:tcW w:w="1429" w:type="dxa"/>
            <w:vMerge w:val="continue"/>
            <w:shd w:val="clear" w:color="auto" w:themeFill="accent5" w:themeFillTint="66" w:themeFillShade="FF"/>
            <w:vAlign w:val="center"/>
          </w:tcPr>
          <w:p>
            <w:pPr>
              <w:pStyle w:val="0"/>
              <w:autoSpaceDE w:val="0"/>
              <w:autoSpaceDN w:val="0"/>
              <w:rPr>
                <w:rFonts w:hint="default"/>
              </w:rPr>
            </w:pPr>
          </w:p>
        </w:tc>
        <w:tc>
          <w:tcPr>
            <w:tcW w:w="2213" w:type="dxa"/>
            <w:vAlign w:val="center"/>
          </w:tcPr>
          <w:p>
            <w:pPr>
              <w:pStyle w:val="0"/>
              <w:autoSpaceDE w:val="0"/>
              <w:autoSpaceDN w:val="0"/>
              <w:spacing w:line="340" w:lineRule="exact"/>
              <w:rPr>
                <w:rFonts w:hint="default"/>
                <w:color w:val="auto"/>
                <w:highlight w:val="none"/>
              </w:rPr>
            </w:pPr>
            <w:r>
              <w:rPr>
                <w:rFonts w:hint="eastAsia"/>
                <w:color w:val="auto"/>
                <w:highlight w:val="none"/>
              </w:rPr>
              <w:t>短時間型デイ</w:t>
            </w:r>
          </w:p>
          <w:p>
            <w:pPr>
              <w:pStyle w:val="0"/>
              <w:autoSpaceDE w:val="0"/>
              <w:autoSpaceDN w:val="0"/>
              <w:spacing w:line="340" w:lineRule="exact"/>
              <w:rPr>
                <w:rFonts w:hint="default"/>
                <w:color w:val="auto"/>
                <w:highlight w:val="none"/>
              </w:rPr>
            </w:pPr>
            <w:r>
              <w:rPr>
                <w:rFonts w:hint="eastAsia"/>
                <w:color w:val="auto"/>
                <w:highlight w:val="none"/>
              </w:rPr>
              <w:t>サービス（通所Ａ）</w:t>
            </w:r>
          </w:p>
        </w:tc>
        <w:tc>
          <w:tcPr>
            <w:tcW w:w="4990" w:type="dxa"/>
            <w:vAlign w:val="center"/>
          </w:tcPr>
          <w:p>
            <w:pPr>
              <w:pStyle w:val="0"/>
              <w:autoSpaceDE w:val="0"/>
              <w:autoSpaceDN w:val="0"/>
              <w:spacing w:line="320" w:lineRule="exact"/>
              <w:ind w:firstLine="220" w:firstLineChars="100"/>
              <w:rPr>
                <w:rFonts w:hint="default"/>
                <w:color w:val="auto"/>
                <w:highlight w:val="none"/>
              </w:rPr>
            </w:pPr>
            <w:r>
              <w:rPr>
                <w:rFonts w:hint="eastAsia"/>
                <w:color w:val="auto"/>
                <w:highlight w:val="none"/>
              </w:rPr>
              <w:t>２時間以上３時間未満の機能訓練等（入浴は除く）を実施します。</w:t>
            </w:r>
          </w:p>
        </w:tc>
      </w:tr>
      <w:tr>
        <w:trPr>
          <w:trHeight w:val="1304" w:hRule="atLeast"/>
        </w:trPr>
        <w:tc>
          <w:tcPr>
            <w:tcW w:w="1429" w:type="dxa"/>
            <w:vMerge w:val="continue"/>
            <w:shd w:val="clear" w:color="auto" w:themeFill="accent5" w:themeFillTint="66" w:themeFillShade="FF"/>
            <w:vAlign w:val="center"/>
          </w:tcPr>
          <w:p>
            <w:pPr>
              <w:pStyle w:val="0"/>
              <w:rPr>
                <w:rFonts w:hint="default"/>
              </w:rPr>
            </w:pPr>
          </w:p>
        </w:tc>
        <w:tc>
          <w:tcPr>
            <w:tcW w:w="2213" w:type="dxa"/>
            <w:vAlign w:val="center"/>
          </w:tcPr>
          <w:p>
            <w:pPr>
              <w:pStyle w:val="0"/>
              <w:autoSpaceDE w:val="0"/>
              <w:autoSpaceDN w:val="0"/>
              <w:spacing w:line="340" w:lineRule="exact"/>
              <w:rPr>
                <w:rFonts w:hint="default"/>
                <w:color w:val="auto"/>
                <w:highlight w:val="none"/>
              </w:rPr>
            </w:pPr>
            <w:r>
              <w:rPr>
                <w:rFonts w:hint="eastAsia"/>
                <w:color w:val="auto"/>
                <w:highlight w:val="none"/>
              </w:rPr>
              <w:t>住民主体型通いの場</w:t>
            </w:r>
          </w:p>
          <w:p>
            <w:pPr>
              <w:pStyle w:val="0"/>
              <w:autoSpaceDE w:val="0"/>
              <w:autoSpaceDN w:val="0"/>
              <w:spacing w:line="340" w:lineRule="exact"/>
              <w:rPr>
                <w:rFonts w:hint="default"/>
                <w:color w:val="auto"/>
                <w:highlight w:val="none"/>
              </w:rPr>
            </w:pPr>
            <w:r>
              <w:rPr>
                <w:rFonts w:hint="eastAsia"/>
                <w:color w:val="auto"/>
                <w:highlight w:val="none"/>
              </w:rPr>
              <w:t>サービス（通所Ｂ）</w:t>
            </w:r>
          </w:p>
          <w:p>
            <w:pPr>
              <w:pStyle w:val="0"/>
              <w:autoSpaceDE w:val="0"/>
              <w:autoSpaceDN w:val="0"/>
              <w:spacing w:line="340" w:lineRule="exact"/>
              <w:rPr>
                <w:rFonts w:hint="default"/>
                <w:color w:val="auto"/>
                <w:highlight w:val="none"/>
              </w:rPr>
            </w:pPr>
            <w:r>
              <w:rPr>
                <w:rFonts w:hint="eastAsia"/>
                <w:color w:val="auto"/>
                <w:highlight w:val="none"/>
              </w:rPr>
              <w:t>廿らつサロン</w:t>
            </w:r>
          </w:p>
        </w:tc>
        <w:tc>
          <w:tcPr>
            <w:tcW w:w="4990" w:type="dxa"/>
            <w:vAlign w:val="center"/>
          </w:tcPr>
          <w:p>
            <w:pPr>
              <w:pStyle w:val="0"/>
              <w:autoSpaceDE w:val="0"/>
              <w:autoSpaceDN w:val="0"/>
              <w:spacing w:line="320" w:lineRule="exact"/>
              <w:ind w:firstLine="220" w:firstLineChars="100"/>
              <w:rPr>
                <w:rFonts w:hint="default"/>
                <w:color w:val="auto"/>
                <w:highlight w:val="none"/>
              </w:rPr>
            </w:pPr>
            <w:r>
              <w:rPr>
                <w:rFonts w:hint="eastAsia"/>
                <w:color w:val="auto"/>
                <w:highlight w:val="none"/>
              </w:rPr>
              <w:t>住民運営の週１回の通いの場で、地域の市民センターや集会所等で体操やレクリエーションを楽しみながら介護予防に取り組むとともに、食事をとりながら交流を深めます。</w:t>
            </w:r>
          </w:p>
        </w:tc>
      </w:tr>
    </w:tbl>
    <w:p>
      <w:pPr>
        <w:pStyle w:val="0"/>
        <w:autoSpaceDE w:val="0"/>
        <w:autoSpaceDN w:val="0"/>
        <w:rPr>
          <w:rFonts w:hint="default"/>
          <w:color w:val="auto"/>
          <w:highlight w:val="none"/>
        </w:rPr>
      </w:pPr>
      <w:r>
        <w:rPr>
          <w:rFonts w:hint="eastAsia"/>
          <w:color w:val="auto"/>
          <w:highlight w:val="none"/>
        </w:rPr>
        <w:t>　　</w:t>
      </w:r>
      <w:r>
        <w:rPr>
          <w:rFonts w:hint="default"/>
          <w:color w:val="auto"/>
          <w:highlight w:val="none"/>
        </w:rPr>
        <w:br w:type="page"/>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78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介護予防・日常生活支援総合事業の充実［一般介護予防事業］</w:t>
            </w:r>
          </w:p>
        </w:tc>
      </w:tr>
      <w:tr>
        <w:trPr>
          <w:trHeight w:val="907" w:hRule="atLeast"/>
        </w:trPr>
        <w:tc>
          <w:tcPr>
            <w:tcW w:w="8788" w:type="dxa"/>
            <w:vAlign w:val="center"/>
          </w:tcPr>
          <w:p>
            <w:pPr>
              <w:pStyle w:val="52"/>
              <w:rPr>
                <w:rFonts w:hint="default"/>
                <w:color w:val="auto"/>
                <w:highlight w:val="none"/>
              </w:rPr>
            </w:pPr>
            <w:r>
              <w:rPr>
                <w:rFonts w:hint="default"/>
                <w:color w:val="auto"/>
                <w:highlight w:val="none"/>
              </w:rPr>
              <w:t>65</w:t>
            </w:r>
            <w:r>
              <w:rPr>
                <w:rFonts w:hint="default"/>
                <w:color w:val="auto"/>
                <w:highlight w:val="none"/>
              </w:rPr>
              <w:t>歳以上のすべての高齢者を対象とし、地域の実情に応じた効果的、効率的な介護予防の取組を推進します。</w:t>
            </w:r>
          </w:p>
          <w:p>
            <w:pPr>
              <w:pStyle w:val="52"/>
              <w:rPr>
                <w:rFonts w:hint="default"/>
                <w:color w:val="auto"/>
                <w:highlight w:val="none"/>
              </w:rPr>
            </w:pPr>
            <w:r>
              <w:rPr>
                <w:rFonts w:hint="eastAsia"/>
                <w:color w:val="auto"/>
                <w:highlight w:val="none"/>
              </w:rPr>
              <w:t>地域の実情に応じて収集した情報を活用し、閉じこもり等なんらかの支援を要する人を早期に把握し、介護予防の活動につなげます。</w:t>
            </w:r>
          </w:p>
          <w:p>
            <w:pPr>
              <w:pStyle w:val="52"/>
              <w:rPr>
                <w:rFonts w:hint="default"/>
                <w:color w:val="auto"/>
                <w:highlight w:val="none"/>
              </w:rPr>
            </w:pPr>
            <w:r>
              <w:rPr>
                <w:rFonts w:hint="eastAsia"/>
                <w:color w:val="auto"/>
                <w:highlight w:val="none"/>
              </w:rPr>
              <w:t>地域の通いの場に参加する個人の状態（健康状態・機能維持状態）の経年変化や、通いの場の機能の評価等、効果分析方法を検討します。また、認知症カフェ等の多様な居場所づくりの支援を行うとともに、居場所を拠点とした活動を通じて地域での見守りを推進します。</w:t>
            </w:r>
          </w:p>
        </w:tc>
      </w:tr>
    </w:tbl>
    <w:p>
      <w:pPr>
        <w:pStyle w:val="0"/>
        <w:autoSpaceDE w:val="0"/>
        <w:autoSpaceDN w:val="0"/>
        <w:spacing w:before="185" w:beforeLines="50" w:beforeAutospacing="0" w:after="74" w:afterLines="20" w:afterAutospacing="0" w:line="360" w:lineRule="exact"/>
        <w:ind w:left="669"/>
        <w:rPr>
          <w:rFonts w:hint="default" w:ascii="メイリオ" w:hAnsi="メイリオ" w:eastAsia="メイリオ"/>
          <w:color w:val="auto"/>
          <w:highlight w:val="none"/>
        </w:rPr>
      </w:pPr>
      <w:r>
        <w:rPr>
          <w:rFonts w:hint="eastAsia" w:ascii="メイリオ" w:hAnsi="メイリオ" w:eastAsia="メイリオ"/>
          <w:color w:val="auto"/>
          <w:highlight w:val="none"/>
        </w:rPr>
        <w:t>［</w:t>
      </w:r>
      <w:r>
        <w:rPr>
          <w:rFonts w:hint="default" w:ascii="メイリオ" w:hAnsi="メイリオ" w:eastAsia="メイリオ"/>
          <w:color w:val="auto"/>
          <w:highlight w:val="none"/>
        </w:rPr>
        <w:t>一般介護予防事業</w:t>
      </w:r>
      <w:r>
        <w:rPr>
          <w:rFonts w:hint="eastAsia" w:ascii="メイリオ" w:hAnsi="メイリオ" w:eastAsia="メイリオ"/>
          <w:color w:val="auto"/>
          <w:highlight w:val="none"/>
        </w:rPr>
        <w:t>］</w:t>
      </w:r>
    </w:p>
    <w:tbl>
      <w:tblPr>
        <w:tblStyle w:val="91"/>
        <w:tblW w:w="8632" w:type="dxa"/>
        <w:tblInd w:w="435" w:type="dxa"/>
        <w:tblLayout w:type="fixed"/>
        <w:tblLook w:firstRow="1" w:lastRow="0" w:firstColumn="1" w:lastColumn="0" w:noHBand="0" w:noVBand="1" w:val="04A0"/>
      </w:tblPr>
      <w:tblGrid>
        <w:gridCol w:w="2792"/>
        <w:gridCol w:w="5840"/>
      </w:tblGrid>
      <w:tr>
        <w:trPr>
          <w:trHeight w:val="454" w:hRule="atLeast"/>
        </w:trPr>
        <w:tc>
          <w:tcPr>
            <w:tcW w:w="8632"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autoSpaceDE w:val="0"/>
              <w:autoSpaceDN w:val="0"/>
              <w:spacing w:line="280" w:lineRule="exact"/>
              <w:rPr>
                <w:rFonts w:hint="default" w:ascii="メイリオ" w:hAnsi="メイリオ" w:eastAsia="メイリオ"/>
                <w:color w:val="auto"/>
                <w:highlight w:val="none"/>
              </w:rPr>
            </w:pPr>
            <w:r>
              <w:rPr>
                <w:rFonts w:hint="eastAsia" w:ascii="メイリオ" w:hAnsi="メイリオ" w:eastAsia="メイリオ"/>
                <w:b w:val="0"/>
                <w:color w:val="auto"/>
                <w:highlight w:val="none"/>
              </w:rPr>
              <w:t>介護予防普及啓発事業</w:t>
            </w:r>
          </w:p>
        </w:tc>
      </w:tr>
      <w:tr>
        <w:trPr>
          <w:trHeight w:val="1814" w:hRule="atLeast"/>
        </w:trPr>
        <w:tc>
          <w:tcPr>
            <w:tcW w:w="27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340" w:lineRule="exact"/>
              <w:rPr>
                <w:rFonts w:hint="default"/>
                <w:color w:val="auto"/>
                <w:highlight w:val="none"/>
              </w:rPr>
            </w:pPr>
            <w:r>
              <w:rPr>
                <w:rFonts w:hint="eastAsia"/>
                <w:color w:val="auto"/>
                <w:highlight w:val="none"/>
              </w:rPr>
              <w:t>通いの場</w:t>
            </w:r>
          </w:p>
          <w:p>
            <w:pPr>
              <w:pStyle w:val="0"/>
              <w:autoSpaceDE w:val="0"/>
              <w:autoSpaceDN w:val="0"/>
              <w:spacing w:line="340" w:lineRule="exact"/>
              <w:rPr>
                <w:rFonts w:hint="default"/>
                <w:color w:val="auto"/>
                <w:highlight w:val="none"/>
              </w:rPr>
            </w:pPr>
            <w:r>
              <w:rPr>
                <w:rFonts w:hint="eastAsia"/>
                <w:color w:val="auto"/>
                <w:highlight w:val="none"/>
              </w:rPr>
              <w:t>（いきいき百歳体操</w:t>
            </w:r>
            <w:r>
              <w:rPr>
                <w:rFonts w:hint="eastAsia"/>
                <w:color w:val="auto"/>
                <w:highlight w:val="none"/>
              </w:rPr>
              <w:t xml:space="preserve"> </w:t>
            </w:r>
            <w:r>
              <w:rPr>
                <w:rFonts w:hint="eastAsia"/>
                <w:color w:val="auto"/>
                <w:highlight w:val="none"/>
              </w:rPr>
              <w:t>等）</w:t>
            </w:r>
          </w:p>
        </w:tc>
        <w:tc>
          <w:tcPr>
            <w:tcW w:w="58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340" w:lineRule="exact"/>
              <w:ind w:firstLine="220" w:firstLineChars="100"/>
              <w:rPr>
                <w:rFonts w:hint="default"/>
                <w:color w:val="auto"/>
                <w:highlight w:val="none"/>
              </w:rPr>
            </w:pPr>
            <w:r>
              <w:rPr>
                <w:rFonts w:hint="eastAsia"/>
                <w:color w:val="auto"/>
                <w:highlight w:val="none"/>
              </w:rPr>
              <w:t>いきいき百歳体操を活用した通いの場づくりの支援を行います。いきいき百歳体操のフォローとして、体力測定とともに、３</w:t>
            </w:r>
            <w:r>
              <w:rPr>
                <w:rFonts w:hint="default"/>
                <w:color w:val="auto"/>
                <w:highlight w:val="none"/>
              </w:rPr>
              <w:t>か月後に口腔に関するミニ講座、</w:t>
            </w:r>
            <w:r>
              <w:rPr>
                <w:rFonts w:hint="eastAsia"/>
                <w:color w:val="auto"/>
                <w:highlight w:val="none"/>
              </w:rPr>
              <w:t>６</w:t>
            </w:r>
            <w:r>
              <w:rPr>
                <w:rFonts w:hint="default"/>
                <w:color w:val="auto"/>
                <w:highlight w:val="none"/>
              </w:rPr>
              <w:t>か月後に栄養のミニ講座、</w:t>
            </w:r>
            <w:r>
              <w:rPr>
                <w:rFonts w:hint="eastAsia"/>
                <w:color w:val="auto"/>
                <w:highlight w:val="none"/>
              </w:rPr>
              <w:t>１</w:t>
            </w:r>
            <w:r>
              <w:rPr>
                <w:rFonts w:hint="default"/>
                <w:color w:val="auto"/>
                <w:highlight w:val="none"/>
              </w:rPr>
              <w:t>年後に認知症に関するミニ講座、</w:t>
            </w:r>
            <w:r>
              <w:rPr>
                <w:rFonts w:hint="eastAsia"/>
                <w:color w:val="auto"/>
                <w:highlight w:val="none"/>
              </w:rPr>
              <w:t>１</w:t>
            </w:r>
            <w:r>
              <w:rPr>
                <w:rFonts w:hint="default"/>
                <w:color w:val="auto"/>
                <w:highlight w:val="none"/>
              </w:rPr>
              <w:t>年半後に</w:t>
            </w:r>
            <w:r>
              <w:rPr>
                <w:rFonts w:hint="eastAsia"/>
                <w:color w:val="auto"/>
                <w:highlight w:val="none"/>
              </w:rPr>
              <w:t>「</w:t>
            </w:r>
            <w:r>
              <w:rPr>
                <w:rFonts w:hint="default"/>
                <w:color w:val="auto"/>
                <w:highlight w:val="none"/>
              </w:rPr>
              <w:t>これから手帳</w:t>
            </w:r>
            <w:r>
              <w:rPr>
                <w:rFonts w:hint="eastAsia"/>
                <w:color w:val="auto"/>
                <w:highlight w:val="none"/>
              </w:rPr>
              <w:t>」</w:t>
            </w:r>
            <w:r>
              <w:rPr>
                <w:rFonts w:hint="default"/>
                <w:color w:val="auto"/>
                <w:highlight w:val="none"/>
              </w:rPr>
              <w:t>のミニ講座を行います。</w:t>
            </w:r>
          </w:p>
        </w:tc>
      </w:tr>
      <w:tr>
        <w:trPr>
          <w:trHeight w:val="1020" w:hRule="atLeast"/>
        </w:trPr>
        <w:tc>
          <w:tcPr>
            <w:tcW w:w="27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340" w:lineRule="exact"/>
              <w:rPr>
                <w:rFonts w:hint="default"/>
                <w:color w:val="auto"/>
                <w:highlight w:val="none"/>
              </w:rPr>
            </w:pPr>
            <w:r>
              <w:rPr>
                <w:rFonts w:hint="eastAsia"/>
                <w:color w:val="auto"/>
                <w:highlight w:val="none"/>
              </w:rPr>
              <w:t>介護予防教室</w:t>
            </w:r>
          </w:p>
        </w:tc>
        <w:tc>
          <w:tcPr>
            <w:tcW w:w="58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340" w:lineRule="exact"/>
              <w:ind w:firstLine="220" w:firstLineChars="100"/>
              <w:rPr>
                <w:rFonts w:hint="default"/>
                <w:color w:val="auto"/>
                <w:highlight w:val="none"/>
              </w:rPr>
            </w:pPr>
            <w:r>
              <w:rPr>
                <w:rFonts w:hint="eastAsia"/>
                <w:color w:val="auto"/>
                <w:highlight w:val="none"/>
              </w:rPr>
              <w:t>運動や栄養改善、口腔ケア、脳トレなどの介護予防教室において介護予防に関する知識や行動の普及啓発を行います。また、ＩＣＴを活用した介護予防活動の展開も検討します</w:t>
            </w:r>
            <w:r>
              <w:rPr>
                <w:rFonts w:hint="default"/>
                <w:color w:val="auto"/>
                <w:highlight w:val="none"/>
              </w:rPr>
              <w:t>。</w:t>
            </w:r>
          </w:p>
        </w:tc>
      </w:tr>
      <w:tr>
        <w:trPr>
          <w:trHeight w:val="1247" w:hRule="atLeast"/>
        </w:trPr>
        <w:tc>
          <w:tcPr>
            <w:tcW w:w="27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340" w:lineRule="exact"/>
              <w:rPr>
                <w:rFonts w:hint="default"/>
                <w:color w:val="auto"/>
                <w:highlight w:val="none"/>
              </w:rPr>
            </w:pPr>
            <w:r>
              <w:rPr>
                <w:rFonts w:hint="eastAsia"/>
                <w:color w:val="auto"/>
                <w:highlight w:val="none"/>
              </w:rPr>
              <w:t>まめでいきいき元気教室　脳トレプラス</w:t>
            </w:r>
          </w:p>
        </w:tc>
        <w:tc>
          <w:tcPr>
            <w:tcW w:w="58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ind w:firstLine="220" w:firstLineChars="100"/>
              <w:rPr>
                <w:rFonts w:hint="default"/>
                <w:color w:val="auto"/>
                <w:highlight w:val="none"/>
              </w:rPr>
            </w:pPr>
            <w:r>
              <w:rPr>
                <w:rFonts w:hint="eastAsia"/>
                <w:color w:val="auto"/>
                <w:highlight w:val="none"/>
              </w:rPr>
              <w:t>認知機能の向上プログラムと、運動器機能向上プログラムを行い、要介護状態になることを予防します。</w:t>
            </w:r>
          </w:p>
          <w:p>
            <w:pPr>
              <w:pStyle w:val="0"/>
              <w:autoSpaceDE w:val="0"/>
              <w:autoSpaceDN w:val="0"/>
              <w:ind w:firstLine="220" w:firstLineChars="100"/>
              <w:rPr>
                <w:rFonts w:hint="default"/>
                <w:color w:val="auto"/>
                <w:highlight w:val="none"/>
              </w:rPr>
            </w:pPr>
            <w:r>
              <w:rPr>
                <w:rFonts w:hint="eastAsia"/>
                <w:color w:val="auto"/>
                <w:highlight w:val="none"/>
              </w:rPr>
              <w:t>送迎、マシントレーニングなど地域の実情に合わせて教室を行います。</w:t>
            </w:r>
          </w:p>
        </w:tc>
      </w:tr>
      <w:tr>
        <w:trPr>
          <w:trHeight w:val="454" w:hRule="atLeast"/>
        </w:trPr>
        <w:tc>
          <w:tcPr>
            <w:tcW w:w="8632"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autoSpaceDE w:val="0"/>
              <w:autoSpaceDN w:val="0"/>
              <w:spacing w:line="280" w:lineRule="exact"/>
              <w:rPr>
                <w:rFonts w:hint="default" w:ascii="メイリオ" w:hAnsi="メイリオ" w:eastAsia="メイリオ"/>
                <w:color w:val="auto"/>
                <w:highlight w:val="none"/>
              </w:rPr>
            </w:pPr>
            <w:r>
              <w:rPr>
                <w:rFonts w:hint="eastAsia"/>
                <w:color w:val="auto"/>
                <w:highlight w:val="none"/>
              </w:rPr>
              <w:t>地域介護予防活動支援事業</w:t>
            </w:r>
          </w:p>
        </w:tc>
      </w:tr>
      <w:tr>
        <w:trPr>
          <w:trHeight w:val="810" w:hRule="atLeast"/>
        </w:trPr>
        <w:tc>
          <w:tcPr>
            <w:tcW w:w="8632"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340" w:lineRule="exact"/>
              <w:ind w:firstLine="220" w:firstLineChars="100"/>
              <w:rPr>
                <w:rFonts w:hint="default"/>
                <w:color w:val="auto"/>
                <w:highlight w:val="none"/>
              </w:rPr>
            </w:pPr>
            <w:r>
              <w:rPr>
                <w:rFonts w:hint="eastAsia"/>
                <w:color w:val="auto"/>
                <w:highlight w:val="none"/>
              </w:rPr>
              <w:t>健康づくり応援団等、介護予防に関わる人材や組織活動の育成、支援を行うことで、高齢者の社会参加を促し、活動することでの介護予防につなげます。</w:t>
            </w:r>
          </w:p>
        </w:tc>
      </w:tr>
      <w:tr>
        <w:trPr>
          <w:trHeight w:val="454" w:hRule="atLeast"/>
        </w:trPr>
        <w:tc>
          <w:tcPr>
            <w:tcW w:w="8632"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autoSpaceDE w:val="0"/>
              <w:autoSpaceDN w:val="0"/>
              <w:spacing w:line="280" w:lineRule="exact"/>
              <w:rPr>
                <w:rFonts w:hint="default" w:ascii="メイリオ" w:hAnsi="メイリオ" w:eastAsia="メイリオ"/>
                <w:color w:val="auto"/>
                <w:highlight w:val="none"/>
              </w:rPr>
            </w:pPr>
            <w:r>
              <w:rPr>
                <w:rFonts w:hint="eastAsia"/>
                <w:color w:val="auto"/>
                <w:highlight w:val="none"/>
              </w:rPr>
              <w:t>地域リハビリテーション活動支援事業</w:t>
            </w:r>
          </w:p>
        </w:tc>
      </w:tr>
      <w:tr>
        <w:trPr>
          <w:trHeight w:val="1814" w:hRule="atLeast"/>
        </w:trPr>
        <w:tc>
          <w:tcPr>
            <w:tcW w:w="8632"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340" w:lineRule="exact"/>
              <w:ind w:firstLine="220" w:firstLineChars="100"/>
              <w:rPr>
                <w:rFonts w:hint="default"/>
                <w:color w:val="auto"/>
                <w:highlight w:val="none"/>
              </w:rPr>
            </w:pPr>
            <w:r>
              <w:rPr>
                <w:rFonts w:hint="eastAsia"/>
                <w:color w:val="auto"/>
                <w:highlight w:val="none"/>
              </w:rPr>
              <w:t>地域における介護予防の取組を強化するため、地域リハビリテーション活動支援関係者連絡会を開催し、通いの場（百歳体操）への支援内容や転倒予防体操の普及啓発、入退院時連携等に関することを協議し、関係機関との連携を図ります。地域ケア会議、サービス担当者会議、通いの場、介護職員への技術支援等に、リハビリテーション専門職等の参加を促進します。</w:t>
            </w:r>
          </w:p>
        </w:tc>
      </w:tr>
    </w:tbl>
    <w:p>
      <w:pPr>
        <w:pStyle w:val="0"/>
        <w:widowControl w:val="1"/>
        <w:jc w:val="left"/>
        <w:rPr>
          <w:rFonts w:hint="default"/>
          <w:color w:val="auto"/>
          <w:highlight w:val="none"/>
        </w:rPr>
      </w:pPr>
      <w:r>
        <w:rPr>
          <w:rFonts w:hint="default"/>
          <w:color w:val="auto"/>
          <w:highlight w:val="none"/>
        </w:rPr>
        <w:br w:type="page"/>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自立支援に資するケアマネジメントの推進</w:t>
            </w:r>
          </w:p>
        </w:tc>
      </w:tr>
      <w:tr>
        <w:trPr>
          <w:trHeight w:val="2041" w:hRule="atLeast"/>
        </w:trPr>
        <w:tc>
          <w:tcPr>
            <w:tcW w:w="8668" w:type="dxa"/>
            <w:vAlign w:val="center"/>
          </w:tcPr>
          <w:p>
            <w:pPr>
              <w:pStyle w:val="52"/>
              <w:rPr>
                <w:rFonts w:hint="default"/>
                <w:color w:val="auto"/>
                <w:highlight w:val="none"/>
              </w:rPr>
            </w:pPr>
            <w:r>
              <w:rPr>
                <w:rFonts w:hint="eastAsia"/>
                <w:color w:val="auto"/>
                <w:highlight w:val="none"/>
              </w:rPr>
              <w:t>高齢者がその有する能力に応じてその人らしい生活を送ることをめざしたケアマネジメントを推進するため、介護支援専門員の資質向上に関する支援を行います。</w:t>
            </w:r>
          </w:p>
          <w:p>
            <w:pPr>
              <w:pStyle w:val="52"/>
              <w:rPr>
                <w:rFonts w:hint="default"/>
                <w:color w:val="auto"/>
                <w:highlight w:val="none"/>
              </w:rPr>
            </w:pPr>
            <w:r>
              <w:rPr>
                <w:rFonts w:hint="eastAsia"/>
                <w:color w:val="auto"/>
                <w:highlight w:val="none"/>
              </w:rPr>
              <w:t>また、専門職、民生委員・児童委員、地域住民自治組織、老人クラブ、サロン運営者、地域の</w:t>
            </w:r>
            <w:r>
              <w:rPr>
                <w:rFonts w:hint="default"/>
                <w:color w:val="auto"/>
                <w:highlight w:val="none"/>
              </w:rPr>
              <w:t>NPO</w:t>
            </w:r>
            <w:r>
              <w:rPr>
                <w:rFonts w:hint="default"/>
                <w:color w:val="auto"/>
                <w:highlight w:val="none"/>
              </w:rPr>
              <w:t>等、様々な関係機関・団体との連携を図り、情報共有に努めるとともにインフォーマルな社会資源の活用を推進します。</w:t>
            </w:r>
          </w:p>
        </w:tc>
      </w:tr>
    </w:tbl>
    <w:p>
      <w:pPr>
        <w:pStyle w:val="0"/>
        <w:widowControl w:val="1"/>
        <w:jc w:val="left"/>
        <w:rPr>
          <w:rFonts w:hint="default"/>
          <w:b w:val="1"/>
          <w:color w:val="auto"/>
          <w:highlight w:val="none"/>
        </w:rPr>
      </w:pPr>
    </w:p>
    <w:p>
      <w:pPr>
        <w:pStyle w:val="0"/>
        <w:widowControl w:val="1"/>
        <w:ind w:left="440" w:leftChars="200"/>
        <w:jc w:val="left"/>
        <w:rPr>
          <w:rFonts w:hint="default"/>
          <w:color w:val="auto"/>
          <w:highlight w:val="none"/>
        </w:rPr>
      </w:pPr>
      <w:r>
        <w:rPr>
          <w:rFonts w:hint="eastAsia"/>
          <w:b w:val="1"/>
          <w:color w:val="auto"/>
          <w:highlight w:val="none"/>
        </w:rPr>
        <w:t>≪施策の活動指標≫</w:t>
      </w:r>
    </w:p>
    <w:p>
      <w:pPr>
        <w:pStyle w:val="30"/>
        <w:numPr>
          <w:ilvl w:val="0"/>
          <w:numId w:val="3"/>
        </w:numPr>
        <w:spacing w:after="76" w:afterLines="0" w:afterAutospacing="0"/>
        <w:ind w:leftChars="0"/>
        <w:rPr>
          <w:rFonts w:hint="default"/>
          <w:b w:val="0"/>
          <w:color w:val="auto"/>
          <w:sz w:val="22"/>
          <w:highlight w:val="none"/>
        </w:rPr>
      </w:pPr>
      <w:r>
        <w:rPr>
          <w:rFonts w:hint="eastAsia"/>
          <w:b w:val="0"/>
          <w:color w:val="auto"/>
          <w:sz w:val="22"/>
          <w:highlight w:val="none"/>
          <w:shd w:val="clear" w:color="auto" w:themeFill="background1" w:themeFillTint="FF" w:themeFillShade="FF"/>
        </w:rPr>
        <w:t>自立支援、介護予防・重度化防止の推進の取組</w:t>
      </w:r>
    </w:p>
    <w:tbl>
      <w:tblPr>
        <w:tblStyle w:val="81"/>
        <w:tblW w:w="8626" w:type="dxa"/>
        <w:tblInd w:w="435" w:type="dxa"/>
        <w:tblLayout w:type="fixed"/>
        <w:tblLook w:firstRow="1" w:lastRow="0" w:firstColumn="1" w:lastColumn="0" w:noHBand="0" w:noVBand="1" w:val="04A0"/>
      </w:tblPr>
      <w:tblGrid>
        <w:gridCol w:w="3410"/>
        <w:gridCol w:w="1386"/>
        <w:gridCol w:w="1277"/>
        <w:gridCol w:w="1276"/>
        <w:gridCol w:w="1277"/>
      </w:tblGrid>
      <w:tr>
        <w:trPr>
          <w:trHeight w:val="510" w:hRule="atLeast"/>
        </w:trPr>
        <w:tc>
          <w:tcPr>
            <w:tcW w:w="341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38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現状</w:t>
            </w:r>
          </w:p>
        </w:tc>
        <w:tc>
          <w:tcPr>
            <w:tcW w:w="12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6</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(2024</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7</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(2025</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8</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(2026</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r>
      <w:tr>
        <w:trPr>
          <w:trHeight w:val="624" w:hRule="atLeast"/>
        </w:trPr>
        <w:tc>
          <w:tcPr>
            <w:tcW w:w="341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短期集中型訪問サービス利用後の機能維持改善率</w:t>
            </w:r>
          </w:p>
        </w:tc>
        <w:tc>
          <w:tcPr>
            <w:tcW w:w="138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80</w:t>
            </w:r>
            <w:r>
              <w:rPr>
                <w:rFonts w:hint="eastAsia" w:ascii="ＭＳ Ｐゴシック" w:hAnsi="ＭＳ Ｐゴシック" w:eastAsia="ＭＳ Ｐゴシック"/>
                <w:color w:val="auto"/>
                <w:sz w:val="21"/>
                <w:highlight w:val="none"/>
              </w:rPr>
              <w:t>％</w:t>
            </w:r>
          </w:p>
          <w:p>
            <w:pPr>
              <w:pStyle w:val="0"/>
              <w:autoSpaceDE w:val="0"/>
              <w:autoSpaceDN w:val="0"/>
              <w:spacing w:line="0" w:lineRule="atLeast"/>
              <w:jc w:val="center"/>
              <w:rPr>
                <w:rFonts w:hint="eastAsia"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18"/>
                <w:highlight w:val="none"/>
              </w:rPr>
              <w:t>（令和</w:t>
            </w:r>
            <w:r>
              <w:rPr>
                <w:rFonts w:hint="eastAsia" w:ascii="ＭＳ Ｐゴシック" w:hAnsi="ＭＳ Ｐゴシック" w:eastAsia="ＭＳ Ｐゴシック"/>
                <w:color w:val="auto"/>
                <w:sz w:val="18"/>
                <w:highlight w:val="none"/>
              </w:rPr>
              <w:t>4</w:t>
            </w:r>
            <w:r>
              <w:rPr>
                <w:rFonts w:hint="eastAsia" w:ascii="ＭＳ Ｐゴシック" w:hAnsi="ＭＳ Ｐゴシック" w:eastAsia="ＭＳ Ｐゴシック"/>
                <w:color w:val="auto"/>
                <w:sz w:val="18"/>
                <w:highlight w:val="none"/>
              </w:rPr>
              <w:t>年度）</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80</w:t>
            </w:r>
            <w:r>
              <w:rPr>
                <w:rFonts w:hint="eastAsia" w:ascii="ＭＳ Ｐゴシック" w:hAnsi="ＭＳ Ｐゴシック" w:eastAsia="ＭＳ Ｐゴシック"/>
                <w:color w:val="auto"/>
                <w:sz w:val="21"/>
                <w:highlight w:val="none"/>
              </w:rPr>
              <w:t>％以上</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80</w:t>
            </w:r>
            <w:r>
              <w:rPr>
                <w:rFonts w:hint="eastAsia" w:ascii="ＭＳ Ｐゴシック" w:hAnsi="ＭＳ Ｐゴシック" w:eastAsia="ＭＳ Ｐゴシック"/>
                <w:color w:val="auto"/>
                <w:sz w:val="21"/>
                <w:highlight w:val="none"/>
              </w:rPr>
              <w:t>％以上</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80</w:t>
            </w:r>
            <w:r>
              <w:rPr>
                <w:rFonts w:hint="eastAsia" w:ascii="ＭＳ Ｐゴシック" w:hAnsi="ＭＳ Ｐゴシック" w:eastAsia="ＭＳ Ｐゴシック"/>
                <w:color w:val="auto"/>
                <w:sz w:val="21"/>
                <w:highlight w:val="none"/>
              </w:rPr>
              <w:t>％以上</w:t>
            </w:r>
          </w:p>
        </w:tc>
      </w:tr>
      <w:tr>
        <w:trPr>
          <w:trHeight w:val="397" w:hRule="atLeast"/>
        </w:trPr>
        <w:tc>
          <w:tcPr>
            <w:tcW w:w="341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自立支援型地域ケア会議</w:t>
            </w:r>
          </w:p>
        </w:tc>
        <w:tc>
          <w:tcPr>
            <w:tcW w:w="138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7</w:t>
            </w:r>
            <w:r>
              <w:rPr>
                <w:rFonts w:hint="eastAsia" w:ascii="ＭＳ Ｐゴシック" w:hAnsi="ＭＳ Ｐゴシック" w:eastAsia="ＭＳ Ｐゴシック"/>
                <w:color w:val="auto"/>
                <w:sz w:val="21"/>
                <w:highlight w:val="none"/>
              </w:rPr>
              <w:t>回</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10</w:t>
            </w:r>
            <w:r>
              <w:rPr>
                <w:rFonts w:hint="eastAsia" w:ascii="ＭＳ Ｐゴシック" w:hAnsi="ＭＳ Ｐゴシック" w:eastAsia="ＭＳ Ｐゴシック"/>
                <w:color w:val="auto"/>
                <w:sz w:val="21"/>
                <w:highlight w:val="none"/>
              </w:rPr>
              <w:t>回</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10</w:t>
            </w:r>
            <w:r>
              <w:rPr>
                <w:rFonts w:hint="eastAsia" w:ascii="ＭＳ Ｐゴシック" w:hAnsi="ＭＳ Ｐゴシック" w:eastAsia="ＭＳ Ｐゴシック"/>
                <w:color w:val="auto"/>
                <w:sz w:val="21"/>
                <w:highlight w:val="none"/>
              </w:rPr>
              <w:t>回</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10</w:t>
            </w:r>
            <w:r>
              <w:rPr>
                <w:rFonts w:hint="eastAsia" w:ascii="ＭＳ Ｐゴシック" w:hAnsi="ＭＳ Ｐゴシック" w:eastAsia="ＭＳ Ｐゴシック"/>
                <w:color w:val="auto"/>
                <w:sz w:val="21"/>
                <w:highlight w:val="none"/>
              </w:rPr>
              <w:t>回</w:t>
            </w:r>
          </w:p>
        </w:tc>
      </w:tr>
      <w:tr>
        <w:trPr>
          <w:trHeight w:val="590" w:hRule="atLeast"/>
        </w:trPr>
        <w:tc>
          <w:tcPr>
            <w:tcW w:w="341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通いの場　高齢者人口における参加者の割合</w:t>
            </w:r>
          </w:p>
        </w:tc>
        <w:tc>
          <w:tcPr>
            <w:tcW w:w="138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5.9</w:t>
            </w:r>
            <w:r>
              <w:rPr>
                <w:rFonts w:hint="eastAsia" w:ascii="ＭＳ Ｐゴシック" w:hAnsi="ＭＳ Ｐゴシック" w:eastAsia="ＭＳ Ｐゴシック"/>
                <w:color w:val="auto"/>
                <w:sz w:val="21"/>
                <w:highlight w:val="none"/>
              </w:rPr>
              <w:t>％</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6.5</w:t>
            </w:r>
            <w:r>
              <w:rPr>
                <w:rFonts w:hint="eastAsia" w:ascii="ＭＳ Ｐゴシック" w:hAnsi="ＭＳ Ｐゴシック" w:eastAsia="ＭＳ Ｐゴシック"/>
                <w:color w:val="auto"/>
                <w:sz w:val="21"/>
                <w:highlight w:val="none"/>
              </w:rPr>
              <w:t>％</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6.5</w:t>
            </w:r>
            <w:r>
              <w:rPr>
                <w:rFonts w:hint="eastAsia" w:ascii="ＭＳ Ｐゴシック" w:hAnsi="ＭＳ Ｐゴシック" w:eastAsia="ＭＳ Ｐゴシック"/>
                <w:color w:val="auto"/>
                <w:sz w:val="21"/>
                <w:highlight w:val="none"/>
              </w:rPr>
              <w:t>％</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7.0</w:t>
            </w:r>
            <w:r>
              <w:rPr>
                <w:rFonts w:hint="eastAsia" w:ascii="ＭＳ Ｐゴシック" w:hAnsi="ＭＳ Ｐゴシック" w:eastAsia="ＭＳ Ｐゴシック"/>
                <w:color w:val="auto"/>
                <w:sz w:val="21"/>
                <w:highlight w:val="none"/>
              </w:rPr>
              <w:t>％</w:t>
            </w:r>
          </w:p>
        </w:tc>
      </w:tr>
      <w:tr>
        <w:trPr>
          <w:trHeight w:val="397" w:hRule="atLeast"/>
        </w:trPr>
        <w:tc>
          <w:tcPr>
            <w:tcW w:w="341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通いの場の数</w:t>
            </w:r>
          </w:p>
        </w:tc>
        <w:tc>
          <w:tcPr>
            <w:tcW w:w="138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98</w:t>
            </w:r>
            <w:r>
              <w:rPr>
                <w:rFonts w:hint="eastAsia" w:ascii="ＭＳ Ｐゴシック" w:hAnsi="ＭＳ Ｐゴシック" w:eastAsia="ＭＳ Ｐゴシック"/>
                <w:color w:val="auto"/>
                <w:sz w:val="21"/>
                <w:highlight w:val="none"/>
              </w:rPr>
              <w:t>か所</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100</w:t>
            </w:r>
            <w:r>
              <w:rPr>
                <w:rFonts w:hint="eastAsia" w:ascii="ＭＳ Ｐゴシック" w:hAnsi="ＭＳ Ｐゴシック" w:eastAsia="ＭＳ Ｐゴシック"/>
                <w:color w:val="auto"/>
                <w:sz w:val="21"/>
                <w:highlight w:val="none"/>
              </w:rPr>
              <w:t>か所</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105</w:t>
            </w:r>
            <w:r>
              <w:rPr>
                <w:rFonts w:hint="eastAsia" w:ascii="ＭＳ Ｐゴシック" w:hAnsi="ＭＳ Ｐゴシック" w:eastAsia="ＭＳ Ｐゴシック"/>
                <w:color w:val="auto"/>
                <w:sz w:val="21"/>
                <w:highlight w:val="none"/>
              </w:rPr>
              <w:t>か所</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110</w:t>
            </w:r>
            <w:r>
              <w:rPr>
                <w:rFonts w:hint="eastAsia" w:ascii="ＭＳ Ｐゴシック" w:hAnsi="ＭＳ Ｐゴシック" w:eastAsia="ＭＳ Ｐゴシック"/>
                <w:color w:val="auto"/>
                <w:sz w:val="21"/>
                <w:highlight w:val="none"/>
              </w:rPr>
              <w:t>か所</w:t>
            </w:r>
          </w:p>
        </w:tc>
      </w:tr>
    </w:tbl>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r>
        <w:rPr>
          <w:rFonts w:hint="default"/>
          <w:b w:val="1"/>
          <w:color w:val="auto"/>
          <w:highlight w:val="none"/>
        </w:rPr>
        <w:br w:type="page"/>
      </w:r>
    </w:p>
    <w:p>
      <w:pPr>
        <w:pStyle w:val="26"/>
        <w:spacing w:after="76" w:afterLines="0" w:afterAutospacing="0"/>
        <w:rPr>
          <w:rFonts w:hint="default"/>
          <w:color w:val="auto"/>
          <w:highlight w:val="none"/>
        </w:rPr>
      </w:pPr>
      <w:bookmarkStart w:id="123" w:name="_Toc152160668"/>
      <w:r>
        <w:rPr>
          <w:rFonts w:hint="eastAsia"/>
          <w:color w:val="auto"/>
          <w:highlight w:val="none"/>
        </w:rPr>
        <w:t>（４）</w:t>
      </w:r>
      <w:r>
        <w:rPr>
          <w:rFonts w:hint="eastAsia"/>
          <w:color w:val="auto"/>
          <w:highlight w:val="none"/>
        </w:rPr>
        <w:t xml:space="preserve"> </w:t>
      </w:r>
      <w:r>
        <w:rPr>
          <w:rFonts w:hint="eastAsia"/>
          <w:color w:val="auto"/>
          <w:highlight w:val="none"/>
        </w:rPr>
        <w:t>高齢者の生きがいづくりの推進</w:t>
      </w:r>
      <w:bookmarkEnd w:id="123"/>
    </w:p>
    <w:p>
      <w:pPr>
        <w:pStyle w:val="50"/>
        <w:spacing w:before="114" w:beforeLines="0" w:beforeAutospacing="0" w:after="114" w:afterLines="0" w:afterAutospacing="0"/>
        <w:rPr>
          <w:rFonts w:hint="default"/>
          <w:color w:val="auto"/>
          <w:highlight w:val="none"/>
        </w:rPr>
      </w:pPr>
      <w:r>
        <w:rPr>
          <w:rFonts w:hint="eastAsia"/>
          <w:color w:val="auto"/>
          <w:highlight w:val="none"/>
        </w:rPr>
        <w:t>◆◆現状と課題◆◆</w:t>
      </w:r>
    </w:p>
    <w:p>
      <w:pPr>
        <w:pStyle w:val="28"/>
        <w:rPr>
          <w:rFonts w:hint="default"/>
          <w:color w:val="auto"/>
          <w:highlight w:val="none"/>
        </w:rPr>
      </w:pPr>
      <w:r>
        <w:rPr>
          <w:rFonts w:hint="eastAsia"/>
          <w:color w:val="auto"/>
          <w:highlight w:val="none"/>
        </w:rPr>
        <w:t>高齢者が地域社会において自立した生活を営むためには、生活機能の維持だけでなく、生きがいを持って日常生活を過ごすことが重要です。</w:t>
      </w:r>
    </w:p>
    <w:p>
      <w:pPr>
        <w:pStyle w:val="28"/>
        <w:rPr>
          <w:rFonts w:hint="default"/>
          <w:color w:val="auto"/>
          <w:highlight w:val="none"/>
        </w:rPr>
      </w:pPr>
      <w:r>
        <w:rPr>
          <w:rFonts w:hint="eastAsia"/>
          <w:color w:val="auto"/>
          <w:highlight w:val="none"/>
        </w:rPr>
        <w:t>ニーズ調査の結果では、「楽しみや生きがいがある」、「地域での活動に月１回以上参加する」と回答した高齢者のうち、健康状態がよいと回答した人の割合が８割を超えており、地域での活動への参加意向がある高齢者は多くいました。</w:t>
      </w:r>
    </w:p>
    <w:p>
      <w:pPr>
        <w:pStyle w:val="28"/>
        <w:rPr>
          <w:rFonts w:hint="default"/>
          <w:color w:val="auto"/>
          <w:highlight w:val="none"/>
        </w:rPr>
      </w:pPr>
      <w:r>
        <w:rPr>
          <w:rFonts w:hint="eastAsia"/>
          <w:color w:val="auto"/>
          <w:highlight w:val="none"/>
        </w:rPr>
        <w:t>また、国勢調査の結果によると、就労している高齢者数は増加しています</w:t>
      </w:r>
      <w:r>
        <w:rPr>
          <w:rFonts w:hint="default"/>
          <w:color w:val="auto"/>
          <w:highlight w:val="none"/>
        </w:rPr>
        <w:t>。</w:t>
      </w:r>
    </w:p>
    <w:p>
      <w:pPr>
        <w:pStyle w:val="28"/>
        <w:rPr>
          <w:rFonts w:hint="default"/>
          <w:color w:val="auto"/>
          <w:highlight w:val="none"/>
        </w:rPr>
      </w:pPr>
      <w:r>
        <w:rPr>
          <w:rFonts w:hint="eastAsia"/>
          <w:color w:val="auto"/>
          <w:highlight w:val="none"/>
        </w:rPr>
        <w:t>高齢者がこれまでに得た技能や経験を活かし、地域や社会を構成する一員としてボランティア活動、就労的な活動などの社会貢献ができる場に参画したり、就労したりすることは、高齢者の生きがいづくり、自立した生活を送るための重要な要素です。</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◆◆施策の方向性◆◆</w:t>
      </w:r>
    </w:p>
    <w:p>
      <w:pPr>
        <w:pStyle w:val="28"/>
        <w:rPr>
          <w:rFonts w:hint="default"/>
          <w:color w:val="auto"/>
          <w:highlight w:val="none"/>
        </w:rPr>
      </w:pPr>
      <w:r>
        <w:rPr>
          <w:rFonts w:hint="eastAsia"/>
          <w:color w:val="auto"/>
          <w:highlight w:val="none"/>
        </w:rPr>
        <w:t>高齢者が楽しみや生きがいを持って暮らすことができるよう、今後も住民主体の活動の充実を促進するとともに、仲間づくり、参加のきっかけづくりの支援、既存の活動の情報提供など、社会参加の促進を図ります。</w:t>
      </w:r>
    </w:p>
    <w:p>
      <w:pPr>
        <w:pStyle w:val="28"/>
        <w:rPr>
          <w:rFonts w:hint="default"/>
          <w:color w:val="auto"/>
          <w:highlight w:val="none"/>
        </w:rPr>
      </w:pPr>
      <w:r>
        <w:rPr>
          <w:rFonts w:hint="eastAsia"/>
          <w:color w:val="auto"/>
          <w:highlight w:val="none"/>
        </w:rPr>
        <w:t>高齢者の技能や経験、地域活動や就労への意欲を、地域経済や支え合いの担い手としてつなぐ取組を行います。</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◆◆具体的施策◆◆</w:t>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78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老人クラブの活動支援</w:t>
            </w:r>
          </w:p>
        </w:tc>
      </w:tr>
      <w:tr>
        <w:trPr>
          <w:trHeight w:val="1304" w:hRule="atLeast"/>
        </w:trPr>
        <w:tc>
          <w:tcPr>
            <w:tcW w:w="8788" w:type="dxa"/>
            <w:vAlign w:val="center"/>
          </w:tcPr>
          <w:p>
            <w:pPr>
              <w:pStyle w:val="52"/>
              <w:rPr>
                <w:rFonts w:hint="default"/>
                <w:color w:val="auto"/>
                <w:highlight w:val="none"/>
              </w:rPr>
            </w:pPr>
            <w:r>
              <w:rPr>
                <w:rFonts w:hint="eastAsia"/>
                <w:color w:val="auto"/>
                <w:highlight w:val="none"/>
              </w:rPr>
              <w:t>高齢者が自主的に仲間づくりを進め、楽しみを共にし、孤立することなく、共同して相互に支え合うために、広く地域の高齢者の社会参加の場となるよう老人クラブへの会員加入のきっかけづくりの支援や活動の活性化促進等を支援します。</w:t>
            </w:r>
          </w:p>
        </w:tc>
      </w:tr>
      <w:tr>
        <w:trPr>
          <w:trHeight w:val="510" w:hRule="atLeast"/>
        </w:trPr>
        <w:tc>
          <w:tcPr>
            <w:tcW w:w="878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ボランティアポイント制度の実施</w:t>
            </w:r>
          </w:p>
        </w:tc>
      </w:tr>
      <w:tr>
        <w:trPr>
          <w:trHeight w:val="2382" w:hRule="atLeast"/>
        </w:trPr>
        <w:tc>
          <w:tcPr>
            <w:tcW w:w="8788" w:type="dxa"/>
            <w:vAlign w:val="center"/>
          </w:tcPr>
          <w:p>
            <w:pPr>
              <w:pStyle w:val="52"/>
              <w:rPr>
                <w:rFonts w:hint="default"/>
                <w:color w:val="auto"/>
                <w:highlight w:val="none"/>
              </w:rPr>
            </w:pPr>
            <w:r>
              <w:rPr>
                <w:rFonts w:hint="eastAsia"/>
                <w:color w:val="auto"/>
                <w:highlight w:val="none"/>
              </w:rPr>
              <w:t>社会参加、社会的役割を持つことが、生きがいや介護予防につながることをめざし、ボランティアポイント制度を実施します。</w:t>
            </w:r>
          </w:p>
          <w:p>
            <w:pPr>
              <w:pStyle w:val="52"/>
              <w:rPr>
                <w:rFonts w:hint="default"/>
                <w:color w:val="auto"/>
                <w:highlight w:val="none"/>
              </w:rPr>
            </w:pPr>
            <w:r>
              <w:rPr>
                <w:rFonts w:hint="eastAsia"/>
                <w:color w:val="auto"/>
                <w:highlight w:val="none"/>
              </w:rPr>
              <w:t>また、ボランティアポイント制度を活用し、高齢者が福祉や地域の見守り等の担い手となることを促進します。</w:t>
            </w:r>
          </w:p>
          <w:p>
            <w:pPr>
              <w:pStyle w:val="52"/>
              <w:rPr>
                <w:rFonts w:hint="default"/>
                <w:color w:val="auto"/>
                <w:highlight w:val="none"/>
              </w:rPr>
            </w:pPr>
            <w:r>
              <w:rPr>
                <w:rFonts w:hint="eastAsia"/>
                <w:color w:val="auto"/>
                <w:highlight w:val="none"/>
              </w:rPr>
              <w:t>さらに、スマートフォンを活用したボランティアポイント制度の運用を検討し、高齢者のＩＣＴ</w:t>
            </w:r>
            <w:r>
              <w:rPr>
                <w:rFonts w:hint="default"/>
                <w:color w:val="auto"/>
                <w:highlight w:val="none"/>
              </w:rPr>
              <w:t>の利用促進を図ります。</w:t>
            </w:r>
          </w:p>
        </w:tc>
      </w:tr>
    </w:tbl>
    <w:p>
      <w:pPr>
        <w:pStyle w:val="0"/>
        <w:widowControl w:val="1"/>
        <w:jc w:val="left"/>
        <w:rPr>
          <w:rFonts w:hint="default"/>
          <w:color w:val="auto"/>
          <w:highlight w:val="none"/>
        </w:rPr>
      </w:pPr>
      <w:r>
        <w:rPr>
          <w:rFonts w:hint="default"/>
          <w:color w:val="auto"/>
          <w:highlight w:val="none"/>
        </w:rPr>
        <w:br w:type="page"/>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78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サロン活動の支援</w:t>
            </w:r>
          </w:p>
        </w:tc>
      </w:tr>
      <w:tr>
        <w:trPr>
          <w:trHeight w:val="1296" w:hRule="atLeast"/>
        </w:trPr>
        <w:tc>
          <w:tcPr>
            <w:tcW w:w="8788" w:type="dxa"/>
            <w:vAlign w:val="center"/>
          </w:tcPr>
          <w:p>
            <w:pPr>
              <w:pStyle w:val="52"/>
              <w:rPr>
                <w:rFonts w:hint="default"/>
                <w:color w:val="auto"/>
                <w:highlight w:val="none"/>
              </w:rPr>
            </w:pPr>
            <w:r>
              <w:rPr>
                <w:rFonts w:hint="eastAsia"/>
                <w:color w:val="auto"/>
                <w:highlight w:val="none"/>
              </w:rPr>
              <w:t>新たなサロンの立ち上げの支援等を行うとともに、福祉を切り口とした「まちづくり」の視点から、市内でのサロン活動の情報提供を行います。また、サロンの活動を通じて地域での見守りを推進します。</w:t>
            </w:r>
          </w:p>
        </w:tc>
      </w:tr>
      <w:tr>
        <w:trPr>
          <w:trHeight w:val="510" w:hRule="atLeast"/>
        </w:trPr>
        <w:tc>
          <w:tcPr>
            <w:tcW w:w="878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交流やつながりづくりの推進</w:t>
            </w:r>
          </w:p>
        </w:tc>
      </w:tr>
      <w:tr>
        <w:trPr>
          <w:trHeight w:val="907" w:hRule="atLeast"/>
        </w:trPr>
        <w:tc>
          <w:tcPr>
            <w:tcW w:w="8788" w:type="dxa"/>
            <w:vAlign w:val="center"/>
          </w:tcPr>
          <w:p>
            <w:pPr>
              <w:pStyle w:val="52"/>
              <w:rPr>
                <w:rFonts w:hint="default"/>
                <w:color w:val="auto"/>
                <w:highlight w:val="none"/>
              </w:rPr>
            </w:pPr>
            <w:r>
              <w:rPr>
                <w:rFonts w:hint="eastAsia"/>
                <w:color w:val="auto"/>
                <w:highlight w:val="none"/>
              </w:rPr>
              <w:t>地域と関わり、仲間とつながりを持つことが生活への充実感と健康増進にも影響があると考え、健康やスポーツ、趣味や地域行事への参加を勧めます。</w:t>
            </w:r>
          </w:p>
          <w:p>
            <w:pPr>
              <w:pStyle w:val="52"/>
              <w:rPr>
                <w:rFonts w:hint="default"/>
                <w:color w:val="auto"/>
                <w:highlight w:val="none"/>
              </w:rPr>
            </w:pPr>
            <w:r>
              <w:rPr>
                <w:rFonts w:hint="eastAsia"/>
                <w:color w:val="auto"/>
                <w:highlight w:val="none"/>
              </w:rPr>
              <w:t>併せて、高齢者が外出することに対してポイントを付与する制度を設けることも検討します。</w:t>
            </w:r>
          </w:p>
        </w:tc>
      </w:tr>
      <w:tr>
        <w:trPr>
          <w:trHeight w:val="510" w:hRule="atLeast"/>
        </w:trPr>
        <w:tc>
          <w:tcPr>
            <w:tcW w:w="878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生涯スポーツの支援</w:t>
            </w:r>
          </w:p>
        </w:tc>
      </w:tr>
      <w:tr>
        <w:trPr>
          <w:trHeight w:val="1300" w:hRule="atLeast"/>
        </w:trPr>
        <w:tc>
          <w:tcPr>
            <w:tcW w:w="8788" w:type="dxa"/>
            <w:vAlign w:val="center"/>
          </w:tcPr>
          <w:p>
            <w:pPr>
              <w:pStyle w:val="52"/>
              <w:rPr>
                <w:rFonts w:hint="default"/>
                <w:color w:val="auto"/>
                <w:highlight w:val="none"/>
              </w:rPr>
            </w:pPr>
            <w:r>
              <w:rPr>
                <w:rFonts w:hint="eastAsia"/>
                <w:color w:val="auto"/>
                <w:highlight w:val="none"/>
              </w:rPr>
              <w:t>スポーツを通じて地域における人と人とのつながりを深め、健康寿命の延伸と心身ともに健康で豊かな日常生活を送るため、気軽に運動やスポーツに親しむ機会を増やせるよう支援します。</w:t>
            </w:r>
          </w:p>
        </w:tc>
      </w:tr>
      <w:tr>
        <w:trPr>
          <w:trHeight w:val="510" w:hRule="atLeast"/>
        </w:trPr>
        <w:tc>
          <w:tcPr>
            <w:tcW w:w="878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就労機会の確保</w:t>
            </w:r>
          </w:p>
        </w:tc>
      </w:tr>
      <w:tr>
        <w:trPr>
          <w:trHeight w:val="2034" w:hRule="atLeast"/>
        </w:trPr>
        <w:tc>
          <w:tcPr>
            <w:tcW w:w="8788" w:type="dxa"/>
            <w:vAlign w:val="center"/>
          </w:tcPr>
          <w:p>
            <w:pPr>
              <w:pStyle w:val="52"/>
              <w:rPr>
                <w:rFonts w:hint="default"/>
                <w:color w:val="auto"/>
                <w:highlight w:val="none"/>
              </w:rPr>
            </w:pPr>
            <w:r>
              <w:rPr>
                <w:rFonts w:hint="eastAsia"/>
                <w:color w:val="auto"/>
                <w:highlight w:val="none"/>
              </w:rPr>
              <w:t>高齢者が健康で生きがいを持って働く場の確保やスキルや経験を活かすことができる分野での就労活動を支援するとともに、シルバー人材センターへの加入促進を図ります。</w:t>
            </w:r>
          </w:p>
          <w:p>
            <w:pPr>
              <w:pStyle w:val="52"/>
              <w:rPr>
                <w:rFonts w:hint="default"/>
                <w:color w:val="auto"/>
                <w:highlight w:val="none"/>
              </w:rPr>
            </w:pPr>
            <w:r>
              <w:rPr>
                <w:rFonts w:hint="eastAsia"/>
                <w:color w:val="auto"/>
                <w:highlight w:val="none"/>
              </w:rPr>
              <w:t>また、高齢者自身が介護予防・日常生活支援総合事業における生活支援サービスの担い手となる仕組みづくり等を支援します。</w:t>
            </w:r>
          </w:p>
        </w:tc>
      </w:tr>
    </w:tbl>
    <w:p>
      <w:pPr>
        <w:pStyle w:val="41"/>
        <w:rPr>
          <w:rFonts w:hint="default"/>
          <w:b w:val="1"/>
          <w:color w:val="auto"/>
          <w:highlight w:val="none"/>
        </w:rPr>
      </w:pPr>
    </w:p>
    <w:p>
      <w:pPr>
        <w:pStyle w:val="41"/>
        <w:ind w:left="440" w:leftChars="200"/>
        <w:rPr>
          <w:rFonts w:hint="default" w:ascii="HG丸ｺﾞｼｯｸM-PRO" w:hAnsi="HG丸ｺﾞｼｯｸM-PRO" w:eastAsia="HG丸ｺﾞｼｯｸM-PRO"/>
          <w:color w:val="auto"/>
          <w:highlight w:val="none"/>
        </w:rPr>
      </w:pPr>
      <w:r>
        <w:rPr>
          <w:rFonts w:hint="eastAsia"/>
          <w:b w:val="1"/>
          <w:color w:val="auto"/>
          <w:highlight w:val="none"/>
        </w:rPr>
        <w:t>≪施策の活動指標≫</w:t>
      </w:r>
    </w:p>
    <w:p>
      <w:pPr>
        <w:pStyle w:val="30"/>
        <w:numPr>
          <w:ilvl w:val="0"/>
          <w:numId w:val="3"/>
        </w:numPr>
        <w:spacing w:after="76" w:afterLines="0" w:afterAutospacing="0"/>
        <w:ind w:leftChars="0"/>
        <w:rPr>
          <w:rFonts w:hint="default"/>
          <w:b w:val="0"/>
          <w:color w:val="auto"/>
          <w:sz w:val="22"/>
          <w:highlight w:val="none"/>
        </w:rPr>
      </w:pPr>
      <w:r>
        <w:rPr>
          <w:rFonts w:hint="eastAsia"/>
          <w:b w:val="0"/>
          <w:color w:val="auto"/>
          <w:sz w:val="22"/>
          <w:highlight w:val="none"/>
          <w:shd w:val="clear" w:color="auto" w:themeFill="background1" w:themeFillTint="FF" w:themeFillShade="FF"/>
        </w:rPr>
        <w:t>高齢者の生きがいづくりの推進の取組</w:t>
      </w:r>
    </w:p>
    <w:tbl>
      <w:tblPr>
        <w:tblStyle w:val="81"/>
        <w:tblW w:w="8626" w:type="dxa"/>
        <w:tblInd w:w="435" w:type="dxa"/>
        <w:tblLayout w:type="fixed"/>
        <w:tblLook w:firstRow="1" w:lastRow="0" w:firstColumn="1" w:lastColumn="0" w:noHBand="0" w:noVBand="1" w:val="04A0"/>
      </w:tblPr>
      <w:tblGrid>
        <w:gridCol w:w="3300"/>
        <w:gridCol w:w="1496"/>
        <w:gridCol w:w="1277"/>
        <w:gridCol w:w="1276"/>
        <w:gridCol w:w="1277"/>
      </w:tblGrid>
      <w:tr>
        <w:trPr>
          <w:trHeight w:val="510" w:hRule="atLeast"/>
        </w:trPr>
        <w:tc>
          <w:tcPr>
            <w:tcW w:w="330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49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現状</w:t>
            </w:r>
          </w:p>
        </w:tc>
        <w:tc>
          <w:tcPr>
            <w:tcW w:w="12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6</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(2024</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7</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(2025</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8</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(2026</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r>
      <w:tr>
        <w:trPr>
          <w:trHeight w:val="567" w:hRule="atLeast"/>
        </w:trPr>
        <w:tc>
          <w:tcPr>
            <w:tcW w:w="330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廿らつプラチナボランティア</w:t>
            </w:r>
          </w:p>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手帳交付者数</w:t>
            </w:r>
          </w:p>
        </w:tc>
        <w:tc>
          <w:tcPr>
            <w:tcW w:w="149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640</w:t>
            </w:r>
            <w:r>
              <w:rPr>
                <w:rFonts w:hint="eastAsia" w:ascii="ＭＳ Ｐゴシック" w:hAnsi="ＭＳ Ｐゴシック" w:eastAsia="ＭＳ Ｐゴシック"/>
                <w:color w:val="auto"/>
                <w:sz w:val="21"/>
                <w:highlight w:val="none"/>
              </w:rPr>
              <w:t>人</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660</w:t>
            </w:r>
            <w:r>
              <w:rPr>
                <w:rFonts w:hint="eastAsia" w:ascii="ＭＳ Ｐゴシック" w:hAnsi="ＭＳ Ｐゴシック" w:eastAsia="ＭＳ Ｐゴシック"/>
                <w:color w:val="auto"/>
                <w:sz w:val="21"/>
                <w:highlight w:val="none"/>
              </w:rPr>
              <w:t>人</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680</w:t>
            </w:r>
            <w:r>
              <w:rPr>
                <w:rFonts w:hint="eastAsia" w:ascii="ＭＳ Ｐゴシック" w:hAnsi="ＭＳ Ｐゴシック" w:eastAsia="ＭＳ Ｐゴシック"/>
                <w:color w:val="auto"/>
                <w:sz w:val="21"/>
                <w:highlight w:val="none"/>
              </w:rPr>
              <w:t>人</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700</w:t>
            </w:r>
            <w:r>
              <w:rPr>
                <w:rFonts w:hint="eastAsia" w:ascii="ＭＳ Ｐゴシック" w:hAnsi="ＭＳ Ｐゴシック" w:eastAsia="ＭＳ Ｐゴシック"/>
                <w:color w:val="auto"/>
                <w:sz w:val="21"/>
                <w:highlight w:val="none"/>
              </w:rPr>
              <w:t>人</w:t>
            </w:r>
          </w:p>
        </w:tc>
      </w:tr>
      <w:tr>
        <w:trPr>
          <w:trHeight w:val="567" w:hRule="atLeast"/>
        </w:trPr>
        <w:tc>
          <w:tcPr>
            <w:tcW w:w="330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地域の行事に参加している市民の割合</w:t>
            </w:r>
          </w:p>
        </w:tc>
        <w:tc>
          <w:tcPr>
            <w:tcW w:w="149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42.6</w:t>
            </w:r>
            <w:r>
              <w:rPr>
                <w:rFonts w:hint="eastAsia" w:ascii="ＭＳ Ｐゴシック" w:hAnsi="ＭＳ Ｐゴシック" w:eastAsia="ＭＳ Ｐゴシック"/>
                <w:color w:val="auto"/>
                <w:sz w:val="21"/>
                <w:highlight w:val="none"/>
              </w:rPr>
              <w:t>％</w:t>
            </w:r>
          </w:p>
          <w:p>
            <w:pPr>
              <w:pStyle w:val="0"/>
              <w:autoSpaceDE w:val="0"/>
              <w:autoSpaceDN w:val="0"/>
              <w:jc w:val="center"/>
              <w:rPr>
                <w:rFonts w:hint="default" w:ascii="ＭＳ Ｐゴシック" w:hAnsi="ＭＳ Ｐゴシック" w:eastAsia="ＭＳ Ｐゴシック"/>
                <w:color w:val="auto"/>
                <w:sz w:val="16"/>
                <w:highlight w:val="none"/>
              </w:rPr>
            </w:pPr>
            <w:r>
              <w:rPr>
                <w:rFonts w:hint="eastAsia" w:ascii="ＭＳ Ｐゴシック" w:hAnsi="ＭＳ Ｐゴシック" w:eastAsia="ＭＳ Ｐゴシック"/>
                <w:color w:val="auto"/>
                <w:sz w:val="18"/>
                <w:highlight w:val="none"/>
              </w:rPr>
              <w:t>（令和</w:t>
            </w:r>
            <w:r>
              <w:rPr>
                <w:rFonts w:hint="eastAsia" w:ascii="ＭＳ Ｐゴシック" w:hAnsi="ＭＳ Ｐゴシック" w:eastAsia="ＭＳ Ｐゴシック"/>
                <w:color w:val="auto"/>
                <w:sz w:val="18"/>
                <w:highlight w:val="none"/>
              </w:rPr>
              <w:t>4</w:t>
            </w:r>
            <w:r>
              <w:rPr>
                <w:rFonts w:hint="eastAsia" w:ascii="ＭＳ Ｐゴシック" w:hAnsi="ＭＳ Ｐゴシック" w:eastAsia="ＭＳ Ｐゴシック"/>
                <w:color w:val="auto"/>
                <w:sz w:val="18"/>
                <w:highlight w:val="none"/>
              </w:rPr>
              <w:t>年度）</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highlight w:val="none"/>
              </w:rPr>
              <w:t>44.0</w:t>
            </w:r>
            <w:r>
              <w:rPr>
                <w:rFonts w:hint="eastAsia" w:ascii="ＭＳ Ｐゴシック" w:hAnsi="ＭＳ Ｐゴシック" w:eastAsia="ＭＳ Ｐゴシック"/>
                <w:color w:val="auto"/>
                <w:highlight w:val="none"/>
              </w:rPr>
              <w:t>％</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highlight w:val="none"/>
              </w:rPr>
              <w:t>45.0</w:t>
            </w:r>
            <w:r>
              <w:rPr>
                <w:rFonts w:hint="eastAsia" w:ascii="ＭＳ Ｐゴシック" w:hAnsi="ＭＳ Ｐゴシック" w:eastAsia="ＭＳ Ｐゴシック"/>
                <w:color w:val="auto"/>
                <w:highlight w:val="none"/>
              </w:rPr>
              <w:t>％</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highlight w:val="none"/>
              </w:rPr>
              <w:t>46.0</w:t>
            </w:r>
            <w:r>
              <w:rPr>
                <w:rFonts w:hint="eastAsia" w:ascii="ＭＳ Ｐゴシック" w:hAnsi="ＭＳ Ｐゴシック" w:eastAsia="ＭＳ Ｐゴシック"/>
                <w:color w:val="auto"/>
                <w:highlight w:val="none"/>
              </w:rPr>
              <w:t>％</w:t>
            </w:r>
          </w:p>
        </w:tc>
      </w:tr>
    </w:tbl>
    <w:p>
      <w:pPr>
        <w:pStyle w:val="0"/>
        <w:widowControl w:val="1"/>
        <w:jc w:val="left"/>
        <w:rPr>
          <w:rFonts w:hint="default" w:ascii="HG丸ｺﾞｼｯｸM-PRO" w:hAnsi="HG丸ｺﾞｼｯｸM-PRO" w:eastAsia="HG丸ｺﾞｼｯｸM-PRO"/>
          <w:color w:val="auto"/>
          <w:highlight w:val="none"/>
        </w:rPr>
      </w:pPr>
    </w:p>
    <w:p>
      <w:pPr>
        <w:pStyle w:val="41"/>
        <w:rPr>
          <w:rFonts w:hint="default"/>
          <w:color w:val="auto"/>
          <w:highlight w:val="none"/>
        </w:rPr>
      </w:pPr>
    </w:p>
    <w:p>
      <w:pPr>
        <w:pStyle w:val="0"/>
        <w:widowControl w:val="1"/>
        <w:jc w:val="left"/>
        <w:rPr>
          <w:rFonts w:hint="default"/>
          <w:color w:val="auto"/>
          <w:highlight w:val="none"/>
        </w:rPr>
      </w:pPr>
      <w:r>
        <w:rPr>
          <w:rFonts w:hint="default"/>
          <w:color w:val="auto"/>
          <w:highlight w:val="none"/>
        </w:rPr>
        <w:br w:type="page"/>
      </w:r>
    </w:p>
    <w:p>
      <w:pPr>
        <w:pStyle w:val="22"/>
        <w:spacing w:after="76" w:afterLines="0" w:afterAutospacing="0"/>
        <w:rPr>
          <w:rFonts w:hint="default"/>
          <w:color w:val="auto"/>
          <w:highlight w:val="none"/>
        </w:rPr>
      </w:pPr>
      <w:bookmarkStart w:id="124" w:name="_Toc152160669"/>
      <w:r>
        <w:rPr>
          <w:rFonts w:hint="eastAsia"/>
          <w:color w:val="auto"/>
          <w:highlight w:val="none"/>
        </w:rPr>
        <w:t>基本方針３　認知症施策の推進</w:t>
      </w:r>
      <w:bookmarkEnd w:id="124"/>
    </w:p>
    <w:p>
      <w:pPr>
        <w:pStyle w:val="41"/>
        <w:rPr>
          <w:rFonts w:hint="default"/>
          <w:color w:val="auto"/>
          <w:highlight w:val="none"/>
        </w:rPr>
      </w:pPr>
      <w:r>
        <w:rPr>
          <w:rFonts w:hint="default"/>
          <w:color w:val="auto"/>
          <w:highlight w:val="none"/>
        </w:rPr>
        <mc:AlternateContent>
          <mc:Choice Requires="wps">
            <w:drawing>
              <wp:anchor distT="0" distB="0" distL="114300" distR="114300" simplePos="0" relativeHeight="5" behindDoc="0" locked="0" layoutInCell="1" hidden="0" allowOverlap="1">
                <wp:simplePos x="0" y="0"/>
                <wp:positionH relativeFrom="column">
                  <wp:posOffset>0</wp:posOffset>
                </wp:positionH>
                <wp:positionV relativeFrom="paragraph">
                  <wp:posOffset>51435</wp:posOffset>
                </wp:positionV>
                <wp:extent cx="5734050" cy="647700"/>
                <wp:effectExtent l="635" t="635" r="29845" b="10795"/>
                <wp:wrapNone/>
                <wp:docPr id="1180" name="AutoShape 54"/>
                <a:graphic xmlns:a="http://schemas.openxmlformats.org/drawingml/2006/main">
                  <a:graphicData uri="http://schemas.microsoft.com/office/word/2010/wordprocessingShape">
                    <wps:wsp>
                      <wps:cNvPr id="1180" name="AutoShape 54"/>
                      <wps:cNvSpPr>
                        <a:spLocks noChangeArrowheads="1"/>
                      </wps:cNvSpPr>
                      <wps:spPr>
                        <a:xfrm>
                          <a:off x="0" y="0"/>
                          <a:ext cx="5734050" cy="647700"/>
                        </a:xfrm>
                        <a:prstGeom prst="roundRect">
                          <a:avLst>
                            <a:gd name="adj" fmla="val 13611"/>
                          </a:avLst>
                        </a:prstGeom>
                        <a:solidFill>
                          <a:schemeClr val="bg1"/>
                        </a:solidFill>
                        <a:ln w="6350">
                          <a:solidFill>
                            <a:srgbClr val="0070C0"/>
                          </a:solidFill>
                          <a:round/>
                          <a:headEnd/>
                          <a:tailEnd/>
                        </a:ln>
                      </wps:spPr>
                      <wps:txbx>
                        <w:txbxContent>
                          <w:p>
                            <w:pPr>
                              <w:pStyle w:val="0"/>
                              <w:spacing w:line="360" w:lineRule="exact"/>
                              <w:ind w:left="350" w:leftChars="50" w:hanging="240" w:hangingChars="100"/>
                              <w:jc w:val="left"/>
                              <w:rPr>
                                <w:rFonts w:hint="default" w:ascii="メイリオ" w:hAnsi="メイリオ" w:eastAsia="メイリオ"/>
                                <w:b w:val="1"/>
                                <w:sz w:val="24"/>
                              </w:rPr>
                            </w:pPr>
                            <w:r>
                              <w:rPr>
                                <w:rFonts w:hint="eastAsia" w:ascii="メイリオ" w:hAnsi="メイリオ" w:eastAsia="メイリオ"/>
                                <w:b w:val="1"/>
                                <w:color w:val="FFFFFF" w:themeColor="background1"/>
                                <w:sz w:val="24"/>
                                <w:shd w:val="clear" w:color="auto" w:fill="0070C0"/>
                              </w:rPr>
                              <w:t>めざす</w:t>
                            </w:r>
                            <w:r>
                              <w:rPr>
                                <w:rFonts w:hint="default" w:ascii="メイリオ" w:hAnsi="メイリオ" w:eastAsia="メイリオ"/>
                                <w:b w:val="1"/>
                                <w:color w:val="FFFFFF" w:themeColor="background1"/>
                                <w:sz w:val="24"/>
                                <w:shd w:val="clear" w:color="auto" w:fill="0070C0"/>
                              </w:rPr>
                              <w:t>姿</w:t>
                            </w:r>
                          </w:p>
                          <w:p>
                            <w:pPr>
                              <w:pStyle w:val="0"/>
                              <w:spacing w:before="111" w:beforeLines="30" w:beforeAutospacing="0" w:line="360" w:lineRule="exact"/>
                              <w:ind w:left="570" w:leftChars="150" w:hanging="240" w:hangingChars="100"/>
                              <w:jc w:val="left"/>
                              <w:rPr>
                                <w:rFonts w:hint="default" w:ascii="メイリオ" w:hAnsi="メイリオ" w:eastAsia="メイリオ"/>
                                <w:sz w:val="24"/>
                              </w:rPr>
                            </w:pPr>
                            <w:r>
                              <w:rPr>
                                <w:rFonts w:hint="eastAsia" w:ascii="メイリオ" w:hAnsi="メイリオ" w:eastAsia="メイリオ"/>
                                <w:sz w:val="24"/>
                              </w:rPr>
                              <w:t>認知症の人が、尊厳と希望を持って</w:t>
                            </w:r>
                            <w:r>
                              <w:rPr>
                                <w:rFonts w:hint="eastAsia" w:ascii="メイリオ" w:hAnsi="メイリオ" w:eastAsia="メイリオ"/>
                                <w:color w:val="000000" w:themeColor="text1"/>
                                <w:sz w:val="24"/>
                                <w:highlight w:val="none"/>
                              </w:rPr>
                              <w:t>暮らす</w:t>
                            </w:r>
                            <w:r>
                              <w:rPr>
                                <w:rFonts w:hint="eastAsia" w:ascii="メイリオ" w:hAnsi="メイリオ" w:eastAsia="メイリオ"/>
                                <w:sz w:val="24"/>
                              </w:rPr>
                              <w:t>ことができている</w:t>
                            </w:r>
                          </w:p>
                        </w:txbxContent>
                      </wps:txbx>
                      <wps:bodyPr rot="0" vertOverflow="overflow" horzOverflow="overflow" wrap="square" lIns="0" tIns="0" rIns="0" bIns="0" anchor="ctr" anchorCtr="0" upright="1"/>
                    </wps:wsp>
                  </a:graphicData>
                </a:graphic>
              </wp:anchor>
            </w:drawing>
          </mc:Choice>
          <mc:Fallback>
            <w:pict>
              <v:roundrect id="AutoShape 54" style="mso-wrap-distance-right:9pt;mso-wrap-distance-bottom:0pt;margin-top:4.05pt;mso-position-vertical-relative:text;mso-position-horizontal-relative:text;v-text-anchor:middle;position:absolute;height:51pt;mso-wrap-distance-top:0pt;width:451.5pt;mso-wrap-distance-left:9pt;margin-left:0pt;z-index:5;" o:spid="_x0000_s1180" o:allowincell="t" o:allowoverlap="t" filled="t" fillcolor="#ffffff [3212]" stroked="t" strokecolor="#0070c0" strokeweight="0.5pt" o:spt="2" arcsize="8920f">
                <v:fill/>
                <v:stroke filltype="solid"/>
                <v:textbox style="layout-flow:horizontal;" inset="0mm,0mm,0mm,0mm">
                  <w:txbxContent>
                    <w:p>
                      <w:pPr>
                        <w:pStyle w:val="0"/>
                        <w:spacing w:line="360" w:lineRule="exact"/>
                        <w:ind w:left="350" w:leftChars="50" w:hanging="240" w:hangingChars="100"/>
                        <w:jc w:val="left"/>
                        <w:rPr>
                          <w:rFonts w:hint="default" w:ascii="メイリオ" w:hAnsi="メイリオ" w:eastAsia="メイリオ"/>
                          <w:b w:val="1"/>
                          <w:sz w:val="24"/>
                        </w:rPr>
                      </w:pPr>
                      <w:r>
                        <w:rPr>
                          <w:rFonts w:hint="eastAsia" w:ascii="メイリオ" w:hAnsi="メイリオ" w:eastAsia="メイリオ"/>
                          <w:b w:val="1"/>
                          <w:color w:val="FFFFFF" w:themeColor="background1"/>
                          <w:sz w:val="24"/>
                          <w:shd w:val="clear" w:color="auto" w:fill="0070C0"/>
                        </w:rPr>
                        <w:t>めざす</w:t>
                      </w:r>
                      <w:r>
                        <w:rPr>
                          <w:rFonts w:hint="default" w:ascii="メイリオ" w:hAnsi="メイリオ" w:eastAsia="メイリオ"/>
                          <w:b w:val="1"/>
                          <w:color w:val="FFFFFF" w:themeColor="background1"/>
                          <w:sz w:val="24"/>
                          <w:shd w:val="clear" w:color="auto" w:fill="0070C0"/>
                        </w:rPr>
                        <w:t>姿</w:t>
                      </w:r>
                    </w:p>
                    <w:p>
                      <w:pPr>
                        <w:pStyle w:val="0"/>
                        <w:spacing w:before="111" w:beforeLines="30" w:beforeAutospacing="0" w:line="360" w:lineRule="exact"/>
                        <w:ind w:left="570" w:leftChars="150" w:hanging="240" w:hangingChars="100"/>
                        <w:jc w:val="left"/>
                        <w:rPr>
                          <w:rFonts w:hint="default" w:ascii="メイリオ" w:hAnsi="メイリオ" w:eastAsia="メイリオ"/>
                          <w:sz w:val="24"/>
                        </w:rPr>
                      </w:pPr>
                      <w:r>
                        <w:rPr>
                          <w:rFonts w:hint="eastAsia" w:ascii="メイリオ" w:hAnsi="メイリオ" w:eastAsia="メイリオ"/>
                          <w:sz w:val="24"/>
                        </w:rPr>
                        <w:t>認知症の人が、尊厳と希望を持って</w:t>
                      </w:r>
                      <w:r>
                        <w:rPr>
                          <w:rFonts w:hint="eastAsia" w:ascii="メイリオ" w:hAnsi="メイリオ" w:eastAsia="メイリオ"/>
                          <w:color w:val="000000" w:themeColor="text1"/>
                          <w:sz w:val="24"/>
                          <w:highlight w:val="none"/>
                        </w:rPr>
                        <w:t>暮らす</w:t>
                      </w:r>
                      <w:r>
                        <w:rPr>
                          <w:rFonts w:hint="eastAsia" w:ascii="メイリオ" w:hAnsi="メイリオ" w:eastAsia="メイリオ"/>
                          <w:sz w:val="24"/>
                        </w:rPr>
                        <w:t>ことができている</w:t>
                      </w:r>
                    </w:p>
                  </w:txbxContent>
                </v:textbox>
                <v:imagedata o:title=""/>
                <w10:wrap type="none" anchorx="text" anchory="text"/>
              </v:roundrect>
            </w:pict>
          </mc:Fallback>
        </mc:AlternateContent>
      </w:r>
    </w:p>
    <w:p>
      <w:pPr>
        <w:pStyle w:val="41"/>
        <w:rPr>
          <w:rFonts w:hint="default"/>
          <w:color w:val="auto"/>
          <w:highlight w:val="none"/>
        </w:rPr>
      </w:pPr>
    </w:p>
    <w:p>
      <w:pPr>
        <w:pStyle w:val="41"/>
        <w:rPr>
          <w:rFonts w:hint="default"/>
          <w:color w:val="auto"/>
          <w:highlight w:val="none"/>
        </w:rPr>
      </w:pPr>
    </w:p>
    <w:p>
      <w:pPr>
        <w:pStyle w:val="24"/>
        <w:spacing w:before="185" w:beforeLines="50" w:beforeAutospacing="0"/>
        <w:rPr>
          <w:rFonts w:hint="default"/>
          <w:color w:val="auto"/>
          <w:highlight w:val="none"/>
        </w:rPr>
      </w:pPr>
      <w:r>
        <w:rPr>
          <w:rFonts w:hint="eastAsia"/>
          <w:color w:val="auto"/>
          <w:highlight w:val="none"/>
        </w:rPr>
        <w:t>認知症施策推進大綱に基づき、認知症の人ができる限り地域のよい環境で自分らしく暮らし続けることができる社会の実現をめざします。</w:t>
      </w:r>
    </w:p>
    <w:p>
      <w:pPr>
        <w:pStyle w:val="24"/>
        <w:rPr>
          <w:rFonts w:hint="default"/>
          <w:color w:val="auto"/>
          <w:highlight w:val="none"/>
        </w:rPr>
      </w:pPr>
      <w:r>
        <w:rPr>
          <w:rFonts w:hint="eastAsia"/>
          <w:color w:val="auto"/>
          <w:highlight w:val="none"/>
        </w:rPr>
        <w:t>認知症の発症を遅らせ、認知症になっても希望を持って日常生活を過ごせるよう、認知症に対する地域の理解を深めるとともに、認知症の人や家族の視点を大切にしながら、「共生」と「予防」を両輪とした認知症施策を推進します。</w:t>
      </w:r>
    </w:p>
    <w:p>
      <w:pPr>
        <w:pStyle w:val="30"/>
        <w:spacing w:before="185" w:beforeLines="50" w:beforeAutospacing="0" w:after="76" w:afterLines="0" w:afterAutospacing="0"/>
        <w:ind w:left="442" w:leftChars="0"/>
        <w:rPr>
          <w:rFonts w:hint="default"/>
          <w:color w:val="auto"/>
          <w:highlight w:val="none"/>
        </w:rPr>
      </w:pPr>
      <w:bookmarkStart w:id="125" w:name="_Toc149685636"/>
      <w:bookmarkEnd w:id="125"/>
      <w:r>
        <w:rPr>
          <w:rFonts w:hint="eastAsia"/>
          <w:color w:val="auto"/>
          <w:highlight w:val="none"/>
        </w:rPr>
        <w:t>≪基本方針の評価指標≫</w:t>
      </w:r>
    </w:p>
    <w:tbl>
      <w:tblPr>
        <w:tblStyle w:val="81"/>
        <w:tblW w:w="8626" w:type="dxa"/>
        <w:tblInd w:w="435" w:type="dxa"/>
        <w:tblLayout w:type="fixed"/>
        <w:tblLook w:firstRow="1" w:lastRow="0" w:firstColumn="1" w:lastColumn="0" w:noHBand="0" w:noVBand="1" w:val="04A0"/>
      </w:tblPr>
      <w:tblGrid>
        <w:gridCol w:w="3300"/>
        <w:gridCol w:w="1496"/>
        <w:gridCol w:w="1277"/>
        <w:gridCol w:w="1276"/>
        <w:gridCol w:w="1277"/>
      </w:tblGrid>
      <w:tr>
        <w:trPr>
          <w:trHeight w:val="510" w:hRule="atLeast"/>
        </w:trPr>
        <w:tc>
          <w:tcPr>
            <w:tcW w:w="330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49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現状</w:t>
            </w:r>
          </w:p>
        </w:tc>
        <w:tc>
          <w:tcPr>
            <w:tcW w:w="12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6</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(2024</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7</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(2025</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8</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(2026</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r>
      <w:tr>
        <w:trPr>
          <w:trHeight w:val="567" w:hRule="atLeast"/>
        </w:trPr>
        <w:tc>
          <w:tcPr>
            <w:tcW w:w="330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相談窓口の認知度</w:t>
            </w:r>
          </w:p>
        </w:tc>
        <w:tc>
          <w:tcPr>
            <w:tcW w:w="149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28.9</w:t>
            </w:r>
            <w:r>
              <w:rPr>
                <w:rFonts w:hint="eastAsia" w:ascii="ＭＳ Ｐゴシック" w:hAnsi="ＭＳ Ｐゴシック" w:eastAsia="ＭＳ Ｐゴシック"/>
                <w:color w:val="auto"/>
                <w:sz w:val="21"/>
                <w:highlight w:val="none"/>
              </w:rPr>
              <w:t>％</w:t>
            </w:r>
          </w:p>
          <w:p>
            <w:pPr>
              <w:pStyle w:val="0"/>
              <w:autoSpaceDE w:val="0"/>
              <w:autoSpaceDN w:val="0"/>
              <w:spacing w:line="0" w:lineRule="atLeast"/>
              <w:jc w:val="center"/>
              <w:rPr>
                <w:rFonts w:hint="default" w:ascii="ＭＳ Ｐゴシック" w:hAnsi="ＭＳ Ｐゴシック" w:eastAsia="ＭＳ Ｐゴシック"/>
                <w:color w:val="auto"/>
                <w:sz w:val="16"/>
                <w:highlight w:val="none"/>
              </w:rPr>
            </w:pPr>
            <w:r>
              <w:rPr>
                <w:rFonts w:hint="eastAsia" w:ascii="ＭＳ Ｐゴシック" w:hAnsi="ＭＳ Ｐゴシック" w:eastAsia="ＭＳ Ｐゴシック"/>
                <w:color w:val="auto"/>
                <w:sz w:val="16"/>
                <w:highlight w:val="none"/>
              </w:rPr>
              <w:t>（令和</w:t>
            </w:r>
            <w:r>
              <w:rPr>
                <w:rFonts w:hint="eastAsia" w:ascii="ＭＳ Ｐゴシック" w:hAnsi="ＭＳ Ｐゴシック" w:eastAsia="ＭＳ Ｐゴシック"/>
                <w:color w:val="auto"/>
                <w:sz w:val="16"/>
                <w:highlight w:val="none"/>
              </w:rPr>
              <w:t>4</w:t>
            </w:r>
            <w:r>
              <w:rPr>
                <w:rFonts w:hint="eastAsia" w:ascii="ＭＳ Ｐゴシック" w:hAnsi="ＭＳ Ｐゴシック" w:eastAsia="ＭＳ Ｐゴシック"/>
                <w:color w:val="auto"/>
                <w:sz w:val="16"/>
                <w:highlight w:val="none"/>
              </w:rPr>
              <w:t>年度）</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30.0</w:t>
            </w:r>
            <w:r>
              <w:rPr>
                <w:rFonts w:hint="eastAsia" w:ascii="ＭＳ Ｐゴシック" w:hAnsi="ＭＳ Ｐゴシック" w:eastAsia="ＭＳ Ｐゴシック"/>
                <w:color w:val="auto"/>
                <w:sz w:val="21"/>
                <w:highlight w:val="none"/>
              </w:rPr>
              <w:t>％</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32.0</w:t>
            </w:r>
            <w:r>
              <w:rPr>
                <w:rFonts w:hint="eastAsia" w:ascii="ＭＳ Ｐゴシック" w:hAnsi="ＭＳ Ｐゴシック" w:eastAsia="ＭＳ Ｐゴシック"/>
                <w:color w:val="auto"/>
                <w:sz w:val="21"/>
                <w:highlight w:val="none"/>
              </w:rPr>
              <w:t>％</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34.0</w:t>
            </w:r>
            <w:r>
              <w:rPr>
                <w:rFonts w:hint="eastAsia" w:ascii="ＭＳ Ｐゴシック" w:hAnsi="ＭＳ Ｐゴシック" w:eastAsia="ＭＳ Ｐゴシック"/>
                <w:color w:val="auto"/>
                <w:sz w:val="21"/>
                <w:highlight w:val="none"/>
              </w:rPr>
              <w:t>％</w:t>
            </w:r>
          </w:p>
        </w:tc>
      </w:tr>
    </w:tbl>
    <w:p>
      <w:pPr>
        <w:pStyle w:val="41"/>
        <w:rPr>
          <w:rFonts w:hint="default" w:ascii="HG丸ｺﾞｼｯｸM-PRO" w:hAnsi="HG丸ｺﾞｼｯｸM-PRO" w:eastAsia="HG丸ｺﾞｼｯｸM-PRO"/>
          <w:color w:val="auto"/>
          <w:highlight w:val="none"/>
        </w:rPr>
      </w:pPr>
    </w:p>
    <w:p>
      <w:pPr>
        <w:pStyle w:val="41"/>
        <w:rPr>
          <w:rFonts w:hint="default"/>
          <w:color w:val="auto"/>
          <w:highlight w:val="none"/>
        </w:rPr>
      </w:pPr>
    </w:p>
    <w:p>
      <w:pPr>
        <w:pStyle w:val="0"/>
        <w:widowControl w:val="1"/>
        <w:jc w:val="left"/>
        <w:rPr>
          <w:rFonts w:hint="default"/>
          <w:color w:val="auto"/>
          <w:highlight w:val="none"/>
        </w:rPr>
      </w:pPr>
      <w:r>
        <w:rPr>
          <w:rFonts w:hint="default"/>
          <w:b w:val="1"/>
          <w:color w:val="auto"/>
          <w:highlight w:val="none"/>
        </w:rPr>
        <w:br w:type="page"/>
      </w:r>
    </w:p>
    <w:p>
      <w:pPr>
        <w:pStyle w:val="26"/>
        <w:spacing w:after="76" w:afterLines="0" w:afterAutospacing="0"/>
        <w:rPr>
          <w:rFonts w:hint="default"/>
          <w:color w:val="auto"/>
          <w:highlight w:val="none"/>
        </w:rPr>
      </w:pPr>
      <w:bookmarkStart w:id="126" w:name="_Toc152160670"/>
      <w:r>
        <w:rPr>
          <w:rFonts w:hint="eastAsia"/>
          <w:color w:val="auto"/>
          <w:highlight w:val="none"/>
        </w:rPr>
        <w:t>（１）</w:t>
      </w:r>
      <w:r>
        <w:rPr>
          <w:rFonts w:hint="eastAsia"/>
          <w:color w:val="auto"/>
          <w:highlight w:val="none"/>
        </w:rPr>
        <w:t xml:space="preserve"> </w:t>
      </w:r>
      <w:r>
        <w:rPr>
          <w:rFonts w:hint="eastAsia"/>
          <w:color w:val="auto"/>
          <w:highlight w:val="none"/>
        </w:rPr>
        <w:t>認知症の理解促進</w:t>
      </w:r>
      <w:bookmarkEnd w:id="126"/>
    </w:p>
    <w:p>
      <w:pPr>
        <w:pStyle w:val="50"/>
        <w:spacing w:before="114" w:beforeLines="0" w:beforeAutospacing="0" w:after="114" w:afterLines="0" w:afterAutospacing="0"/>
        <w:rPr>
          <w:rFonts w:hint="default"/>
          <w:color w:val="auto"/>
          <w:highlight w:val="none"/>
        </w:rPr>
      </w:pPr>
      <w:r>
        <w:rPr>
          <w:rFonts w:hint="eastAsia"/>
          <w:color w:val="auto"/>
          <w:highlight w:val="none"/>
        </w:rPr>
        <w:t>◆◆現状と課題◆◆</w:t>
      </w:r>
    </w:p>
    <w:p>
      <w:pPr>
        <w:pStyle w:val="28"/>
        <w:rPr>
          <w:rFonts w:hint="default"/>
          <w:color w:val="auto"/>
          <w:highlight w:val="none"/>
        </w:rPr>
      </w:pPr>
      <w:r>
        <w:rPr>
          <w:rFonts w:hint="eastAsia"/>
          <w:color w:val="auto"/>
          <w:highlight w:val="none"/>
        </w:rPr>
        <w:t>令和５（</w:t>
      </w:r>
      <w:r>
        <w:rPr>
          <w:rFonts w:hint="default"/>
          <w:color w:val="auto"/>
          <w:highlight w:val="none"/>
        </w:rPr>
        <w:t>2023</w:t>
      </w:r>
      <w:r>
        <w:rPr>
          <w:rFonts w:hint="default"/>
          <w:color w:val="auto"/>
          <w:highlight w:val="none"/>
        </w:rPr>
        <w:t>）年に</w:t>
      </w:r>
      <w:r>
        <w:rPr>
          <w:rFonts w:hint="eastAsia"/>
          <w:color w:val="auto"/>
          <w:highlight w:val="none"/>
        </w:rPr>
        <w:t>認知症の人を含めた国民一人ひとりがその個性と能力を十分に発揮し、相互に人格と個性を尊重しつつ支え合いながら共生する活力ある社会（＝共生社会）の実現をめざし、</w:t>
      </w:r>
      <w:r>
        <w:rPr>
          <w:rFonts w:hint="default"/>
          <w:color w:val="auto"/>
          <w:highlight w:val="none"/>
        </w:rPr>
        <w:t>認知症基本法</w:t>
      </w:r>
      <w:r>
        <w:rPr>
          <w:rFonts w:hint="eastAsia"/>
          <w:color w:val="auto"/>
          <w:highlight w:val="none"/>
        </w:rPr>
        <w:t>が成立しました。</w:t>
      </w:r>
    </w:p>
    <w:p>
      <w:pPr>
        <w:pStyle w:val="28"/>
        <w:rPr>
          <w:rFonts w:hint="default"/>
          <w:color w:val="auto"/>
          <w:highlight w:val="none"/>
        </w:rPr>
      </w:pPr>
      <w:r>
        <w:rPr>
          <w:rFonts w:hint="eastAsia"/>
          <w:color w:val="auto"/>
          <w:highlight w:val="none"/>
        </w:rPr>
        <w:t>今後、</w:t>
      </w:r>
      <w:r>
        <w:rPr>
          <w:rFonts w:hint="eastAsia"/>
          <w:color w:val="auto"/>
          <w:highlight w:val="none"/>
        </w:rPr>
        <w:t>85</w:t>
      </w:r>
      <w:r>
        <w:rPr>
          <w:rFonts w:hint="eastAsia"/>
          <w:color w:val="auto"/>
          <w:highlight w:val="none"/>
        </w:rPr>
        <w:t>歳以上の高齢者の増加に伴い、認知症の高齢者が増加することが見込まれており、また、認知症は誰もがなりうるものであり、家族や身近な人が認知症になることなどを含め、多くの人にとって身近なものとなっています。</w:t>
      </w:r>
    </w:p>
    <w:p>
      <w:pPr>
        <w:pStyle w:val="28"/>
        <w:rPr>
          <w:rFonts w:hint="default"/>
          <w:color w:val="auto"/>
          <w:highlight w:val="none"/>
        </w:rPr>
      </w:pPr>
      <w:r>
        <w:rPr>
          <w:rFonts w:hint="eastAsia"/>
          <w:color w:val="auto"/>
          <w:highlight w:val="none"/>
        </w:rPr>
        <w:t>ニーズ調査の結果では、認知症に関する相談窓口を知っている人は３割程度にとどまり、認知症に関する取組に関しては７割が知らないと回答しています。</w:t>
      </w:r>
    </w:p>
    <w:p>
      <w:pPr>
        <w:pStyle w:val="28"/>
        <w:rPr>
          <w:rFonts w:hint="default"/>
          <w:color w:val="auto"/>
          <w:highlight w:val="none"/>
        </w:rPr>
      </w:pPr>
      <w:r>
        <w:rPr>
          <w:rFonts w:hint="eastAsia"/>
          <w:color w:val="auto"/>
          <w:highlight w:val="none"/>
        </w:rPr>
        <w:t>認知症対策として重要なこととして、「早期発見・早期診療の仕組みづくり」、「認知症のある人が外出しても安心・安全に家に帰ることができるまちづくり」、「認知症予防に関する啓発」、「認知症がある人への接し方、介護に関する啓発」が回答として多くありました。</w:t>
      </w:r>
    </w:p>
    <w:p>
      <w:pPr>
        <w:pStyle w:val="28"/>
        <w:rPr>
          <w:rFonts w:hint="default"/>
          <w:color w:val="auto"/>
          <w:highlight w:val="none"/>
        </w:rPr>
      </w:pPr>
      <w:r>
        <w:rPr>
          <w:rFonts w:hint="eastAsia"/>
          <w:color w:val="auto"/>
          <w:highlight w:val="none"/>
        </w:rPr>
        <w:t>認知症に関する正しい知識や取組の普及啓発を、様々な媒体を活用して、幅広い世代に発信する必要があります。</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◆◆施策の方向性◆◆</w:t>
      </w:r>
    </w:p>
    <w:p>
      <w:pPr>
        <w:pStyle w:val="28"/>
        <w:rPr>
          <w:rFonts w:hint="default"/>
          <w:color w:val="auto"/>
          <w:highlight w:val="none"/>
        </w:rPr>
      </w:pPr>
      <w:r>
        <w:rPr>
          <w:rFonts w:hint="eastAsia"/>
          <w:color w:val="auto"/>
          <w:highlight w:val="none"/>
        </w:rPr>
        <w:t>認知症に関する相談が身近でできる体制や、認知症の人ができる限り住み慣れた地域で暮らし続けるために、認知症に対する地域の理解を深める取組を行います。</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◆◆具体的施策◆◆</w:t>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認知症サポーターの養成</w:t>
            </w:r>
          </w:p>
        </w:tc>
      </w:tr>
      <w:tr>
        <w:trPr>
          <w:trHeight w:val="907" w:hRule="atLeast"/>
        </w:trPr>
        <w:tc>
          <w:tcPr>
            <w:tcW w:w="8668" w:type="dxa"/>
            <w:vAlign w:val="center"/>
          </w:tcPr>
          <w:p>
            <w:pPr>
              <w:pStyle w:val="52"/>
              <w:rPr>
                <w:rFonts w:hint="default"/>
                <w:color w:val="auto"/>
                <w:highlight w:val="none"/>
              </w:rPr>
            </w:pPr>
            <w:r>
              <w:rPr>
                <w:rFonts w:hint="eastAsia"/>
                <w:color w:val="auto"/>
                <w:highlight w:val="none"/>
              </w:rPr>
              <w:t>地域住民や企業社員を対象とし、認知症に関する正しい知識と理解を持ち、地域や職域で認知症の人やその家族に対して、できる範囲で手助けや支援をする「認知症サポーター」を養成します。小中学校での認知症サポーター養成研修の実施等、若い世代の認知症への理解を促進します。</w:t>
            </w:r>
          </w:p>
          <w:p>
            <w:pPr>
              <w:pStyle w:val="52"/>
              <w:rPr>
                <w:rFonts w:hint="default"/>
                <w:color w:val="auto"/>
                <w:highlight w:val="none"/>
              </w:rPr>
            </w:pPr>
            <w:r>
              <w:rPr>
                <w:rFonts w:hint="eastAsia"/>
                <w:color w:val="auto"/>
                <w:highlight w:val="none"/>
              </w:rPr>
              <w:t>また、認知症サポーターステップアップ講座を実施し、より認知症への理解を深め、チームオレンジへの活動につなげます。</w:t>
            </w:r>
          </w:p>
        </w:tc>
      </w:tr>
    </w:tbl>
    <w:p>
      <w:pPr>
        <w:pStyle w:val="41"/>
        <w:rPr>
          <w:rFonts w:hint="default"/>
          <w:color w:val="auto"/>
          <w:highlight w:val="none"/>
        </w:rPr>
      </w:pPr>
    </w:p>
    <w:p>
      <w:pPr>
        <w:pStyle w:val="0"/>
        <w:widowControl w:val="1"/>
        <w:jc w:val="left"/>
        <w:rPr>
          <w:rFonts w:hint="default"/>
          <w:color w:val="auto"/>
          <w:highlight w:val="none"/>
        </w:rPr>
      </w:pPr>
      <w:r>
        <w:rPr>
          <w:rFonts w:hint="default"/>
          <w:color w:val="auto"/>
          <w:highlight w:val="none"/>
        </w:rPr>
        <w:br w:type="page"/>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認知症に関する啓発の推進と相談窓口の周知</w:t>
            </w:r>
          </w:p>
        </w:tc>
      </w:tr>
      <w:tr>
        <w:trPr>
          <w:trHeight w:val="907" w:hRule="atLeast"/>
        </w:trPr>
        <w:tc>
          <w:tcPr>
            <w:tcW w:w="8668" w:type="dxa"/>
            <w:vAlign w:val="center"/>
          </w:tcPr>
          <w:p>
            <w:pPr>
              <w:pStyle w:val="52"/>
              <w:rPr>
                <w:rFonts w:hint="default"/>
                <w:color w:val="auto"/>
                <w:highlight w:val="none"/>
              </w:rPr>
            </w:pPr>
            <w:r>
              <w:rPr>
                <w:rFonts w:hint="eastAsia"/>
                <w:color w:val="auto"/>
                <w:highlight w:val="none"/>
              </w:rPr>
              <w:t>認知症に関する正しい知識の普及を図るため、出前講座、講演会、市広報紙等による情報発信を行います。</w:t>
            </w:r>
          </w:p>
          <w:p>
            <w:pPr>
              <w:pStyle w:val="52"/>
              <w:rPr>
                <w:rFonts w:hint="default"/>
                <w:color w:val="auto"/>
                <w:highlight w:val="none"/>
              </w:rPr>
            </w:pPr>
            <w:r>
              <w:rPr>
                <w:rFonts w:hint="eastAsia"/>
                <w:color w:val="auto"/>
                <w:highlight w:val="none"/>
              </w:rPr>
              <w:t>地域包括支援センター等の認知症に関する相談窓口を、市ホームページやＳＮＳ</w:t>
            </w:r>
            <w:r>
              <w:rPr>
                <w:rFonts w:hint="default"/>
                <w:color w:val="auto"/>
                <w:highlight w:val="none"/>
              </w:rPr>
              <w:t>、コミュニティラジオ等を活用して幅広い世代に届くよう周知します。</w:t>
            </w:r>
            <w:r>
              <w:rPr>
                <w:rFonts w:hint="eastAsia"/>
                <w:color w:val="auto"/>
                <w:highlight w:val="none"/>
              </w:rPr>
              <w:t>また、</w:t>
            </w:r>
            <w:r>
              <w:rPr>
                <w:rFonts w:hint="default"/>
                <w:color w:val="auto"/>
                <w:highlight w:val="none"/>
              </w:rPr>
              <w:t>より気軽に相談できるよう、地域の商業施設や集会所等に出向いて相談会を行います。あわせて、若年性認知症の人が早期に相談できるように、企業等とも連携した</w:t>
            </w:r>
            <w:r>
              <w:rPr>
                <w:rFonts w:hint="eastAsia"/>
                <w:color w:val="auto"/>
                <w:highlight w:val="none"/>
              </w:rPr>
              <w:t>取組</w:t>
            </w:r>
            <w:r>
              <w:rPr>
                <w:rFonts w:hint="default"/>
                <w:color w:val="auto"/>
                <w:highlight w:val="none"/>
              </w:rPr>
              <w:t>を検討します。</w:t>
            </w:r>
          </w:p>
        </w:tc>
      </w:tr>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認知症ケアパスの活用</w:t>
            </w:r>
          </w:p>
        </w:tc>
      </w:tr>
      <w:tr>
        <w:trPr>
          <w:trHeight w:val="907" w:hRule="atLeast"/>
        </w:trPr>
        <w:tc>
          <w:tcPr>
            <w:tcW w:w="8668" w:type="dxa"/>
            <w:vAlign w:val="top"/>
          </w:tcPr>
          <w:p>
            <w:pPr>
              <w:pStyle w:val="52"/>
              <w:rPr>
                <w:rFonts w:hint="default"/>
                <w:color w:val="auto"/>
                <w:highlight w:val="none"/>
              </w:rPr>
            </w:pPr>
            <w:r>
              <w:rPr>
                <w:rFonts w:hint="eastAsia"/>
                <w:color w:val="auto"/>
                <w:highlight w:val="none"/>
              </w:rPr>
              <w:t>認知症の状態に応じて受けられるサービスや相談機関等における適切なケアの流れを示した「認知症ケアパス」の普及啓発を図るとともに、有効に活用します。</w:t>
            </w:r>
          </w:p>
        </w:tc>
      </w:tr>
    </w:tbl>
    <w:p>
      <w:pPr>
        <w:pStyle w:val="0"/>
        <w:widowControl w:val="1"/>
        <w:spacing w:line="380" w:lineRule="exact"/>
        <w:jc w:val="left"/>
        <w:rPr>
          <w:rFonts w:hint="default" w:ascii="HG丸ｺﾞｼｯｸM-PRO" w:hAnsi="HG丸ｺﾞｼｯｸM-PRO" w:eastAsia="HG丸ｺﾞｼｯｸM-PRO"/>
          <w:color w:val="auto"/>
          <w:highlight w:val="none"/>
        </w:rPr>
      </w:pPr>
    </w:p>
    <w:p>
      <w:pPr>
        <w:pStyle w:val="0"/>
        <w:widowControl w:val="1"/>
        <w:spacing w:line="380" w:lineRule="exact"/>
        <w:ind w:left="440" w:leftChars="200"/>
        <w:jc w:val="left"/>
        <w:rPr>
          <w:rFonts w:hint="default" w:ascii="HG丸ｺﾞｼｯｸM-PRO" w:hAnsi="HG丸ｺﾞｼｯｸM-PRO" w:eastAsia="HG丸ｺﾞｼｯｸM-PRO"/>
          <w:color w:val="auto"/>
          <w:highlight w:val="none"/>
        </w:rPr>
      </w:pPr>
      <w:r>
        <w:rPr>
          <w:rFonts w:hint="eastAsia"/>
          <w:b w:val="1"/>
          <w:color w:val="auto"/>
          <w:highlight w:val="none"/>
        </w:rPr>
        <w:t>≪施策の活動指標≫</w:t>
      </w:r>
    </w:p>
    <w:p>
      <w:pPr>
        <w:pStyle w:val="30"/>
        <w:numPr>
          <w:ilvl w:val="0"/>
          <w:numId w:val="3"/>
        </w:numPr>
        <w:spacing w:after="76" w:afterLines="0" w:afterAutospacing="0"/>
        <w:ind w:leftChars="0"/>
        <w:rPr>
          <w:rFonts w:hint="default"/>
          <w:b w:val="0"/>
          <w:color w:val="auto"/>
          <w:sz w:val="22"/>
          <w:highlight w:val="none"/>
        </w:rPr>
      </w:pPr>
      <w:r>
        <w:rPr>
          <w:rFonts w:hint="eastAsia"/>
          <w:b w:val="0"/>
          <w:color w:val="auto"/>
          <w:sz w:val="22"/>
          <w:highlight w:val="none"/>
          <w:shd w:val="clear" w:color="auto" w:themeFill="background1" w:themeFillTint="FF" w:themeFillShade="FF"/>
        </w:rPr>
        <w:t>認知症の理解促進の取組</w:t>
      </w:r>
    </w:p>
    <w:tbl>
      <w:tblPr>
        <w:tblStyle w:val="81"/>
        <w:tblW w:w="8626" w:type="dxa"/>
        <w:tblInd w:w="435" w:type="dxa"/>
        <w:tblLayout w:type="fixed"/>
        <w:tblLook w:firstRow="1" w:lastRow="0" w:firstColumn="1" w:lastColumn="0" w:noHBand="0" w:noVBand="1" w:val="04A0"/>
      </w:tblPr>
      <w:tblGrid>
        <w:gridCol w:w="3300"/>
        <w:gridCol w:w="1496"/>
        <w:gridCol w:w="1277"/>
        <w:gridCol w:w="1276"/>
        <w:gridCol w:w="1277"/>
      </w:tblGrid>
      <w:tr>
        <w:trPr>
          <w:trHeight w:val="510" w:hRule="atLeast"/>
        </w:trPr>
        <w:tc>
          <w:tcPr>
            <w:tcW w:w="330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49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現状</w:t>
            </w:r>
          </w:p>
        </w:tc>
        <w:tc>
          <w:tcPr>
            <w:tcW w:w="12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6</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(2024</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7</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(2025</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8</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(2026</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r>
      <w:tr>
        <w:trPr>
          <w:trHeight w:val="397" w:hRule="atLeast"/>
        </w:trPr>
        <w:tc>
          <w:tcPr>
            <w:tcW w:w="330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w w:val="90"/>
                <w:sz w:val="21"/>
                <w:highlight w:val="none"/>
              </w:rPr>
            </w:pPr>
            <w:r>
              <w:rPr>
                <w:rFonts w:hint="eastAsia" w:ascii="ＭＳ Ｐゴシック" w:hAnsi="ＭＳ Ｐゴシック" w:eastAsia="ＭＳ Ｐゴシック"/>
                <w:color w:val="auto"/>
                <w:w w:val="90"/>
                <w:sz w:val="21"/>
                <w:highlight w:val="none"/>
              </w:rPr>
              <w:t>認知症サポーター養成講座受講者数</w:t>
            </w:r>
          </w:p>
        </w:tc>
        <w:tc>
          <w:tcPr>
            <w:tcW w:w="149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16"/>
                <w:highlight w:val="none"/>
              </w:rPr>
            </w:pPr>
            <w:r>
              <w:rPr>
                <w:rFonts w:hint="eastAsia" w:ascii="ＭＳ Ｐゴシック" w:hAnsi="ＭＳ Ｐゴシック" w:eastAsia="ＭＳ Ｐゴシック"/>
                <w:color w:val="auto"/>
                <w:sz w:val="21"/>
                <w:highlight w:val="none"/>
              </w:rPr>
              <w:t>880</w:t>
            </w:r>
            <w:r>
              <w:rPr>
                <w:rFonts w:hint="eastAsia" w:ascii="ＭＳ Ｐゴシック" w:hAnsi="ＭＳ Ｐゴシック" w:eastAsia="ＭＳ Ｐゴシック"/>
                <w:color w:val="auto"/>
                <w:sz w:val="21"/>
                <w:highlight w:val="none"/>
              </w:rPr>
              <w:t>人</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850</w:t>
            </w:r>
            <w:r>
              <w:rPr>
                <w:rFonts w:hint="eastAsia" w:ascii="ＭＳ Ｐゴシック" w:hAnsi="ＭＳ Ｐゴシック" w:eastAsia="ＭＳ Ｐゴシック"/>
                <w:color w:val="auto"/>
                <w:sz w:val="21"/>
                <w:highlight w:val="none"/>
              </w:rPr>
              <w:t>人</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875</w:t>
            </w:r>
            <w:r>
              <w:rPr>
                <w:rFonts w:hint="eastAsia" w:ascii="ＭＳ Ｐゴシック" w:hAnsi="ＭＳ Ｐゴシック" w:eastAsia="ＭＳ Ｐゴシック"/>
                <w:color w:val="auto"/>
                <w:sz w:val="21"/>
                <w:highlight w:val="none"/>
              </w:rPr>
              <w:t>人</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900</w:t>
            </w:r>
            <w:r>
              <w:rPr>
                <w:rFonts w:hint="eastAsia" w:ascii="ＭＳ Ｐゴシック" w:hAnsi="ＭＳ Ｐゴシック" w:eastAsia="ＭＳ Ｐゴシック"/>
                <w:color w:val="auto"/>
                <w:sz w:val="21"/>
                <w:highlight w:val="none"/>
              </w:rPr>
              <w:t>人</w:t>
            </w:r>
          </w:p>
        </w:tc>
      </w:tr>
      <w:tr>
        <w:trPr>
          <w:trHeight w:val="397" w:hRule="atLeast"/>
        </w:trPr>
        <w:tc>
          <w:tcPr>
            <w:tcW w:w="330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ステップアップ講座受講者数</w:t>
            </w:r>
          </w:p>
        </w:tc>
        <w:tc>
          <w:tcPr>
            <w:tcW w:w="149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color w:val="auto"/>
                <w:sz w:val="16"/>
                <w:highlight w:val="none"/>
              </w:rPr>
            </w:pPr>
            <w:r>
              <w:rPr>
                <w:rFonts w:hint="eastAsia" w:ascii="ＭＳ Ｐゴシック" w:hAnsi="ＭＳ Ｐゴシック" w:eastAsia="ＭＳ Ｐゴシック"/>
                <w:color w:val="auto"/>
                <w:sz w:val="21"/>
                <w:highlight w:val="none"/>
              </w:rPr>
              <w:t>44</w:t>
            </w:r>
            <w:r>
              <w:rPr>
                <w:rFonts w:hint="eastAsia" w:ascii="ＭＳ Ｐゴシック" w:hAnsi="ＭＳ Ｐゴシック" w:eastAsia="ＭＳ Ｐゴシック"/>
                <w:color w:val="auto"/>
                <w:sz w:val="21"/>
                <w:highlight w:val="none"/>
              </w:rPr>
              <w:t>人</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50</w:t>
            </w:r>
            <w:r>
              <w:rPr>
                <w:rFonts w:hint="eastAsia" w:ascii="ＭＳ Ｐゴシック" w:hAnsi="ＭＳ Ｐゴシック" w:eastAsia="ＭＳ Ｐゴシック"/>
                <w:color w:val="auto"/>
                <w:sz w:val="21"/>
                <w:highlight w:val="none"/>
              </w:rPr>
              <w:t>人</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60</w:t>
            </w:r>
            <w:r>
              <w:rPr>
                <w:rFonts w:hint="eastAsia" w:ascii="ＭＳ Ｐゴシック" w:hAnsi="ＭＳ Ｐゴシック" w:eastAsia="ＭＳ Ｐゴシック"/>
                <w:color w:val="auto"/>
                <w:sz w:val="21"/>
                <w:highlight w:val="none"/>
              </w:rPr>
              <w:t>人</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70</w:t>
            </w:r>
            <w:r>
              <w:rPr>
                <w:rFonts w:hint="eastAsia" w:ascii="ＭＳ Ｐゴシック" w:hAnsi="ＭＳ Ｐゴシック" w:eastAsia="ＭＳ Ｐゴシック"/>
                <w:color w:val="auto"/>
                <w:sz w:val="21"/>
                <w:highlight w:val="none"/>
              </w:rPr>
              <w:t>人</w:t>
            </w:r>
          </w:p>
        </w:tc>
      </w:tr>
    </w:tbl>
    <w:p>
      <w:pPr>
        <w:pStyle w:val="0"/>
        <w:widowControl w:val="1"/>
        <w:jc w:val="left"/>
        <w:rPr>
          <w:rFonts w:hint="default"/>
          <w:color w:val="auto"/>
          <w:highlight w:val="none"/>
        </w:rPr>
      </w:pPr>
    </w:p>
    <w:p>
      <w:pPr>
        <w:pStyle w:val="0"/>
        <w:widowControl w:val="1"/>
        <w:jc w:val="center"/>
        <w:rPr>
          <w:rFonts w:hint="default"/>
          <w:color w:val="auto"/>
          <w:highlight w:val="none"/>
        </w:rPr>
      </w:pPr>
      <w:r>
        <w:rPr>
          <w:rFonts w:hint="eastAsia"/>
          <w:color w:val="auto"/>
          <w:sz w:val="21"/>
          <w:highlight w:val="none"/>
        </w:rPr>
        <w:t>図表　認知症ケアパスイメージ</w:t>
      </w:r>
    </w:p>
    <w:p>
      <w:pPr>
        <w:pStyle w:val="0"/>
        <w:widowControl w:val="1"/>
        <w:jc w:val="left"/>
        <w:rPr>
          <w:rFonts w:hint="default"/>
          <w:color w:val="auto"/>
          <w:highlight w:val="none"/>
        </w:rPr>
      </w:pPr>
      <w:r>
        <w:rPr>
          <w:rFonts w:hint="default"/>
          <w:color w:val="auto"/>
          <w:highlight w:val="none"/>
        </w:rPr>
        <w:drawing>
          <wp:anchor distT="0" distB="0" distL="114300" distR="114300" simplePos="0" relativeHeight="163" behindDoc="0" locked="0" layoutInCell="1" hidden="0" allowOverlap="1">
            <wp:simplePos x="0" y="0"/>
            <wp:positionH relativeFrom="column">
              <wp:posOffset>242570</wp:posOffset>
            </wp:positionH>
            <wp:positionV relativeFrom="paragraph">
              <wp:posOffset>38100</wp:posOffset>
            </wp:positionV>
            <wp:extent cx="5514975" cy="4076700"/>
            <wp:effectExtent l="23495" t="23495" r="24130" b="24130"/>
            <wp:wrapNone/>
            <wp:docPr id="1181" name="図 6" descr="タイムライン&#10;&#10;自動的に生成された説明"/>
            <a:graphic xmlns:a="http://schemas.openxmlformats.org/drawingml/2006/main">
              <a:graphicData uri="http://schemas.openxmlformats.org/drawingml/2006/picture">
                <pic:pic xmlns:pic="http://schemas.openxmlformats.org/drawingml/2006/picture">
                  <pic:nvPicPr>
                    <pic:cNvPr id="1181" name="図 6" descr="タイムライン&#10;&#10;自動的に生成された説明"/>
                    <pic:cNvPicPr/>
                  </pic:nvPicPr>
                  <pic:blipFill>
                    <a:blip r:embed="rId97"/>
                    <a:srcRect r="4243"/>
                    <a:stretch>
                      <a:fillRect/>
                    </a:stretch>
                  </pic:blipFill>
                  <pic:spPr>
                    <a:xfrm>
                      <a:off x="0" y="0"/>
                      <a:ext cx="5514975" cy="4076700"/>
                    </a:xfrm>
                    <a:prstGeom prst="rect">
                      <a:avLst/>
                    </a:prstGeom>
                    <a:ln w="6350">
                      <a:solidFill>
                        <a:schemeClr val="tx1"/>
                      </a:solidFill>
                    </a:ln>
                  </pic:spPr>
                </pic:pic>
              </a:graphicData>
            </a:graphic>
          </wp:anchor>
        </w:drawing>
      </w: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r>
        <w:rPr>
          <w:rFonts w:hint="default"/>
          <w:color w:val="auto"/>
          <w:highlight w:val="none"/>
        </w:rPr>
        <w:br w:type="page"/>
      </w:r>
    </w:p>
    <w:p>
      <w:pPr>
        <w:pStyle w:val="26"/>
        <w:spacing w:after="76" w:afterLines="0" w:afterAutospacing="0"/>
        <w:rPr>
          <w:rFonts w:hint="default"/>
          <w:color w:val="auto"/>
          <w:highlight w:val="none"/>
        </w:rPr>
      </w:pPr>
      <w:bookmarkStart w:id="127" w:name="_Toc152160671"/>
      <w:r>
        <w:rPr>
          <w:rFonts w:hint="eastAsia"/>
          <w:color w:val="auto"/>
          <w:highlight w:val="none"/>
        </w:rPr>
        <w:t>（２）</w:t>
      </w:r>
      <w:r>
        <w:rPr>
          <w:rFonts w:hint="eastAsia"/>
          <w:color w:val="auto"/>
          <w:highlight w:val="none"/>
        </w:rPr>
        <w:t xml:space="preserve"> </w:t>
      </w:r>
      <w:r>
        <w:rPr>
          <w:rFonts w:hint="eastAsia"/>
          <w:color w:val="auto"/>
          <w:highlight w:val="none"/>
        </w:rPr>
        <w:t>本人発信支援</w:t>
      </w:r>
      <w:bookmarkEnd w:id="127"/>
    </w:p>
    <w:p>
      <w:pPr>
        <w:pStyle w:val="50"/>
        <w:spacing w:before="114" w:beforeLines="0" w:beforeAutospacing="0" w:after="114" w:afterLines="0" w:afterAutospacing="0"/>
        <w:rPr>
          <w:rFonts w:hint="default"/>
          <w:color w:val="auto"/>
          <w:highlight w:val="none"/>
        </w:rPr>
      </w:pPr>
      <w:r>
        <w:rPr>
          <w:rFonts w:hint="eastAsia"/>
          <w:color w:val="auto"/>
          <w:highlight w:val="none"/>
        </w:rPr>
        <w:t>◆◆現状と課題◆◆</w:t>
      </w:r>
    </w:p>
    <w:p>
      <w:pPr>
        <w:pStyle w:val="28"/>
        <w:rPr>
          <w:rFonts w:hint="default"/>
          <w:color w:val="auto"/>
          <w:highlight w:val="none"/>
        </w:rPr>
      </w:pPr>
      <w:r>
        <w:rPr>
          <w:rFonts w:hint="eastAsia"/>
          <w:color w:val="auto"/>
          <w:highlight w:val="none"/>
        </w:rPr>
        <w:t>認知症基本法の基本理念には、認知症の人が自己に関係する事項に関して意見を表明する機会及び社会のあらゆる分野における活動に参画する機会の確保を通じて、その個性と能力を十分に発揮することができるとあります。</w:t>
      </w:r>
    </w:p>
    <w:p>
      <w:pPr>
        <w:pStyle w:val="28"/>
        <w:rPr>
          <w:rFonts w:hint="default"/>
          <w:color w:val="auto"/>
          <w:highlight w:val="none"/>
        </w:rPr>
      </w:pPr>
      <w:r>
        <w:rPr>
          <w:rFonts w:hint="eastAsia"/>
          <w:color w:val="auto"/>
          <w:highlight w:val="none"/>
        </w:rPr>
        <w:t>認知症の人が自らの意見を発信し、意志決定できるよう支援することが必要です。</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◆◆施策の方向性◆◆</w:t>
      </w:r>
    </w:p>
    <w:p>
      <w:pPr>
        <w:pStyle w:val="28"/>
        <w:rPr>
          <w:rFonts w:hint="default"/>
          <w:color w:val="auto"/>
          <w:highlight w:val="none"/>
        </w:rPr>
      </w:pPr>
      <w:r>
        <w:rPr>
          <w:rFonts w:hint="eastAsia"/>
          <w:color w:val="auto"/>
          <w:highlight w:val="none"/>
        </w:rPr>
        <w:t>認知症の本人同士が集い、語り合い、元気になる場をつくります。また、認知症の人の視点を知ることで、より認知症の理解が深まり、安心して暮らすことができる地域づくりにつなげます。</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◆◆具体的施策◆◆</w:t>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78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本人発信支援</w:t>
            </w:r>
          </w:p>
        </w:tc>
      </w:tr>
      <w:tr>
        <w:trPr>
          <w:trHeight w:val="2439" w:hRule="atLeast"/>
        </w:trPr>
        <w:tc>
          <w:tcPr>
            <w:tcW w:w="8788" w:type="dxa"/>
            <w:vAlign w:val="center"/>
          </w:tcPr>
          <w:p>
            <w:pPr>
              <w:pStyle w:val="52"/>
              <w:rPr>
                <w:rFonts w:hint="default"/>
                <w:color w:val="auto"/>
                <w:highlight w:val="none"/>
              </w:rPr>
            </w:pPr>
            <w:r>
              <w:rPr>
                <w:rFonts w:hint="eastAsia"/>
                <w:color w:val="auto"/>
                <w:highlight w:val="none"/>
              </w:rPr>
              <w:t>認知症の人同士が自らの体験や希望、必要としていること、自分たちのよりよい生活や暮らしやすい地域について話し合う場をつくります。</w:t>
            </w:r>
          </w:p>
          <w:p>
            <w:pPr>
              <w:pStyle w:val="52"/>
              <w:rPr>
                <w:rFonts w:hint="default"/>
                <w:color w:val="auto"/>
                <w:highlight w:val="none"/>
              </w:rPr>
            </w:pPr>
            <w:r>
              <w:rPr>
                <w:rFonts w:hint="eastAsia"/>
                <w:color w:val="auto"/>
                <w:highlight w:val="none"/>
              </w:rPr>
              <w:t>また、認知症の本人だからこその気づきや意見を地域に伝えていく機会をつくります。（本人ミーティングの開催）</w:t>
            </w:r>
          </w:p>
          <w:p>
            <w:pPr>
              <w:pStyle w:val="52"/>
              <w:rPr>
                <w:rFonts w:hint="default"/>
                <w:color w:val="auto"/>
                <w:highlight w:val="none"/>
              </w:rPr>
            </w:pPr>
            <w:r>
              <w:rPr>
                <w:rFonts w:hint="eastAsia"/>
                <w:color w:val="auto"/>
                <w:highlight w:val="none"/>
              </w:rPr>
              <w:t>さらに、支援者や家族が、認知症本人の意思発信や意思決定の支援ができるよう、意思決定支援等の研修を行います。</w:t>
            </w:r>
          </w:p>
        </w:tc>
      </w:tr>
    </w:tbl>
    <w:p>
      <w:pPr>
        <w:pStyle w:val="28"/>
        <w:ind w:left="0" w:leftChars="0" w:firstLine="330" w:firstLineChars="150"/>
        <w:rPr>
          <w:rFonts w:hint="default"/>
          <w:b w:val="1"/>
          <w:color w:val="auto"/>
          <w:highlight w:val="none"/>
        </w:rPr>
      </w:pPr>
    </w:p>
    <w:p>
      <w:pPr>
        <w:pStyle w:val="28"/>
        <w:ind w:firstLine="0" w:firstLineChars="0"/>
        <w:rPr>
          <w:rFonts w:hint="default" w:ascii="HG丸ｺﾞｼｯｸM-PRO" w:hAnsi="HG丸ｺﾞｼｯｸM-PRO" w:eastAsia="HG丸ｺﾞｼｯｸM-PRO"/>
          <w:color w:val="auto"/>
          <w:highlight w:val="none"/>
        </w:rPr>
      </w:pPr>
      <w:r>
        <w:rPr>
          <w:rFonts w:hint="eastAsia"/>
          <w:b w:val="1"/>
          <w:color w:val="auto"/>
          <w:highlight w:val="none"/>
        </w:rPr>
        <w:t>≪施策の活動指標≫</w:t>
      </w:r>
    </w:p>
    <w:p>
      <w:pPr>
        <w:pStyle w:val="30"/>
        <w:numPr>
          <w:ilvl w:val="0"/>
          <w:numId w:val="3"/>
        </w:numPr>
        <w:spacing w:after="76" w:afterLines="0" w:afterAutospacing="0"/>
        <w:ind w:leftChars="0"/>
        <w:rPr>
          <w:rFonts w:hint="default"/>
          <w:b w:val="0"/>
          <w:color w:val="auto"/>
          <w:sz w:val="22"/>
          <w:highlight w:val="none"/>
        </w:rPr>
      </w:pPr>
      <w:r>
        <w:rPr>
          <w:rFonts w:hint="eastAsia"/>
          <w:b w:val="0"/>
          <w:color w:val="auto"/>
          <w:sz w:val="22"/>
          <w:highlight w:val="none"/>
          <w:shd w:val="clear" w:color="auto" w:themeFill="background1" w:themeFillTint="FF" w:themeFillShade="FF"/>
        </w:rPr>
        <w:t>本人発信支援の取組</w:t>
      </w:r>
    </w:p>
    <w:tbl>
      <w:tblPr>
        <w:tblStyle w:val="81"/>
        <w:tblW w:w="8626" w:type="dxa"/>
        <w:tblInd w:w="435" w:type="dxa"/>
        <w:tblLayout w:type="fixed"/>
        <w:tblLook w:firstRow="1" w:lastRow="0" w:firstColumn="1" w:lastColumn="0" w:noHBand="0" w:noVBand="1" w:val="04A0"/>
      </w:tblPr>
      <w:tblGrid>
        <w:gridCol w:w="3300"/>
        <w:gridCol w:w="1496"/>
        <w:gridCol w:w="1277"/>
        <w:gridCol w:w="1276"/>
        <w:gridCol w:w="1277"/>
      </w:tblGrid>
      <w:tr>
        <w:trPr>
          <w:trHeight w:val="510" w:hRule="atLeast"/>
        </w:trPr>
        <w:tc>
          <w:tcPr>
            <w:tcW w:w="330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49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現状</w:t>
            </w:r>
          </w:p>
        </w:tc>
        <w:tc>
          <w:tcPr>
            <w:tcW w:w="12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6</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(2024</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7</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(2025</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8</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(2026</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r>
      <w:tr>
        <w:trPr>
          <w:trHeight w:val="397" w:hRule="atLeast"/>
        </w:trPr>
        <w:tc>
          <w:tcPr>
            <w:tcW w:w="330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本人ミーティングの開催数</w:t>
            </w:r>
          </w:p>
        </w:tc>
        <w:tc>
          <w:tcPr>
            <w:tcW w:w="149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w:t>
            </w:r>
            <w:r>
              <w:rPr>
                <w:rFonts w:hint="eastAsia" w:ascii="ＭＳ Ｐゴシック" w:hAnsi="ＭＳ Ｐゴシック" w:eastAsia="ＭＳ Ｐゴシック"/>
                <w:color w:val="auto"/>
                <w:sz w:val="21"/>
                <w:highlight w:val="none"/>
              </w:rPr>
              <w:t>回</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3</w:t>
            </w:r>
            <w:r>
              <w:rPr>
                <w:rFonts w:hint="eastAsia" w:ascii="ＭＳ Ｐゴシック" w:hAnsi="ＭＳ Ｐゴシック" w:eastAsia="ＭＳ Ｐゴシック"/>
                <w:color w:val="auto"/>
                <w:sz w:val="21"/>
                <w:highlight w:val="none"/>
              </w:rPr>
              <w:t>回</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3</w:t>
            </w:r>
            <w:r>
              <w:rPr>
                <w:rFonts w:hint="eastAsia" w:ascii="ＭＳ Ｐゴシック" w:hAnsi="ＭＳ Ｐゴシック" w:eastAsia="ＭＳ Ｐゴシック"/>
                <w:color w:val="auto"/>
                <w:sz w:val="21"/>
                <w:highlight w:val="none"/>
              </w:rPr>
              <w:t>回</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3</w:t>
            </w:r>
            <w:r>
              <w:rPr>
                <w:rFonts w:hint="eastAsia" w:ascii="ＭＳ Ｐゴシック" w:hAnsi="ＭＳ Ｐゴシック" w:eastAsia="ＭＳ Ｐゴシック"/>
                <w:color w:val="auto"/>
                <w:sz w:val="21"/>
                <w:highlight w:val="none"/>
              </w:rPr>
              <w:t>回</w:t>
            </w:r>
          </w:p>
        </w:tc>
      </w:tr>
    </w:tbl>
    <w:p>
      <w:pPr>
        <w:pStyle w:val="41"/>
        <w:rPr>
          <w:rFonts w:hint="default"/>
          <w:color w:val="auto"/>
          <w:highlight w:val="none"/>
        </w:rPr>
      </w:pPr>
      <w:bookmarkStart w:id="128" w:name="_Toc149685638"/>
      <w:bookmarkEnd w:id="128"/>
      <w:r>
        <w:rPr>
          <w:rFonts w:hint="eastAsia" w:ascii="HG丸ｺﾞｼｯｸM-PRO" w:hAnsi="HG丸ｺﾞｼｯｸM-PRO" w:eastAsia="HG丸ｺﾞｼｯｸM-PRO"/>
          <w:b w:val="1"/>
          <w:color w:val="auto"/>
          <w:sz w:val="28"/>
          <w:highlight w:val="none"/>
        </w:rPr>
        <w:t>　</w:t>
      </w:r>
    </w:p>
    <w:p>
      <w:pPr>
        <w:pStyle w:val="0"/>
        <w:widowControl w:val="1"/>
        <w:jc w:val="left"/>
        <w:rPr>
          <w:rFonts w:hint="default"/>
          <w:color w:val="auto"/>
          <w:highlight w:val="none"/>
        </w:rPr>
      </w:pPr>
      <w:r>
        <w:rPr>
          <w:rFonts w:hint="default"/>
          <w:color w:val="auto"/>
          <w:highlight w:val="none"/>
        </w:rPr>
        <w:br w:type="page"/>
      </w:r>
    </w:p>
    <w:p>
      <w:pPr>
        <w:pStyle w:val="26"/>
        <w:spacing w:after="76" w:afterLines="0" w:afterAutospacing="0"/>
        <w:rPr>
          <w:rFonts w:hint="default"/>
          <w:color w:val="auto"/>
          <w:highlight w:val="none"/>
        </w:rPr>
      </w:pPr>
      <w:bookmarkStart w:id="129" w:name="_Toc152160672"/>
      <w:r>
        <w:rPr>
          <w:rFonts w:hint="eastAsia"/>
          <w:color w:val="auto"/>
          <w:highlight w:val="none"/>
        </w:rPr>
        <w:t>（３）</w:t>
      </w:r>
      <w:r>
        <w:rPr>
          <w:rFonts w:hint="eastAsia"/>
          <w:color w:val="auto"/>
          <w:highlight w:val="none"/>
        </w:rPr>
        <w:t xml:space="preserve"> </w:t>
      </w:r>
      <w:r>
        <w:rPr>
          <w:rFonts w:hint="eastAsia"/>
          <w:color w:val="auto"/>
          <w:highlight w:val="none"/>
        </w:rPr>
        <w:t>認知症予防の推進</w:t>
      </w:r>
      <w:bookmarkEnd w:id="129"/>
    </w:p>
    <w:p>
      <w:pPr>
        <w:pStyle w:val="50"/>
        <w:spacing w:before="114" w:beforeLines="0" w:beforeAutospacing="0" w:after="114" w:afterLines="0" w:afterAutospacing="0"/>
        <w:rPr>
          <w:rFonts w:hint="default"/>
          <w:color w:val="auto"/>
          <w:highlight w:val="none"/>
        </w:rPr>
      </w:pPr>
      <w:r>
        <w:rPr>
          <w:rFonts w:hint="eastAsia"/>
          <w:color w:val="auto"/>
          <w:highlight w:val="none"/>
        </w:rPr>
        <w:t>◆◆現状と課題◆◆</w:t>
      </w:r>
    </w:p>
    <w:p>
      <w:pPr>
        <w:pStyle w:val="28"/>
        <w:rPr>
          <w:rFonts w:hint="default"/>
          <w:color w:val="auto"/>
          <w:highlight w:val="none"/>
        </w:rPr>
      </w:pPr>
      <w:r>
        <w:rPr>
          <w:rFonts w:hint="eastAsia"/>
          <w:color w:val="auto"/>
          <w:highlight w:val="none"/>
        </w:rPr>
        <w:t>国の認知症施策推進大綱における「予防」とは、「認知症になるのを遅らせる」、「認知症になっても進行を緩やかにする」という意味です。</w:t>
      </w:r>
    </w:p>
    <w:p>
      <w:pPr>
        <w:pStyle w:val="28"/>
        <w:rPr>
          <w:rFonts w:hint="default"/>
          <w:color w:val="auto"/>
          <w:highlight w:val="none"/>
        </w:rPr>
      </w:pPr>
      <w:r>
        <w:rPr>
          <w:rFonts w:hint="eastAsia"/>
          <w:color w:val="auto"/>
          <w:highlight w:val="none"/>
        </w:rPr>
        <w:t>ニーズ調査の結果では、認知症対策として重要だと思うこととして、</w:t>
      </w:r>
      <w:r>
        <w:rPr>
          <w:rFonts w:hint="default"/>
          <w:color w:val="auto"/>
          <w:highlight w:val="none"/>
        </w:rPr>
        <w:t>「早期発見・早期診療の仕組みづくり」</w:t>
      </w:r>
      <w:r>
        <w:rPr>
          <w:rFonts w:hint="eastAsia"/>
          <w:color w:val="auto"/>
          <w:highlight w:val="none"/>
        </w:rPr>
        <w:t>と回答した人が７割</w:t>
      </w:r>
      <w:r>
        <w:rPr>
          <w:rFonts w:hint="default"/>
          <w:color w:val="auto"/>
          <w:highlight w:val="none"/>
        </w:rPr>
        <w:t>、「認知症予防に関する啓発」</w:t>
      </w:r>
      <w:r>
        <w:rPr>
          <w:rFonts w:hint="eastAsia"/>
          <w:color w:val="auto"/>
          <w:highlight w:val="none"/>
        </w:rPr>
        <w:t>と回答した人が</w:t>
      </w:r>
      <w:r>
        <w:rPr>
          <w:rFonts w:hint="default"/>
          <w:color w:val="auto"/>
          <w:highlight w:val="none"/>
        </w:rPr>
        <w:t>４割</w:t>
      </w:r>
      <w:r>
        <w:rPr>
          <w:rFonts w:hint="eastAsia"/>
          <w:color w:val="auto"/>
          <w:highlight w:val="none"/>
        </w:rPr>
        <w:t>と高くなっています。</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◆◆施策の方向性◆◆</w:t>
      </w:r>
    </w:p>
    <w:p>
      <w:pPr>
        <w:pStyle w:val="28"/>
        <w:rPr>
          <w:rFonts w:hint="default"/>
          <w:color w:val="auto"/>
          <w:highlight w:val="none"/>
        </w:rPr>
      </w:pPr>
      <w:r>
        <w:rPr>
          <w:rFonts w:hint="eastAsia"/>
          <w:color w:val="auto"/>
          <w:highlight w:val="none"/>
        </w:rPr>
        <w:t>認知症に関する正しい知識を普及するとともに、市民の関心を認知症予防の実践につなげる取組を行います。</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◆◆具体的施策◆◆</w:t>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78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認知症予防に関する出前講座の実施</w:t>
            </w:r>
          </w:p>
        </w:tc>
      </w:tr>
      <w:tr>
        <w:trPr>
          <w:trHeight w:val="737" w:hRule="atLeast"/>
        </w:trPr>
        <w:tc>
          <w:tcPr>
            <w:tcW w:w="8788" w:type="dxa"/>
            <w:vAlign w:val="center"/>
          </w:tcPr>
          <w:p>
            <w:pPr>
              <w:pStyle w:val="52"/>
              <w:rPr>
                <w:rFonts w:hint="default"/>
                <w:color w:val="auto"/>
                <w:highlight w:val="none"/>
              </w:rPr>
            </w:pPr>
            <w:r>
              <w:rPr>
                <w:rFonts w:hint="eastAsia"/>
                <w:color w:val="auto"/>
                <w:highlight w:val="none"/>
              </w:rPr>
              <w:t>認知症予防に関する情報提供等を行う出前講座を実施します。</w:t>
            </w:r>
          </w:p>
        </w:tc>
      </w:tr>
      <w:tr>
        <w:trPr>
          <w:trHeight w:val="510" w:hRule="atLeast"/>
        </w:trPr>
        <w:tc>
          <w:tcPr>
            <w:tcW w:w="878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認知症予防に資する可能性のある活動の推進</w:t>
            </w:r>
          </w:p>
        </w:tc>
      </w:tr>
      <w:tr>
        <w:trPr>
          <w:trHeight w:val="2032" w:hRule="atLeast"/>
        </w:trPr>
        <w:tc>
          <w:tcPr>
            <w:tcW w:w="8788" w:type="dxa"/>
            <w:vAlign w:val="center"/>
          </w:tcPr>
          <w:p>
            <w:pPr>
              <w:pStyle w:val="52"/>
              <w:rPr>
                <w:rFonts w:hint="default"/>
                <w:color w:val="auto"/>
                <w:highlight w:val="none"/>
              </w:rPr>
            </w:pPr>
            <w:r>
              <w:rPr>
                <w:rFonts w:hint="eastAsia"/>
                <w:color w:val="auto"/>
                <w:highlight w:val="none"/>
              </w:rPr>
              <w:t>運動不足の改善、生活習慣病の予防、社会参加による社会的孤立の解消や役割の保持等が認知症予防に資する可能性が示されていることから、高齢者等が身近に通うことができる「通いの場」等の拡充を図ります。</w:t>
            </w:r>
          </w:p>
          <w:p>
            <w:pPr>
              <w:pStyle w:val="52"/>
              <w:rPr>
                <w:rFonts w:hint="default"/>
                <w:color w:val="auto"/>
                <w:highlight w:val="none"/>
              </w:rPr>
            </w:pPr>
            <w:r>
              <w:rPr>
                <w:rFonts w:hint="eastAsia"/>
                <w:color w:val="auto"/>
                <w:highlight w:val="none"/>
              </w:rPr>
              <w:t>また、認知症になっても「通いの場」等に参加し続けることができるよう、通いの場での認知症への理解を高めます。</w:t>
            </w:r>
          </w:p>
        </w:tc>
      </w:tr>
    </w:tbl>
    <w:p>
      <w:pPr>
        <w:pStyle w:val="28"/>
        <w:ind w:left="0" w:leftChars="0" w:firstLine="330" w:firstLineChars="150"/>
        <w:rPr>
          <w:rFonts w:hint="default"/>
          <w:b w:val="1"/>
          <w:color w:val="auto"/>
          <w:highlight w:val="none"/>
        </w:rPr>
      </w:pPr>
    </w:p>
    <w:p>
      <w:pPr>
        <w:pStyle w:val="28"/>
        <w:ind w:firstLine="0" w:firstLineChars="0"/>
        <w:rPr>
          <w:rFonts w:hint="default" w:ascii="HG丸ｺﾞｼｯｸM-PRO" w:hAnsi="HG丸ｺﾞｼｯｸM-PRO" w:eastAsia="HG丸ｺﾞｼｯｸM-PRO"/>
          <w:color w:val="auto"/>
          <w:highlight w:val="none"/>
        </w:rPr>
      </w:pPr>
      <w:r>
        <w:rPr>
          <w:rFonts w:hint="eastAsia"/>
          <w:b w:val="1"/>
          <w:color w:val="auto"/>
          <w:highlight w:val="none"/>
        </w:rPr>
        <w:t>≪施策の活動指標≫</w:t>
      </w:r>
    </w:p>
    <w:p>
      <w:pPr>
        <w:pStyle w:val="30"/>
        <w:numPr>
          <w:ilvl w:val="0"/>
          <w:numId w:val="3"/>
        </w:numPr>
        <w:spacing w:after="76" w:afterLines="0" w:afterAutospacing="0"/>
        <w:ind w:leftChars="0"/>
        <w:rPr>
          <w:rFonts w:hint="default"/>
          <w:b w:val="0"/>
          <w:color w:val="auto"/>
          <w:sz w:val="22"/>
          <w:highlight w:val="none"/>
        </w:rPr>
      </w:pPr>
      <w:r>
        <w:rPr>
          <w:rFonts w:hint="eastAsia"/>
          <w:b w:val="0"/>
          <w:color w:val="auto"/>
          <w:sz w:val="22"/>
          <w:highlight w:val="none"/>
        </w:rPr>
        <w:t>認知症予防の推進の取組</w:t>
      </w:r>
    </w:p>
    <w:tbl>
      <w:tblPr>
        <w:tblStyle w:val="81"/>
        <w:tblW w:w="8626" w:type="dxa"/>
        <w:tblInd w:w="435" w:type="dxa"/>
        <w:tblLayout w:type="fixed"/>
        <w:tblLook w:firstRow="1" w:lastRow="0" w:firstColumn="1" w:lastColumn="0" w:noHBand="0" w:noVBand="1" w:val="04A0"/>
      </w:tblPr>
      <w:tblGrid>
        <w:gridCol w:w="3300"/>
        <w:gridCol w:w="1496"/>
        <w:gridCol w:w="1277"/>
        <w:gridCol w:w="1276"/>
        <w:gridCol w:w="1277"/>
      </w:tblGrid>
      <w:tr>
        <w:trPr>
          <w:trHeight w:val="510" w:hRule="atLeast"/>
        </w:trPr>
        <w:tc>
          <w:tcPr>
            <w:tcW w:w="330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49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現状</w:t>
            </w:r>
          </w:p>
        </w:tc>
        <w:tc>
          <w:tcPr>
            <w:tcW w:w="12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6</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(2024</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7</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(2025</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8</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(2026</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r>
      <w:tr>
        <w:trPr>
          <w:trHeight w:val="397" w:hRule="atLeast"/>
        </w:trPr>
        <w:tc>
          <w:tcPr>
            <w:tcW w:w="330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出前講座実施回数</w:t>
            </w:r>
          </w:p>
        </w:tc>
        <w:tc>
          <w:tcPr>
            <w:tcW w:w="149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13</w:t>
            </w:r>
            <w:r>
              <w:rPr>
                <w:rFonts w:hint="eastAsia" w:ascii="ＭＳ Ｐゴシック" w:hAnsi="ＭＳ Ｐゴシック" w:eastAsia="ＭＳ Ｐゴシック"/>
                <w:color w:val="auto"/>
                <w:sz w:val="21"/>
                <w:highlight w:val="none"/>
              </w:rPr>
              <w:t>回</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0" w:lineRule="atLeas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15</w:t>
            </w:r>
            <w:r>
              <w:rPr>
                <w:rFonts w:hint="eastAsia" w:ascii="ＭＳ Ｐゴシック" w:hAnsi="ＭＳ Ｐゴシック" w:eastAsia="ＭＳ Ｐゴシック"/>
                <w:color w:val="auto"/>
                <w:sz w:val="21"/>
                <w:highlight w:val="none"/>
              </w:rPr>
              <w:t>回</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16</w:t>
            </w:r>
            <w:r>
              <w:rPr>
                <w:rFonts w:hint="eastAsia" w:ascii="ＭＳ Ｐゴシック" w:hAnsi="ＭＳ Ｐゴシック" w:eastAsia="ＭＳ Ｐゴシック"/>
                <w:color w:val="auto"/>
                <w:sz w:val="21"/>
                <w:highlight w:val="none"/>
              </w:rPr>
              <w:t>回</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17</w:t>
            </w:r>
            <w:r>
              <w:rPr>
                <w:rFonts w:hint="eastAsia" w:ascii="ＭＳ Ｐゴシック" w:hAnsi="ＭＳ Ｐゴシック" w:eastAsia="ＭＳ Ｐゴシック"/>
                <w:color w:val="auto"/>
                <w:sz w:val="21"/>
                <w:highlight w:val="none"/>
              </w:rPr>
              <w:t>回</w:t>
            </w:r>
          </w:p>
        </w:tc>
      </w:tr>
    </w:tbl>
    <w:p>
      <w:pPr>
        <w:pStyle w:val="0"/>
        <w:widowControl w:val="1"/>
        <w:jc w:val="left"/>
        <w:rPr>
          <w:rFonts w:hint="default"/>
          <w:color w:val="auto"/>
          <w:highlight w:val="none"/>
        </w:rPr>
      </w:pPr>
      <w:r>
        <w:rPr>
          <w:rFonts w:hint="default"/>
          <w:color w:val="auto"/>
          <w:highlight w:val="none"/>
        </w:rPr>
        <w:br w:type="page"/>
      </w:r>
    </w:p>
    <w:p>
      <w:pPr>
        <w:pStyle w:val="26"/>
        <w:spacing w:after="76" w:afterLines="0" w:afterAutospacing="0"/>
        <w:rPr>
          <w:rFonts w:hint="default"/>
          <w:color w:val="auto"/>
          <w:highlight w:val="none"/>
        </w:rPr>
      </w:pPr>
      <w:bookmarkStart w:id="130" w:name="_Toc152160673"/>
      <w:r>
        <w:rPr>
          <w:rFonts w:hint="eastAsia"/>
          <w:color w:val="auto"/>
          <w:highlight w:val="none"/>
        </w:rPr>
        <w:t>（４）</w:t>
      </w:r>
      <w:r>
        <w:rPr>
          <w:rFonts w:hint="eastAsia"/>
          <w:color w:val="auto"/>
          <w:highlight w:val="none"/>
        </w:rPr>
        <w:t xml:space="preserve"> </w:t>
      </w:r>
      <w:r>
        <w:rPr>
          <w:rFonts w:hint="eastAsia"/>
          <w:color w:val="auto"/>
          <w:highlight w:val="none"/>
        </w:rPr>
        <w:t>認知症の人とその家族への支援体制の強化</w:t>
      </w:r>
      <w:bookmarkEnd w:id="130"/>
    </w:p>
    <w:p>
      <w:pPr>
        <w:pStyle w:val="50"/>
        <w:spacing w:before="114" w:beforeLines="0" w:beforeAutospacing="0" w:after="114" w:afterLines="0" w:afterAutospacing="0"/>
        <w:rPr>
          <w:rFonts w:hint="default"/>
          <w:color w:val="auto"/>
          <w:highlight w:val="none"/>
        </w:rPr>
      </w:pPr>
      <w:r>
        <w:rPr>
          <w:rFonts w:hint="eastAsia"/>
          <w:color w:val="auto"/>
          <w:highlight w:val="none"/>
        </w:rPr>
        <w:t>◆◆現状と課題◆◆</w:t>
      </w:r>
    </w:p>
    <w:p>
      <w:pPr>
        <w:pStyle w:val="28"/>
        <w:rPr>
          <w:rFonts w:hint="default"/>
          <w:color w:val="auto"/>
          <w:highlight w:val="none"/>
        </w:rPr>
      </w:pPr>
      <w:r>
        <w:rPr>
          <w:rFonts w:hint="eastAsia"/>
          <w:color w:val="auto"/>
          <w:highlight w:val="none"/>
        </w:rPr>
        <w:t>在宅介護実態調査の結果では、在宅で介護をする家族等の介護者が今後不安に感じる介護は、「認知症状への対応」の割合が高く、また、介護支援専門員が回答したサービス提供状況調査の結果では、在宅で介護サービスを利用する高齢者が在宅での生活の維持が困難になっている理由として「認知症の症状の悪化」が上位となっています。</w:t>
      </w:r>
    </w:p>
    <w:p>
      <w:pPr>
        <w:pStyle w:val="28"/>
        <w:rPr>
          <w:rFonts w:hint="default"/>
          <w:color w:val="auto"/>
          <w:highlight w:val="none"/>
        </w:rPr>
      </w:pPr>
      <w:r>
        <w:rPr>
          <w:rFonts w:hint="eastAsia"/>
          <w:color w:val="auto"/>
          <w:highlight w:val="none"/>
        </w:rPr>
        <w:t>認知症状が顕著になってから支援機関につながり、対応が困難な事例となることが多くあることから、早期に発見し、早い段階で適切な治療や支援につながるような仕組みをつくっていく必要があります。</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◆◆施策の方向性◆◆</w:t>
      </w:r>
    </w:p>
    <w:p>
      <w:pPr>
        <w:pStyle w:val="28"/>
        <w:rPr>
          <w:rFonts w:hint="default"/>
          <w:color w:val="auto"/>
          <w:highlight w:val="none"/>
        </w:rPr>
      </w:pPr>
      <w:r>
        <w:rPr>
          <w:rFonts w:hint="eastAsia"/>
          <w:color w:val="auto"/>
          <w:highlight w:val="none"/>
        </w:rPr>
        <w:t>認知症の人の早期発見・早期対応が行えるよう、かかりつけ医、地域包括支援センター、認知症地域支援推進員、認知症初期集中支援チーム等の連携を更に強化するとともに、本人のなじみの人や民生委員・児童委員など地域の関係者とも連携を図り取組を推進します。</w:t>
      </w:r>
    </w:p>
    <w:p>
      <w:pPr>
        <w:pStyle w:val="28"/>
        <w:rPr>
          <w:rFonts w:hint="default"/>
          <w:color w:val="auto"/>
          <w:highlight w:val="none"/>
        </w:rPr>
      </w:pPr>
      <w:r>
        <w:rPr>
          <w:rFonts w:hint="eastAsia"/>
          <w:color w:val="auto"/>
          <w:highlight w:val="none"/>
        </w:rPr>
        <w:t>また、認知症に関する医療や支援に関する情報を、認知症の人やその家族、すべての市民が確実に入手できる体制づくりを行います。</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◆◆具体的施策◆◆</w:t>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認知症相談事業の強化</w:t>
            </w:r>
          </w:p>
        </w:tc>
      </w:tr>
      <w:tr>
        <w:trPr>
          <w:trHeight w:val="2429" w:hRule="atLeast"/>
        </w:trPr>
        <w:tc>
          <w:tcPr>
            <w:tcW w:w="8668" w:type="dxa"/>
            <w:vAlign w:val="center"/>
          </w:tcPr>
          <w:p>
            <w:pPr>
              <w:pStyle w:val="52"/>
              <w:rPr>
                <w:rFonts w:hint="default"/>
                <w:color w:val="auto"/>
                <w:highlight w:val="none"/>
              </w:rPr>
            </w:pPr>
            <w:r>
              <w:rPr>
                <w:rFonts w:hint="eastAsia"/>
                <w:color w:val="auto"/>
                <w:highlight w:val="none"/>
              </w:rPr>
              <w:t>地域包括支援センター等の認知症に関する相談窓口を周知します。より気軽に相談できるよう、地域の商業施設や集会所等に出向いて「もの忘れ相談会」を行い、脳の健康チェックによりスクリーニングを行うことで早期発見を支援します。</w:t>
            </w:r>
          </w:p>
          <w:p>
            <w:pPr>
              <w:pStyle w:val="52"/>
              <w:rPr>
                <w:rFonts w:hint="default"/>
                <w:color w:val="auto"/>
                <w:highlight w:val="none"/>
              </w:rPr>
            </w:pPr>
            <w:r>
              <w:rPr>
                <w:rFonts w:hint="eastAsia"/>
                <w:color w:val="auto"/>
                <w:highlight w:val="none"/>
              </w:rPr>
              <w:t>また、地域包括支援センター、認知症地域支援推進員、医療機関、認知症初期集中支援チーム、社会福祉協議会、家族会等の連携により地域における相談体制の充実を図ります。</w:t>
            </w:r>
          </w:p>
        </w:tc>
      </w:tr>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認知症初期集中支援チームの充実</w:t>
            </w:r>
          </w:p>
        </w:tc>
      </w:tr>
      <w:tr>
        <w:trPr>
          <w:trHeight w:val="907" w:hRule="atLeast"/>
        </w:trPr>
        <w:tc>
          <w:tcPr>
            <w:tcW w:w="8668" w:type="dxa"/>
            <w:vAlign w:val="center"/>
          </w:tcPr>
          <w:p>
            <w:pPr>
              <w:pStyle w:val="52"/>
              <w:ind w:firstLine="216"/>
              <w:rPr>
                <w:rFonts w:hint="default"/>
                <w:color w:val="auto"/>
                <w:spacing w:val="-4"/>
                <w:highlight w:val="none"/>
              </w:rPr>
            </w:pPr>
            <w:r>
              <w:rPr>
                <w:rFonts w:hint="eastAsia"/>
                <w:color w:val="auto"/>
                <w:spacing w:val="-4"/>
                <w:highlight w:val="none"/>
              </w:rPr>
              <w:t>複数の専門職がチームを組み、認知症が疑われる人や認知症の人、その家族を初期の段階から包括的、集中的に支援する「認知症初期集中支援チーム」の充実を図ります。</w:t>
            </w:r>
          </w:p>
        </w:tc>
      </w:tr>
      <w:tr>
        <w:trPr>
          <w:trHeight w:val="490" w:hRule="atLeast"/>
        </w:trPr>
        <w:tc>
          <w:tcPr>
            <w:tcW w:w="8668" w:type="dxa"/>
            <w:shd w:val="clear" w:color="auto" w:themeFill="accent5" w:themeFillTint="66" w:themeFillShade="FF"/>
            <w:vAlign w:val="center"/>
          </w:tcPr>
          <w:p>
            <w:pPr>
              <w:pStyle w:val="0"/>
              <w:rPr>
                <w:rFonts w:hint="default"/>
                <w:color w:val="auto"/>
                <w:highlight w:val="none"/>
              </w:rPr>
            </w:pPr>
            <w:r>
              <w:rPr>
                <w:rFonts w:hint="eastAsia"/>
                <w:color w:val="auto"/>
                <w:highlight w:val="none"/>
              </w:rPr>
              <w:t>認知症地域支援推進員の資質の向上</w:t>
            </w:r>
          </w:p>
        </w:tc>
      </w:tr>
      <w:tr>
        <w:trPr>
          <w:trHeight w:val="1247" w:hRule="atLeast"/>
        </w:trPr>
        <w:tc>
          <w:tcPr>
            <w:tcW w:w="8668" w:type="dxa"/>
            <w:vAlign w:val="center"/>
          </w:tcPr>
          <w:p>
            <w:pPr>
              <w:pStyle w:val="52"/>
              <w:rPr>
                <w:rFonts w:hint="default"/>
                <w:color w:val="auto"/>
                <w:highlight w:val="none"/>
              </w:rPr>
            </w:pPr>
            <w:r>
              <w:rPr>
                <w:rFonts w:hint="eastAsia"/>
                <w:color w:val="auto"/>
                <w:highlight w:val="none"/>
              </w:rPr>
              <w:t>認知症疾患医療センターやかかりつけ医、介護サービス事業者及び地域の支援機関をつなぎ、認知症に関する知識の普及・啓発を行う認知症地域支援推進員の配置と資質の向上を図ります。</w:t>
            </w:r>
          </w:p>
        </w:tc>
      </w:tr>
    </w:tbl>
    <w:p>
      <w:pPr>
        <w:pStyle w:val="41"/>
        <w:spacing w:line="160" w:lineRule="exact"/>
        <w:rPr>
          <w:rFonts w:hint="default"/>
          <w:color w:val="auto"/>
          <w:highlight w:val="none"/>
        </w:rPr>
      </w:pPr>
    </w:p>
    <w:tbl>
      <w:tblPr>
        <w:tblStyle w:val="81"/>
        <w:tblW w:w="8668" w:type="dxa"/>
        <w:tblInd w:w="392" w:type="dxa"/>
        <w:tblLayout w:type="fixed"/>
        <w:tblLook w:firstRow="1" w:lastRow="0" w:firstColumn="1" w:lastColumn="0" w:noHBand="0" w:noVBand="1" w:val="04A0"/>
      </w:tblPr>
      <w:tblGrid>
        <w:gridCol w:w="8668"/>
      </w:tblGrid>
      <w:tr>
        <w:trPr>
          <w:trHeight w:val="533" w:hRule="atLeast"/>
        </w:trPr>
        <w:tc>
          <w:tcPr>
            <w:tcW w:w="8788" w:type="dxa"/>
            <w:shd w:val="clear" w:color="auto" w:themeFill="accent5" w:themeFillTint="66" w:themeFillShade="FF"/>
            <w:vAlign w:val="center"/>
          </w:tcPr>
          <w:p>
            <w:pPr>
              <w:pStyle w:val="0"/>
              <w:rPr>
                <w:rFonts w:hint="default"/>
                <w:color w:val="auto"/>
                <w:highlight w:val="none"/>
              </w:rPr>
            </w:pPr>
            <w:r>
              <w:rPr>
                <w:rFonts w:hint="eastAsia"/>
                <w:color w:val="auto"/>
                <w:highlight w:val="none"/>
              </w:rPr>
              <w:t>認知症カフェの開催と活動を通じた支援の推進</w:t>
            </w:r>
          </w:p>
        </w:tc>
      </w:tr>
      <w:tr>
        <w:trPr>
          <w:trHeight w:val="1644" w:hRule="atLeast"/>
        </w:trPr>
        <w:tc>
          <w:tcPr>
            <w:tcW w:w="8788" w:type="dxa"/>
            <w:vAlign w:val="center"/>
          </w:tcPr>
          <w:p>
            <w:pPr>
              <w:pStyle w:val="52"/>
              <w:rPr>
                <w:rFonts w:hint="default"/>
                <w:color w:val="auto"/>
                <w:highlight w:val="none"/>
              </w:rPr>
            </w:pPr>
            <w:r>
              <w:rPr>
                <w:rFonts w:hint="eastAsia"/>
                <w:color w:val="auto"/>
                <w:highlight w:val="none"/>
              </w:rPr>
              <w:t>認知症の人とその家族、地域住民、保健・医療・福祉及び介護の専門職などが集い、語り合える「認知症カフェ」の立ち上げ支援を行うとともに、身近な地域で気軽に認知症カフェに参加できる地域づくりに取り組みます。また、認知症カフェの活動を通じ、認知症とその家族への支援を行います。</w:t>
            </w:r>
          </w:p>
        </w:tc>
      </w:tr>
      <w:tr>
        <w:trPr>
          <w:trHeight w:val="523" w:hRule="atLeast"/>
        </w:trPr>
        <w:tc>
          <w:tcPr>
            <w:tcW w:w="8788" w:type="dxa"/>
            <w:shd w:val="clear" w:color="auto" w:themeFill="accent5" w:themeFillTint="66" w:themeFillShade="FF"/>
            <w:vAlign w:val="center"/>
          </w:tcPr>
          <w:p>
            <w:pPr>
              <w:pStyle w:val="0"/>
              <w:rPr>
                <w:rFonts w:hint="default"/>
                <w:color w:val="auto"/>
                <w:highlight w:val="none"/>
              </w:rPr>
            </w:pPr>
            <w:r>
              <w:rPr>
                <w:rFonts w:hint="eastAsia"/>
                <w:color w:val="auto"/>
                <w:highlight w:val="none"/>
              </w:rPr>
              <w:t>認知症高齢者家族やすらぎ支援事業</w:t>
            </w:r>
          </w:p>
        </w:tc>
      </w:tr>
      <w:tr>
        <w:trPr>
          <w:trHeight w:val="907" w:hRule="atLeast"/>
        </w:trPr>
        <w:tc>
          <w:tcPr>
            <w:tcW w:w="8788" w:type="dxa"/>
            <w:vAlign w:val="center"/>
          </w:tcPr>
          <w:p>
            <w:pPr>
              <w:pStyle w:val="52"/>
              <w:rPr>
                <w:rFonts w:hint="default"/>
                <w:color w:val="auto"/>
                <w:highlight w:val="none"/>
              </w:rPr>
            </w:pPr>
            <w:r>
              <w:rPr>
                <w:rFonts w:hint="eastAsia"/>
                <w:color w:val="auto"/>
                <w:highlight w:val="none"/>
              </w:rPr>
              <w:t>認知症高齢者の自宅を訪問し、話し相手や見守りを行うやすらぎ支援員を養成し、介護者の負担軽減を図ります。</w:t>
            </w:r>
          </w:p>
        </w:tc>
      </w:tr>
      <w:tr>
        <w:trPr>
          <w:trHeight w:val="523" w:hRule="atLeast"/>
        </w:trPr>
        <w:tc>
          <w:tcPr>
            <w:tcW w:w="8788" w:type="dxa"/>
            <w:shd w:val="clear" w:color="auto" w:themeFill="accent5" w:themeFillTint="66" w:themeFillShade="FF"/>
            <w:vAlign w:val="center"/>
          </w:tcPr>
          <w:p>
            <w:pPr>
              <w:pStyle w:val="0"/>
              <w:rPr>
                <w:rFonts w:hint="default"/>
                <w:color w:val="auto"/>
                <w:highlight w:val="none"/>
              </w:rPr>
            </w:pPr>
            <w:r>
              <w:rPr>
                <w:rFonts w:hint="eastAsia"/>
                <w:color w:val="auto"/>
                <w:highlight w:val="none"/>
              </w:rPr>
              <w:t>チームオレンジの取組の推進</w:t>
            </w:r>
          </w:p>
        </w:tc>
      </w:tr>
      <w:tr>
        <w:trPr>
          <w:trHeight w:val="1247" w:hRule="atLeast"/>
        </w:trPr>
        <w:tc>
          <w:tcPr>
            <w:tcW w:w="8788" w:type="dxa"/>
            <w:vAlign w:val="center"/>
          </w:tcPr>
          <w:p>
            <w:pPr>
              <w:pStyle w:val="52"/>
              <w:rPr>
                <w:rFonts w:hint="default"/>
                <w:color w:val="auto"/>
                <w:highlight w:val="none"/>
              </w:rPr>
            </w:pPr>
            <w:r>
              <w:rPr>
                <w:rFonts w:hint="eastAsia"/>
                <w:color w:val="auto"/>
                <w:highlight w:val="none"/>
              </w:rPr>
              <w:t>地域包括支援センターにコーディネーターを配置し、地域において把握した認知症の人の悩みや家族の身近な生活支援ニーズ等と、認知症サポーターを中心とした支援者をつなぐ仕組み「チームオレンジ」を地域ごとに整備していきます。</w:t>
            </w:r>
          </w:p>
        </w:tc>
      </w:tr>
      <w:tr>
        <w:trPr>
          <w:trHeight w:val="533" w:hRule="atLeast"/>
        </w:trPr>
        <w:tc>
          <w:tcPr>
            <w:tcW w:w="8788" w:type="dxa"/>
            <w:shd w:val="clear" w:color="auto" w:themeFill="accent5" w:themeFillTint="66" w:themeFillShade="FF"/>
            <w:vAlign w:val="center"/>
          </w:tcPr>
          <w:p>
            <w:pPr>
              <w:pStyle w:val="0"/>
              <w:rPr>
                <w:rFonts w:hint="default"/>
                <w:color w:val="auto"/>
                <w:highlight w:val="none"/>
              </w:rPr>
            </w:pPr>
            <w:r>
              <w:rPr>
                <w:rFonts w:hint="eastAsia"/>
                <w:color w:val="auto"/>
                <w:highlight w:val="none"/>
              </w:rPr>
              <w:t>早期支援体制の構築</w:t>
            </w:r>
          </w:p>
        </w:tc>
      </w:tr>
      <w:tr>
        <w:trPr>
          <w:trHeight w:val="1247" w:hRule="atLeast"/>
        </w:trPr>
        <w:tc>
          <w:tcPr>
            <w:tcW w:w="8788" w:type="dxa"/>
            <w:vAlign w:val="center"/>
          </w:tcPr>
          <w:p>
            <w:pPr>
              <w:pStyle w:val="52"/>
              <w:rPr>
                <w:rFonts w:hint="default"/>
                <w:color w:val="auto"/>
                <w:highlight w:val="none"/>
              </w:rPr>
            </w:pPr>
            <w:r>
              <w:rPr>
                <w:rFonts w:hint="eastAsia"/>
                <w:color w:val="auto"/>
                <w:highlight w:val="none"/>
              </w:rPr>
              <w:t>認知症の診断をされた後、適切な支援につなげる仕組みや、それまでのつながりや居場所から切り離さない支援等について、認知症施策検討委員会にて関係機関と一緒に検討します。</w:t>
            </w:r>
          </w:p>
        </w:tc>
      </w:tr>
    </w:tbl>
    <w:p>
      <w:pPr>
        <w:pStyle w:val="41"/>
        <w:rPr>
          <w:rFonts w:hint="default"/>
          <w:color w:val="auto"/>
          <w:highlight w:val="none"/>
        </w:rPr>
      </w:pPr>
    </w:p>
    <w:p>
      <w:pPr>
        <w:pStyle w:val="30"/>
        <w:spacing w:after="76" w:afterLines="0" w:afterAutospacing="0"/>
        <w:rPr>
          <w:rFonts w:hint="default" w:ascii="HG丸ｺﾞｼｯｸM-PRO" w:hAnsi="HG丸ｺﾞｼｯｸM-PRO" w:eastAsia="HG丸ｺﾞｼｯｸM-PRO"/>
          <w:color w:val="auto"/>
          <w:highlight w:val="none"/>
        </w:rPr>
      </w:pPr>
      <w:r>
        <w:rPr>
          <w:rFonts w:hint="eastAsia"/>
          <w:color w:val="auto"/>
          <w:highlight w:val="none"/>
        </w:rPr>
        <w:t>≪施策の活動指標≫</w:t>
      </w:r>
    </w:p>
    <w:p>
      <w:pPr>
        <w:pStyle w:val="30"/>
        <w:numPr>
          <w:ilvl w:val="0"/>
          <w:numId w:val="3"/>
        </w:numPr>
        <w:spacing w:after="76" w:afterLines="0" w:afterAutospacing="0"/>
        <w:ind w:leftChars="0"/>
        <w:rPr>
          <w:rFonts w:hint="default"/>
          <w:b w:val="0"/>
          <w:color w:val="auto"/>
          <w:sz w:val="22"/>
          <w:highlight w:val="none"/>
        </w:rPr>
      </w:pPr>
      <w:r>
        <w:rPr>
          <w:rFonts w:hint="eastAsia"/>
          <w:b w:val="0"/>
          <w:color w:val="auto"/>
          <w:sz w:val="22"/>
          <w:highlight w:val="none"/>
          <w:shd w:val="clear" w:color="auto" w:themeFill="background1" w:themeFillTint="FF" w:themeFillShade="FF"/>
        </w:rPr>
        <w:t>認知症の人とその家族への支援体制の強化の取組</w:t>
      </w:r>
    </w:p>
    <w:tbl>
      <w:tblPr>
        <w:tblStyle w:val="81"/>
        <w:tblW w:w="8626" w:type="dxa"/>
        <w:tblInd w:w="435" w:type="dxa"/>
        <w:tblLayout w:type="fixed"/>
        <w:tblLook w:firstRow="1" w:lastRow="0" w:firstColumn="1" w:lastColumn="0" w:noHBand="0" w:noVBand="1" w:val="04A0"/>
      </w:tblPr>
      <w:tblGrid>
        <w:gridCol w:w="3410"/>
        <w:gridCol w:w="1386"/>
        <w:gridCol w:w="1277"/>
        <w:gridCol w:w="1276"/>
        <w:gridCol w:w="1277"/>
      </w:tblGrid>
      <w:tr>
        <w:trPr>
          <w:trHeight w:val="510" w:hRule="atLeast"/>
        </w:trPr>
        <w:tc>
          <w:tcPr>
            <w:tcW w:w="341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38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現状</w:t>
            </w:r>
          </w:p>
        </w:tc>
        <w:tc>
          <w:tcPr>
            <w:tcW w:w="12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6</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(2024</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7</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(2025</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8</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(2026</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r>
      <w:tr>
        <w:trPr>
          <w:trHeight w:val="340" w:hRule="atLeast"/>
        </w:trPr>
        <w:tc>
          <w:tcPr>
            <w:tcW w:w="341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脳の健康チェック実施者数</w:t>
            </w:r>
          </w:p>
        </w:tc>
        <w:tc>
          <w:tcPr>
            <w:tcW w:w="138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auto"/>
                <w:sz w:val="16"/>
                <w:highlight w:val="none"/>
              </w:rPr>
            </w:pPr>
            <w:r>
              <w:rPr>
                <w:rFonts w:hint="eastAsia" w:ascii="ＭＳ Ｐゴシック" w:hAnsi="ＭＳ Ｐゴシック" w:eastAsia="ＭＳ Ｐゴシック"/>
                <w:color w:val="auto"/>
                <w:sz w:val="21"/>
                <w:highlight w:val="none"/>
              </w:rPr>
              <w:t>200</w:t>
            </w:r>
            <w:r>
              <w:rPr>
                <w:rFonts w:hint="eastAsia" w:ascii="ＭＳ Ｐゴシック" w:hAnsi="ＭＳ Ｐゴシック" w:eastAsia="ＭＳ Ｐゴシック"/>
                <w:color w:val="auto"/>
                <w:sz w:val="21"/>
                <w:highlight w:val="none"/>
              </w:rPr>
              <w:t>人</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200</w:t>
            </w:r>
            <w:r>
              <w:rPr>
                <w:rFonts w:hint="eastAsia" w:ascii="ＭＳ Ｐゴシック" w:hAnsi="ＭＳ Ｐゴシック" w:eastAsia="ＭＳ Ｐゴシック"/>
                <w:color w:val="auto"/>
                <w:sz w:val="21"/>
                <w:highlight w:val="none"/>
              </w:rPr>
              <w:t>人</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225</w:t>
            </w:r>
            <w:r>
              <w:rPr>
                <w:rFonts w:hint="eastAsia" w:ascii="ＭＳ Ｐゴシック" w:hAnsi="ＭＳ Ｐゴシック" w:eastAsia="ＭＳ Ｐゴシック"/>
                <w:color w:val="auto"/>
                <w:sz w:val="21"/>
                <w:highlight w:val="none"/>
              </w:rPr>
              <w:t>人</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250</w:t>
            </w:r>
            <w:r>
              <w:rPr>
                <w:rFonts w:hint="eastAsia" w:ascii="ＭＳ Ｐゴシック" w:hAnsi="ＭＳ Ｐゴシック" w:eastAsia="ＭＳ Ｐゴシック"/>
                <w:color w:val="auto"/>
                <w:sz w:val="21"/>
                <w:highlight w:val="none"/>
              </w:rPr>
              <w:t>人</w:t>
            </w:r>
          </w:p>
        </w:tc>
      </w:tr>
      <w:tr>
        <w:trPr>
          <w:trHeight w:val="567" w:hRule="atLeast"/>
        </w:trPr>
        <w:tc>
          <w:tcPr>
            <w:tcW w:w="341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認知症初期集中支援チーム</w:t>
            </w:r>
          </w:p>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訪問実人数</w:t>
            </w:r>
          </w:p>
        </w:tc>
        <w:tc>
          <w:tcPr>
            <w:tcW w:w="138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56</w:t>
            </w:r>
            <w:r>
              <w:rPr>
                <w:rFonts w:hint="eastAsia" w:ascii="ＭＳ Ｐゴシック" w:hAnsi="ＭＳ Ｐゴシック" w:eastAsia="ＭＳ Ｐゴシック"/>
                <w:color w:val="auto"/>
                <w:sz w:val="21"/>
                <w:highlight w:val="none"/>
              </w:rPr>
              <w:t>人</w:t>
            </w:r>
          </w:p>
          <w:p>
            <w:pPr>
              <w:pStyle w:val="0"/>
              <w:jc w:val="center"/>
              <w:rPr>
                <w:rFonts w:hint="default" w:ascii="ＭＳ Ｐゴシック" w:hAnsi="ＭＳ Ｐゴシック" w:eastAsia="ＭＳ Ｐゴシック"/>
                <w:color w:val="auto"/>
                <w:sz w:val="16"/>
                <w:highlight w:val="none"/>
              </w:rPr>
            </w:pPr>
            <w:r>
              <w:rPr>
                <w:rFonts w:hint="eastAsia" w:ascii="ＭＳ Ｐゴシック" w:hAnsi="ＭＳ Ｐゴシック" w:eastAsia="ＭＳ Ｐゴシック"/>
                <w:color w:val="auto"/>
                <w:sz w:val="18"/>
                <w:highlight w:val="none"/>
              </w:rPr>
              <w:t>（令和</w:t>
            </w:r>
            <w:r>
              <w:rPr>
                <w:rFonts w:hint="eastAsia" w:ascii="ＭＳ Ｐゴシック" w:hAnsi="ＭＳ Ｐゴシック" w:eastAsia="ＭＳ Ｐゴシック"/>
                <w:color w:val="auto"/>
                <w:sz w:val="18"/>
                <w:highlight w:val="none"/>
              </w:rPr>
              <w:t>4</w:t>
            </w:r>
            <w:r>
              <w:rPr>
                <w:rFonts w:hint="eastAsia" w:ascii="ＭＳ Ｐゴシック" w:hAnsi="ＭＳ Ｐゴシック" w:eastAsia="ＭＳ Ｐゴシック"/>
                <w:color w:val="auto"/>
                <w:sz w:val="18"/>
                <w:highlight w:val="none"/>
              </w:rPr>
              <w:t>年度）</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65</w:t>
            </w:r>
            <w:r>
              <w:rPr>
                <w:rFonts w:hint="eastAsia" w:ascii="ＭＳ Ｐゴシック" w:hAnsi="ＭＳ Ｐゴシック" w:eastAsia="ＭＳ Ｐゴシック"/>
                <w:color w:val="auto"/>
                <w:sz w:val="21"/>
                <w:highlight w:val="none"/>
              </w:rPr>
              <w:t>人</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70</w:t>
            </w:r>
            <w:r>
              <w:rPr>
                <w:rFonts w:hint="eastAsia" w:ascii="ＭＳ Ｐゴシック" w:hAnsi="ＭＳ Ｐゴシック" w:eastAsia="ＭＳ Ｐゴシック"/>
                <w:color w:val="auto"/>
                <w:sz w:val="21"/>
                <w:highlight w:val="none"/>
              </w:rPr>
              <w:t>人</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highlight w:val="none"/>
              </w:rPr>
              <w:t>75</w:t>
            </w:r>
            <w:r>
              <w:rPr>
                <w:rFonts w:hint="eastAsia" w:ascii="ＭＳ Ｐゴシック" w:hAnsi="ＭＳ Ｐゴシック" w:eastAsia="ＭＳ Ｐゴシック"/>
                <w:color w:val="auto"/>
                <w:highlight w:val="none"/>
              </w:rPr>
              <w:t>人</w:t>
            </w:r>
          </w:p>
        </w:tc>
      </w:tr>
      <w:tr>
        <w:trPr>
          <w:trHeight w:val="567" w:hRule="atLeast"/>
        </w:trPr>
        <w:tc>
          <w:tcPr>
            <w:tcW w:w="341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認知症初期集中支援チーム</w:t>
            </w:r>
          </w:p>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医療・介護サービスにつながった人の割合</w:t>
            </w:r>
          </w:p>
        </w:tc>
        <w:tc>
          <w:tcPr>
            <w:tcW w:w="138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91.6</w:t>
            </w:r>
            <w:r>
              <w:rPr>
                <w:rFonts w:hint="eastAsia" w:ascii="ＭＳ Ｐゴシック" w:hAnsi="ＭＳ Ｐゴシック" w:eastAsia="ＭＳ Ｐゴシック"/>
                <w:color w:val="auto"/>
                <w:sz w:val="21"/>
                <w:highlight w:val="none"/>
              </w:rPr>
              <w:t>％</w:t>
            </w:r>
          </w:p>
          <w:p>
            <w:pPr>
              <w:pStyle w:val="0"/>
              <w:jc w:val="center"/>
              <w:rPr>
                <w:rFonts w:hint="default" w:ascii="ＭＳ Ｐゴシック" w:hAnsi="ＭＳ Ｐゴシック" w:eastAsia="ＭＳ Ｐゴシック"/>
                <w:color w:val="auto"/>
                <w:sz w:val="16"/>
                <w:highlight w:val="none"/>
              </w:rPr>
            </w:pPr>
            <w:r>
              <w:rPr>
                <w:rFonts w:hint="eastAsia" w:ascii="ＭＳ Ｐゴシック" w:hAnsi="ＭＳ Ｐゴシック" w:eastAsia="ＭＳ Ｐゴシック"/>
                <w:color w:val="auto"/>
                <w:sz w:val="18"/>
                <w:highlight w:val="none"/>
              </w:rPr>
              <w:t>（令和</w:t>
            </w:r>
            <w:r>
              <w:rPr>
                <w:rFonts w:hint="eastAsia" w:ascii="ＭＳ Ｐゴシック" w:hAnsi="ＭＳ Ｐゴシック" w:eastAsia="ＭＳ Ｐゴシック"/>
                <w:color w:val="auto"/>
                <w:sz w:val="18"/>
                <w:highlight w:val="none"/>
              </w:rPr>
              <w:t>4</w:t>
            </w:r>
            <w:r>
              <w:rPr>
                <w:rFonts w:hint="eastAsia" w:ascii="ＭＳ Ｐゴシック" w:hAnsi="ＭＳ Ｐゴシック" w:eastAsia="ＭＳ Ｐゴシック"/>
                <w:color w:val="auto"/>
                <w:sz w:val="18"/>
                <w:highlight w:val="none"/>
              </w:rPr>
              <w:t>年度）</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9</w:t>
            </w:r>
            <w:r>
              <w:rPr>
                <w:rFonts w:hint="eastAsia" w:ascii="ＭＳ Ｐゴシック" w:hAnsi="ＭＳ Ｐゴシック" w:eastAsia="ＭＳ Ｐゴシック"/>
                <w:color w:val="auto"/>
                <w:sz w:val="21"/>
                <w:highlight w:val="none"/>
              </w:rPr>
              <w:t>割以上</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highlight w:val="none"/>
              </w:rPr>
              <w:t>9</w:t>
            </w:r>
            <w:r>
              <w:rPr>
                <w:rFonts w:hint="eastAsia" w:ascii="ＭＳ Ｐゴシック" w:hAnsi="ＭＳ Ｐゴシック" w:eastAsia="ＭＳ Ｐゴシック"/>
                <w:color w:val="auto"/>
                <w:highlight w:val="none"/>
              </w:rPr>
              <w:t>割以上</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highlight w:val="none"/>
              </w:rPr>
              <w:t>9</w:t>
            </w:r>
            <w:r>
              <w:rPr>
                <w:rFonts w:hint="eastAsia" w:ascii="ＭＳ Ｐゴシック" w:hAnsi="ＭＳ Ｐゴシック" w:eastAsia="ＭＳ Ｐゴシック"/>
                <w:color w:val="auto"/>
                <w:highlight w:val="none"/>
              </w:rPr>
              <w:t>割以上</w:t>
            </w:r>
          </w:p>
        </w:tc>
      </w:tr>
      <w:tr>
        <w:trPr>
          <w:trHeight w:val="340" w:hRule="atLeast"/>
        </w:trPr>
        <w:tc>
          <w:tcPr>
            <w:tcW w:w="341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認知症カフェ設置数</w:t>
            </w:r>
          </w:p>
        </w:tc>
        <w:tc>
          <w:tcPr>
            <w:tcW w:w="138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6</w:t>
            </w:r>
            <w:r>
              <w:rPr>
                <w:rFonts w:hint="eastAsia" w:ascii="ＭＳ Ｐゴシック" w:hAnsi="ＭＳ Ｐゴシック" w:eastAsia="ＭＳ Ｐゴシック"/>
                <w:color w:val="auto"/>
                <w:sz w:val="21"/>
                <w:highlight w:val="none"/>
              </w:rPr>
              <w:t>か所</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7</w:t>
            </w:r>
            <w:r>
              <w:rPr>
                <w:rFonts w:hint="eastAsia" w:ascii="ＭＳ Ｐゴシック" w:hAnsi="ＭＳ Ｐゴシック" w:eastAsia="ＭＳ Ｐゴシック"/>
                <w:color w:val="auto"/>
                <w:sz w:val="21"/>
                <w:highlight w:val="none"/>
              </w:rPr>
              <w:t>か所</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8</w:t>
            </w:r>
            <w:r>
              <w:rPr>
                <w:rFonts w:hint="eastAsia" w:ascii="ＭＳ Ｐゴシック" w:hAnsi="ＭＳ Ｐゴシック" w:eastAsia="ＭＳ Ｐゴシック"/>
                <w:color w:val="auto"/>
                <w:sz w:val="21"/>
                <w:highlight w:val="none"/>
              </w:rPr>
              <w:t>か所</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9</w:t>
            </w:r>
            <w:r>
              <w:rPr>
                <w:rFonts w:hint="eastAsia" w:ascii="ＭＳ Ｐゴシック" w:hAnsi="ＭＳ Ｐゴシック" w:eastAsia="ＭＳ Ｐゴシック"/>
                <w:color w:val="auto"/>
                <w:sz w:val="21"/>
                <w:highlight w:val="none"/>
              </w:rPr>
              <w:t>か所</w:t>
            </w:r>
          </w:p>
        </w:tc>
      </w:tr>
      <w:tr>
        <w:trPr>
          <w:trHeight w:val="340" w:hRule="atLeast"/>
        </w:trPr>
        <w:tc>
          <w:tcPr>
            <w:tcW w:w="341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チームオレンジ設置数</w:t>
            </w:r>
          </w:p>
        </w:tc>
        <w:tc>
          <w:tcPr>
            <w:tcW w:w="138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6</w:t>
            </w:r>
            <w:r>
              <w:rPr>
                <w:rFonts w:hint="eastAsia" w:ascii="ＭＳ Ｐゴシック" w:hAnsi="ＭＳ Ｐゴシック" w:eastAsia="ＭＳ Ｐゴシック"/>
                <w:color w:val="auto"/>
                <w:sz w:val="21"/>
                <w:highlight w:val="none"/>
              </w:rPr>
              <w:t>か所</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highlight w:val="none"/>
              </w:rPr>
              <w:t>7</w:t>
            </w:r>
            <w:r>
              <w:rPr>
                <w:rFonts w:hint="eastAsia" w:ascii="ＭＳ Ｐゴシック" w:hAnsi="ＭＳ Ｐゴシック" w:eastAsia="ＭＳ Ｐゴシック"/>
                <w:color w:val="auto"/>
                <w:highlight w:val="none"/>
              </w:rPr>
              <w:t>か所</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highlight w:val="none"/>
              </w:rPr>
              <w:t>8</w:t>
            </w:r>
            <w:r>
              <w:rPr>
                <w:rFonts w:hint="eastAsia" w:ascii="ＭＳ Ｐゴシック" w:hAnsi="ＭＳ Ｐゴシック" w:eastAsia="ＭＳ Ｐゴシック"/>
                <w:color w:val="auto"/>
                <w:highlight w:val="none"/>
              </w:rPr>
              <w:t>か所</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highlight w:val="none"/>
              </w:rPr>
              <w:t>9</w:t>
            </w:r>
            <w:r>
              <w:rPr>
                <w:rFonts w:hint="eastAsia" w:ascii="ＭＳ Ｐゴシック" w:hAnsi="ＭＳ Ｐゴシック" w:eastAsia="ＭＳ Ｐゴシック"/>
                <w:color w:val="auto"/>
                <w:highlight w:val="none"/>
              </w:rPr>
              <w:t>か所</w:t>
            </w:r>
          </w:p>
        </w:tc>
      </w:tr>
    </w:tbl>
    <w:p>
      <w:pPr>
        <w:pStyle w:val="0"/>
        <w:ind w:left="660" w:leftChars="300"/>
        <w:rPr>
          <w:rFonts w:hint="default" w:ascii="HG丸ｺﾞｼｯｸM-PRO" w:hAnsi="HG丸ｺﾞｼｯｸM-PRO" w:eastAsia="HG丸ｺﾞｼｯｸM-PRO"/>
          <w:color w:val="auto"/>
          <w:highlight w:val="none"/>
        </w:rPr>
      </w:pPr>
      <w:r>
        <w:rPr>
          <w:rFonts w:hint="eastAsia" w:ascii="BIZ UDPゴシック" w:hAnsi="BIZ UDPゴシック" w:eastAsia="BIZ UDPゴシック"/>
          <w:color w:val="auto"/>
          <w:highlight w:val="none"/>
        </w:rPr>
        <mc:AlternateContent>
          <mc:Choice Requires="wps">
            <w:drawing>
              <wp:anchor distT="0" distB="0" distL="203200" distR="203200" simplePos="0" relativeHeight="131" behindDoc="0" locked="0" layoutInCell="1" hidden="0" allowOverlap="1">
                <wp:simplePos x="0" y="0"/>
                <wp:positionH relativeFrom="margin">
                  <wp:align>left</wp:align>
                </wp:positionH>
                <wp:positionV relativeFrom="paragraph">
                  <wp:posOffset>127000</wp:posOffset>
                </wp:positionV>
                <wp:extent cx="5759450" cy="1439545"/>
                <wp:effectExtent l="635" t="635" r="29845" b="10795"/>
                <wp:wrapNone/>
                <wp:docPr id="1182" name="オブジェクト 0"/>
                <a:graphic xmlns:a="http://schemas.openxmlformats.org/drawingml/2006/main">
                  <a:graphicData uri="http://schemas.microsoft.com/office/word/2010/wordprocessingShape">
                    <wps:wsp>
                      <wps:cNvPr id="1182" name="オブジェクト 0"/>
                      <wps:cNvSpPr/>
                      <wps:spPr>
                        <a:xfrm>
                          <a:off x="0" y="0"/>
                          <a:ext cx="5759450" cy="1439545"/>
                        </a:xfrm>
                        <a:prstGeom prst="roundRect">
                          <a:avLst>
                            <a:gd name="adj" fmla="val 8697"/>
                          </a:avLst>
                        </a:pr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right:16pt;mso-wrap-distance-bottom:0pt;margin-top:10pt;mso-position-vertical-relative:text;mso-position-horizontal:left;mso-position-horizontal-relative:margin;position:absolute;height:113.35pt;mso-wrap-distance-top:0pt;width:453.5pt;mso-wrap-distance-left:16pt;z-index:131;" o:spid="_x0000_s1182" o:allowincell="t" o:allowoverlap="t" filled="f" stroked="t" strokecolor="#32528f" strokeweight="1pt" o:spt="2" arcsize="5701f">
                <v:fill/>
                <v:stroke linestyle="single" miterlimit="8" endcap="flat" dashstyle="solid" filltype="solid"/>
                <v:textbox style="layout-flow:horizontal;"/>
                <v:imagedata o:title=""/>
                <w10:wrap type="none" anchorx="margin" anchory="text"/>
              </v:roundrect>
            </w:pict>
          </mc:Fallback>
        </mc:AlternateContent>
      </w:r>
    </w:p>
    <w:p>
      <w:pPr>
        <w:pStyle w:val="0"/>
        <w:ind w:left="220" w:leftChars="100"/>
        <w:rPr>
          <w:rFonts w:hint="default" w:ascii="BIZ UDPゴシック" w:hAnsi="BIZ UDPゴシック" w:eastAsia="BIZ UDPゴシック"/>
          <w:color w:val="auto"/>
          <w:highlight w:val="none"/>
        </w:rPr>
      </w:pPr>
      <w:r>
        <w:rPr>
          <w:rFonts w:hint="eastAsia" w:ascii="BIZ UDPゴシック" w:hAnsi="BIZ UDPゴシック" w:eastAsia="BIZ UDPゴシック"/>
          <w:color w:val="auto"/>
          <w:highlight w:val="none"/>
        </w:rPr>
        <w:t>《コラム》</w:t>
      </w:r>
    </w:p>
    <w:p>
      <w:pPr>
        <w:pStyle w:val="0"/>
        <w:ind w:left="440" w:leftChars="100" w:right="220" w:rightChars="100" w:hanging="220" w:hangingChars="100"/>
        <w:rPr>
          <w:rFonts w:hint="default" w:ascii="UD デジタル 教科書体 NP-R" w:hAnsi="UD デジタル 教科書体 NP-R" w:eastAsia="UD デジタル 教科書体 NP-R"/>
          <w:color w:val="auto"/>
          <w:highlight w:val="none"/>
        </w:rPr>
      </w:pPr>
      <w:r>
        <w:rPr>
          <w:rFonts w:hint="eastAsia" w:ascii="UD デジタル 教科書体 NP-R" w:hAnsi="UD デジタル 教科書体 NP-R" w:eastAsia="UD デジタル 教科書体 NP-R"/>
          <w:color w:val="auto"/>
          <w:highlight w:val="none"/>
        </w:rPr>
        <w:t>※認知症地域支援推進員とは、認知症になっても住み慣れた地域で生活を継続するため、医療･介護及び生活支援の様々なサービスを連携させ、効果的な支援を行う人です。</w:t>
      </w:r>
    </w:p>
    <w:p>
      <w:pPr>
        <w:pStyle w:val="0"/>
        <w:ind w:left="440" w:leftChars="100" w:right="220" w:rightChars="100" w:hanging="220" w:hangingChars="100"/>
        <w:rPr>
          <w:rFonts w:hint="default" w:ascii="UD デジタル 教科書体 NP-R" w:hAnsi="UD デジタル 教科書体 NP-R" w:eastAsia="UD デジタル 教科書体 NP-R"/>
          <w:color w:val="auto"/>
          <w:highlight w:val="none"/>
        </w:rPr>
      </w:pPr>
      <w:r>
        <w:rPr>
          <w:rFonts w:hint="eastAsia" w:ascii="UD デジタル 教科書体 NP-R" w:hAnsi="UD デジタル 教科書体 NP-R" w:eastAsia="UD デジタル 教科書体 NP-R"/>
          <w:color w:val="auto"/>
          <w:highlight w:val="none"/>
        </w:rPr>
        <w:t>※「チームオレンジ」とは、認知症サポーターがチームを組み、認知症の人や家族に対する生活面の早期からの支援等を行う取組のことです。</w:t>
      </w:r>
    </w:p>
    <w:p>
      <w:pPr>
        <w:pStyle w:val="26"/>
        <w:spacing w:after="76" w:afterLines="0" w:afterAutospacing="0"/>
        <w:rPr>
          <w:rFonts w:hint="default"/>
          <w:color w:val="auto"/>
          <w:highlight w:val="none"/>
        </w:rPr>
      </w:pPr>
      <w:bookmarkStart w:id="131" w:name="_Toc152160674"/>
      <w:r>
        <w:rPr>
          <w:rFonts w:hint="eastAsia"/>
          <w:color w:val="auto"/>
          <w:highlight w:val="none"/>
        </w:rPr>
        <w:t>（５）</w:t>
      </w:r>
      <w:r>
        <w:rPr>
          <w:rFonts w:hint="eastAsia"/>
          <w:color w:val="auto"/>
          <w:highlight w:val="none"/>
        </w:rPr>
        <w:t xml:space="preserve"> </w:t>
      </w:r>
      <w:r>
        <w:rPr>
          <w:rFonts w:hint="eastAsia"/>
          <w:color w:val="auto"/>
          <w:highlight w:val="none"/>
        </w:rPr>
        <w:t>認知症バリアフリーの推進</w:t>
      </w:r>
      <w:bookmarkEnd w:id="131"/>
    </w:p>
    <w:p>
      <w:pPr>
        <w:pStyle w:val="50"/>
        <w:spacing w:before="114" w:beforeLines="0" w:beforeAutospacing="0" w:after="114" w:afterLines="0" w:afterAutospacing="0"/>
        <w:rPr>
          <w:rFonts w:hint="default"/>
          <w:color w:val="auto"/>
          <w:highlight w:val="none"/>
        </w:rPr>
      </w:pPr>
      <w:r>
        <w:rPr>
          <w:rFonts w:hint="eastAsia"/>
          <w:color w:val="auto"/>
          <w:highlight w:val="none"/>
        </w:rPr>
        <w:t>◆◆現状と課題◆◆</w:t>
      </w:r>
    </w:p>
    <w:p>
      <w:pPr>
        <w:pStyle w:val="28"/>
        <w:rPr>
          <w:rFonts w:hint="default"/>
          <w:color w:val="auto"/>
          <w:highlight w:val="none"/>
        </w:rPr>
      </w:pPr>
      <w:r>
        <w:rPr>
          <w:rFonts w:hint="eastAsia"/>
          <w:color w:val="auto"/>
          <w:highlight w:val="none"/>
        </w:rPr>
        <w:t>認知症の人も含め、様々な生きづらさを抱えていても、一人ひとりが尊重され、その本人に合った形での社会参加が可能となる「地域共生社会」に向けた取組を進めることが重要です。</w:t>
      </w:r>
    </w:p>
    <w:p>
      <w:pPr>
        <w:pStyle w:val="28"/>
        <w:rPr>
          <w:rFonts w:hint="default"/>
          <w:color w:val="auto"/>
          <w:highlight w:val="none"/>
        </w:rPr>
      </w:pPr>
      <w:r>
        <w:rPr>
          <w:rFonts w:hint="eastAsia"/>
          <w:color w:val="auto"/>
          <w:highlight w:val="none"/>
        </w:rPr>
        <w:t>認知症の人が、買い物や移動、趣味の活動など日常生活の様々な場面で外出や交流の機会を減らしている状況があります。</w:t>
      </w:r>
      <w:r>
        <w:rPr>
          <w:rFonts w:hint="default"/>
          <w:color w:val="auto"/>
          <w:highlight w:val="none"/>
        </w:rPr>
        <w:t>このため、移動、</w:t>
      </w:r>
      <w:r>
        <w:rPr>
          <w:rFonts w:hint="eastAsia"/>
          <w:color w:val="auto"/>
          <w:highlight w:val="none"/>
        </w:rPr>
        <w:t>消費、金融手続き、公共施設</w:t>
      </w:r>
      <w:r>
        <w:rPr>
          <w:rFonts w:hint="default"/>
          <w:color w:val="auto"/>
          <w:highlight w:val="none"/>
        </w:rPr>
        <w:t>など、生活のあらゆる場面で、認知症になってからも</w:t>
      </w:r>
      <w:r>
        <w:rPr>
          <w:rFonts w:hint="eastAsia"/>
          <w:color w:val="auto"/>
          <w:highlight w:val="none"/>
        </w:rPr>
        <w:t>住み慣れた地域で普通に暮らし続けていくための障壁を減らしていく「</w:t>
      </w:r>
      <w:r>
        <w:rPr>
          <w:rFonts w:hint="default"/>
          <w:color w:val="auto"/>
          <w:highlight w:val="none"/>
        </w:rPr>
        <w:t>認知症バ</w:t>
      </w:r>
      <w:r>
        <w:rPr>
          <w:rFonts w:hint="eastAsia"/>
          <w:color w:val="auto"/>
          <w:highlight w:val="none"/>
        </w:rPr>
        <w:t>リアフリー</w:t>
      </w:r>
      <w:r>
        <w:rPr>
          <w:rFonts w:hint="default"/>
          <w:color w:val="auto"/>
          <w:highlight w:val="none"/>
        </w:rPr>
        <w:t>」の取組を推進する</w:t>
      </w:r>
      <w:r>
        <w:rPr>
          <w:rFonts w:hint="eastAsia"/>
          <w:color w:val="auto"/>
          <w:highlight w:val="none"/>
        </w:rPr>
        <w:t>必要があります。</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◆◆施策の方向性◆◆</w:t>
      </w:r>
    </w:p>
    <w:p>
      <w:pPr>
        <w:pStyle w:val="28"/>
        <w:rPr>
          <w:rFonts w:hint="default"/>
          <w:color w:val="auto"/>
          <w:highlight w:val="none"/>
        </w:rPr>
      </w:pPr>
      <w:r>
        <w:rPr>
          <w:rFonts w:hint="eastAsia"/>
          <w:color w:val="auto"/>
          <w:highlight w:val="none"/>
        </w:rPr>
        <w:t>認知症になってもできる限り住み慣れた地域でこれまでどおり暮らし続けていくため、地域で認知症の人を見守る体制の整備や、認知症サポーターの活動を認知症の人やその家族への具体的な支援につなげる仕組みづくりなどの取組を行います。</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◆◆具体的施策◆◆</w:t>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認知症のある人を支援する人たちの連携の強化</w:t>
            </w:r>
          </w:p>
        </w:tc>
      </w:tr>
      <w:tr>
        <w:trPr>
          <w:trHeight w:val="1327" w:hRule="atLeast"/>
        </w:trPr>
        <w:tc>
          <w:tcPr>
            <w:tcW w:w="8668" w:type="dxa"/>
            <w:vAlign w:val="center"/>
          </w:tcPr>
          <w:p>
            <w:pPr>
              <w:pStyle w:val="52"/>
              <w:rPr>
                <w:rFonts w:hint="default"/>
                <w:color w:val="auto"/>
                <w:highlight w:val="none"/>
              </w:rPr>
            </w:pPr>
            <w:r>
              <w:rPr>
                <w:rFonts w:hint="eastAsia"/>
                <w:color w:val="auto"/>
                <w:highlight w:val="none"/>
              </w:rPr>
              <w:t>キャラバン・メイト、オレンジアドバイザー、認知症地域支援推進員、認知症サポーター、家族会等の連絡会を日常生活圏域で開催し、日常生活圏域における課題を共有し、その解決のための連携を強化します。</w:t>
            </w:r>
          </w:p>
        </w:tc>
      </w:tr>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認知症バリアフリーの環境整備</w:t>
            </w:r>
          </w:p>
        </w:tc>
      </w:tr>
      <w:tr>
        <w:trPr>
          <w:trHeight w:val="1325" w:hRule="atLeast"/>
        </w:trPr>
        <w:tc>
          <w:tcPr>
            <w:tcW w:w="8668" w:type="dxa"/>
            <w:vAlign w:val="center"/>
          </w:tcPr>
          <w:p>
            <w:pPr>
              <w:pStyle w:val="52"/>
              <w:rPr>
                <w:rFonts w:hint="default"/>
                <w:color w:val="auto"/>
                <w:highlight w:val="none"/>
              </w:rPr>
            </w:pPr>
            <w:r>
              <w:rPr>
                <w:rFonts w:hint="eastAsia"/>
                <w:color w:val="auto"/>
                <w:highlight w:val="none"/>
              </w:rPr>
              <w:t>移動や居住支援等において、庁内関係課や事業者、地域の関係機関・団体等と連携を図り、認知症になっても日常の生活環境において、これまでどおりに暮らし続けていけるよう改善や工夫を図り、「認知症バリアフリー」の取組を推進します。</w:t>
            </w:r>
          </w:p>
        </w:tc>
      </w:tr>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認知症の人の社会参加の機会の確保</w:t>
            </w:r>
          </w:p>
        </w:tc>
      </w:tr>
      <w:tr>
        <w:trPr>
          <w:trHeight w:val="1021" w:hRule="atLeast"/>
        </w:trPr>
        <w:tc>
          <w:tcPr>
            <w:tcW w:w="8668" w:type="dxa"/>
            <w:vAlign w:val="center"/>
          </w:tcPr>
          <w:p>
            <w:pPr>
              <w:pStyle w:val="52"/>
              <w:rPr>
                <w:rFonts w:hint="default"/>
                <w:color w:val="auto"/>
                <w:highlight w:val="none"/>
              </w:rPr>
            </w:pPr>
            <w:r>
              <w:rPr>
                <w:rFonts w:hint="eastAsia"/>
                <w:color w:val="auto"/>
                <w:highlight w:val="none"/>
              </w:rPr>
              <w:t>若年性認知症の人やその他の認知症の人の意欲及び能力に応じた、就労も含めた社会参加について関係機関と連携して取り組みます。</w:t>
            </w:r>
          </w:p>
        </w:tc>
      </w:tr>
    </w:tbl>
    <w:p>
      <w:pPr>
        <w:pStyle w:val="0"/>
        <w:widowControl w:val="1"/>
        <w:jc w:val="left"/>
        <w:rPr>
          <w:rFonts w:hint="default"/>
          <w:color w:val="auto"/>
          <w:highlight w:val="none"/>
        </w:rPr>
      </w:pPr>
      <w:r>
        <w:rPr>
          <w:rFonts w:hint="default"/>
          <w:color w:val="auto"/>
          <w:highlight w:val="none"/>
        </w:rPr>
        <w:t xml:space="preserve"> </w:t>
      </w:r>
      <w:r>
        <w:rPr>
          <w:rFonts w:hint="default"/>
          <w:color w:val="auto"/>
          <w:highlight w:val="none"/>
        </w:rPr>
        <w:br w:type="page"/>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はつかいち見守り安心ネットワーク</w:t>
            </w:r>
          </w:p>
        </w:tc>
      </w:tr>
      <w:tr>
        <w:trPr>
          <w:trHeight w:val="907" w:hRule="atLeast"/>
        </w:trPr>
        <w:tc>
          <w:tcPr>
            <w:tcW w:w="8668" w:type="dxa"/>
            <w:vAlign w:val="center"/>
          </w:tcPr>
          <w:p>
            <w:pPr>
              <w:pStyle w:val="52"/>
              <w:rPr>
                <w:rFonts w:hint="default"/>
                <w:color w:val="auto"/>
                <w:highlight w:val="none"/>
              </w:rPr>
            </w:pPr>
            <w:r>
              <w:rPr>
                <w:rFonts w:hint="eastAsia"/>
                <w:color w:val="auto"/>
                <w:highlight w:val="none"/>
              </w:rPr>
              <w:t>公共機関やタクシー会社、コンビニエンスストア、医療機関、町内会、ボランティアなどのネットワーク協力機関が、連絡網を通して、事前に登録した情報を伝達し、できる限り早期に発見・保護するシステムの充実を図り、市町村を越えた対応についても検討します。</w:t>
            </w:r>
          </w:p>
          <w:p>
            <w:pPr>
              <w:pStyle w:val="52"/>
              <w:rPr>
                <w:rFonts w:hint="default"/>
                <w:color w:val="auto"/>
                <w:highlight w:val="none"/>
              </w:rPr>
            </w:pPr>
            <w:r>
              <w:rPr>
                <w:rFonts w:hint="eastAsia"/>
                <w:color w:val="auto"/>
                <w:highlight w:val="none"/>
              </w:rPr>
              <w:t>また、気兼ねなく利用できるシステムとなるよう、関係機関と利用状況の検証や改善を行います。</w:t>
            </w:r>
          </w:p>
        </w:tc>
      </w:tr>
      <w:tr>
        <w:trPr>
          <w:trHeight w:val="1193" w:hRule="atLeast"/>
        </w:trPr>
        <w:tc>
          <w:tcPr>
            <w:tcW w:w="8668" w:type="dxa"/>
            <w:vAlign w:val="center"/>
          </w:tcPr>
          <w:p>
            <w:pPr>
              <w:pStyle w:val="52"/>
              <w:ind w:firstLine="0" w:firstLineChars="0"/>
              <w:rPr>
                <w:rFonts w:hint="default"/>
                <w:color w:val="auto"/>
                <w:highlight w:val="none"/>
              </w:rPr>
            </w:pPr>
            <w:r>
              <w:rPr>
                <w:rFonts w:hint="eastAsia"/>
                <w:color w:val="auto"/>
                <w:highlight w:val="none"/>
              </w:rPr>
              <w:t>［ネットワークの拡充］</w:t>
            </w:r>
          </w:p>
          <w:p>
            <w:pPr>
              <w:pStyle w:val="52"/>
              <w:rPr>
                <w:rFonts w:hint="default"/>
                <w:color w:val="auto"/>
                <w:highlight w:val="none"/>
              </w:rPr>
            </w:pPr>
            <w:r>
              <w:rPr>
                <w:rFonts w:hint="eastAsia"/>
                <w:color w:val="auto"/>
                <w:highlight w:val="none"/>
              </w:rPr>
              <w:t>ネットワーク運営会議等を通じて関連機関との情報共有を行い、認知症や障がいのある人が外出したまま行方不明になった場合の早期発見に向けた取組を行います。</w:t>
            </w:r>
          </w:p>
        </w:tc>
      </w:tr>
      <w:tr>
        <w:trPr>
          <w:trHeight w:val="2054" w:hRule="atLeast"/>
        </w:trPr>
        <w:tc>
          <w:tcPr>
            <w:tcW w:w="8668" w:type="dxa"/>
            <w:vAlign w:val="center"/>
          </w:tcPr>
          <w:p>
            <w:pPr>
              <w:pStyle w:val="52"/>
              <w:ind w:firstLine="0" w:firstLineChars="0"/>
              <w:rPr>
                <w:rFonts w:hint="default"/>
                <w:color w:val="auto"/>
                <w:highlight w:val="none"/>
              </w:rPr>
            </w:pPr>
            <w:r>
              <w:rPr>
                <w:rFonts w:hint="eastAsia"/>
                <w:color w:val="auto"/>
                <w:highlight w:val="none"/>
              </w:rPr>
              <w:t>［見守りシールの普及啓発］</w:t>
            </w:r>
          </w:p>
          <w:p>
            <w:pPr>
              <w:pStyle w:val="52"/>
              <w:rPr>
                <w:rFonts w:hint="default"/>
                <w:color w:val="auto"/>
                <w:highlight w:val="none"/>
              </w:rPr>
            </w:pPr>
            <w:r>
              <w:rPr>
                <w:rFonts w:hint="eastAsia"/>
                <w:color w:val="auto"/>
                <w:highlight w:val="none"/>
              </w:rPr>
              <w:t>認知症の人などが外出中に行方がわからなくなる場合に備え、服や持ち物等にＱＲ</w:t>
            </w:r>
            <w:r>
              <w:rPr>
                <w:rFonts w:hint="default"/>
                <w:color w:val="auto"/>
                <w:highlight w:val="none"/>
              </w:rPr>
              <w:t>コードを貼り、速やかに保護につなげるシステムの普及を図ります。このシステムでは、発見者が</w:t>
            </w:r>
            <w:r>
              <w:rPr>
                <w:rFonts w:hint="eastAsia"/>
                <w:color w:val="auto"/>
                <w:highlight w:val="none"/>
              </w:rPr>
              <w:t>ＱＲ</w:t>
            </w:r>
            <w:r>
              <w:rPr>
                <w:rFonts w:hint="default"/>
                <w:color w:val="auto"/>
                <w:highlight w:val="none"/>
              </w:rPr>
              <w:t>コードを読み取ると家族や市にメールが届き、インターネット上の伝言板でやりとりができます。</w:t>
            </w:r>
          </w:p>
        </w:tc>
      </w:tr>
    </w:tbl>
    <w:p>
      <w:pPr>
        <w:pStyle w:val="0"/>
        <w:widowControl w:val="1"/>
        <w:jc w:val="left"/>
        <w:rPr>
          <w:rFonts w:hint="default"/>
          <w:b w:val="1"/>
          <w:color w:val="auto"/>
          <w:highlight w:val="none"/>
        </w:rPr>
      </w:pPr>
    </w:p>
    <w:p>
      <w:pPr>
        <w:pStyle w:val="0"/>
        <w:widowControl w:val="1"/>
        <w:ind w:left="440" w:leftChars="200"/>
        <w:jc w:val="left"/>
        <w:rPr>
          <w:rFonts w:hint="default" w:ascii="HG丸ｺﾞｼｯｸM-PRO" w:hAnsi="HG丸ｺﾞｼｯｸM-PRO" w:eastAsia="HG丸ｺﾞｼｯｸM-PRO"/>
          <w:color w:val="auto"/>
          <w:highlight w:val="none"/>
          <w:shd w:val="clear" w:color="auto" w:themeFill="background1" w:themeFillTint="FF" w:themeFillShade="FF"/>
        </w:rPr>
      </w:pPr>
      <w:r>
        <w:rPr>
          <w:rFonts w:hint="eastAsia"/>
          <w:b w:val="1"/>
          <w:color w:val="auto"/>
          <w:highlight w:val="none"/>
        </w:rPr>
        <w:t>≪施策の活動指標≫</w:t>
      </w:r>
    </w:p>
    <w:p>
      <w:pPr>
        <w:pStyle w:val="30"/>
        <w:numPr>
          <w:ilvl w:val="0"/>
          <w:numId w:val="3"/>
        </w:numPr>
        <w:spacing w:after="76" w:afterLines="0" w:afterAutospacing="0"/>
        <w:ind w:leftChars="0"/>
        <w:rPr>
          <w:rFonts w:hint="default"/>
          <w:b w:val="0"/>
          <w:color w:val="auto"/>
          <w:sz w:val="22"/>
          <w:highlight w:val="none"/>
        </w:rPr>
      </w:pPr>
      <w:r>
        <w:rPr>
          <w:rFonts w:hint="eastAsia"/>
          <w:b w:val="0"/>
          <w:color w:val="auto"/>
          <w:sz w:val="22"/>
          <w:highlight w:val="none"/>
          <w:shd w:val="clear" w:color="auto" w:themeFill="background1" w:themeFillTint="FF" w:themeFillShade="FF"/>
        </w:rPr>
        <w:t>認知症バリアフリーの推進の取組</w:t>
      </w:r>
    </w:p>
    <w:tbl>
      <w:tblPr>
        <w:tblStyle w:val="81"/>
        <w:tblW w:w="8626" w:type="dxa"/>
        <w:tblInd w:w="435" w:type="dxa"/>
        <w:tblLayout w:type="fixed"/>
        <w:tblLook w:firstRow="1" w:lastRow="0" w:firstColumn="1" w:lastColumn="0" w:noHBand="0" w:noVBand="1" w:val="04A0"/>
      </w:tblPr>
      <w:tblGrid>
        <w:gridCol w:w="3410"/>
        <w:gridCol w:w="1386"/>
        <w:gridCol w:w="1277"/>
        <w:gridCol w:w="1276"/>
        <w:gridCol w:w="1277"/>
      </w:tblGrid>
      <w:tr>
        <w:trPr>
          <w:trHeight w:val="510" w:hRule="atLeast"/>
        </w:trPr>
        <w:tc>
          <w:tcPr>
            <w:tcW w:w="341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38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現状</w:t>
            </w:r>
          </w:p>
        </w:tc>
        <w:tc>
          <w:tcPr>
            <w:tcW w:w="12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6</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(2024</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7</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(2025</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8</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(2026</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r>
      <w:tr>
        <w:trPr>
          <w:trHeight w:val="567" w:hRule="atLeast"/>
        </w:trPr>
        <w:tc>
          <w:tcPr>
            <w:tcW w:w="341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はつかいち見守り安心ネットワークの登録者数</w:t>
            </w:r>
          </w:p>
        </w:tc>
        <w:tc>
          <w:tcPr>
            <w:tcW w:w="138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auto"/>
                <w:sz w:val="16"/>
                <w:highlight w:val="none"/>
              </w:rPr>
            </w:pPr>
            <w:r>
              <w:rPr>
                <w:rFonts w:hint="eastAsia" w:ascii="ＭＳ Ｐゴシック" w:hAnsi="ＭＳ Ｐゴシック" w:eastAsia="ＭＳ Ｐゴシック"/>
                <w:color w:val="auto"/>
                <w:sz w:val="21"/>
                <w:highlight w:val="none"/>
              </w:rPr>
              <w:t>125</w:t>
            </w:r>
            <w:r>
              <w:rPr>
                <w:rFonts w:hint="eastAsia" w:ascii="ＭＳ Ｐゴシック" w:hAnsi="ＭＳ Ｐゴシック" w:eastAsia="ＭＳ Ｐゴシック"/>
                <w:color w:val="auto"/>
                <w:sz w:val="21"/>
                <w:highlight w:val="none"/>
              </w:rPr>
              <w:t>人</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130</w:t>
            </w:r>
            <w:r>
              <w:rPr>
                <w:rFonts w:hint="eastAsia" w:ascii="ＭＳ Ｐゴシック" w:hAnsi="ＭＳ Ｐゴシック" w:eastAsia="ＭＳ Ｐゴシック"/>
                <w:color w:val="auto"/>
                <w:sz w:val="21"/>
                <w:highlight w:val="none"/>
              </w:rPr>
              <w:t>人</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140</w:t>
            </w:r>
            <w:r>
              <w:rPr>
                <w:rFonts w:hint="eastAsia" w:ascii="ＭＳ Ｐゴシック" w:hAnsi="ＭＳ Ｐゴシック" w:eastAsia="ＭＳ Ｐゴシック"/>
                <w:color w:val="auto"/>
                <w:sz w:val="21"/>
                <w:highlight w:val="none"/>
              </w:rPr>
              <w:t>人</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150</w:t>
            </w:r>
            <w:r>
              <w:rPr>
                <w:rFonts w:hint="eastAsia" w:ascii="ＭＳ Ｐゴシック" w:hAnsi="ＭＳ Ｐゴシック" w:eastAsia="ＭＳ Ｐゴシック"/>
                <w:color w:val="auto"/>
                <w:sz w:val="21"/>
                <w:highlight w:val="none"/>
              </w:rPr>
              <w:t>人</w:t>
            </w:r>
          </w:p>
        </w:tc>
      </w:tr>
      <w:tr>
        <w:trPr>
          <w:trHeight w:val="397" w:hRule="atLeast"/>
        </w:trPr>
        <w:tc>
          <w:tcPr>
            <w:tcW w:w="341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見守りシール交付者数</w:t>
            </w:r>
          </w:p>
        </w:tc>
        <w:tc>
          <w:tcPr>
            <w:tcW w:w="138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auto"/>
                <w:sz w:val="16"/>
                <w:highlight w:val="none"/>
              </w:rPr>
            </w:pPr>
            <w:r>
              <w:rPr>
                <w:rFonts w:hint="eastAsia" w:ascii="ＭＳ Ｐゴシック" w:hAnsi="ＭＳ Ｐゴシック" w:eastAsia="ＭＳ Ｐゴシック"/>
                <w:color w:val="auto"/>
                <w:sz w:val="21"/>
                <w:highlight w:val="none"/>
              </w:rPr>
              <w:t>60</w:t>
            </w:r>
            <w:r>
              <w:rPr>
                <w:rFonts w:hint="eastAsia" w:ascii="ＭＳ Ｐゴシック" w:hAnsi="ＭＳ Ｐゴシック" w:eastAsia="ＭＳ Ｐゴシック"/>
                <w:color w:val="auto"/>
                <w:sz w:val="21"/>
                <w:highlight w:val="none"/>
              </w:rPr>
              <w:t>人</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highlight w:val="none"/>
              </w:rPr>
              <w:t>65</w:t>
            </w:r>
            <w:r>
              <w:rPr>
                <w:rFonts w:hint="eastAsia" w:ascii="ＭＳ Ｐゴシック" w:hAnsi="ＭＳ Ｐゴシック" w:eastAsia="ＭＳ Ｐゴシック"/>
                <w:color w:val="auto"/>
                <w:highlight w:val="none"/>
              </w:rPr>
              <w:t>人</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highlight w:val="none"/>
              </w:rPr>
              <w:t>70</w:t>
            </w:r>
            <w:r>
              <w:rPr>
                <w:rFonts w:hint="eastAsia" w:ascii="ＭＳ Ｐゴシック" w:hAnsi="ＭＳ Ｐゴシック" w:eastAsia="ＭＳ Ｐゴシック"/>
                <w:color w:val="auto"/>
                <w:highlight w:val="none"/>
              </w:rPr>
              <w:t>人</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highlight w:val="none"/>
              </w:rPr>
              <w:t>75</w:t>
            </w:r>
            <w:r>
              <w:rPr>
                <w:rFonts w:hint="eastAsia" w:ascii="ＭＳ Ｐゴシック" w:hAnsi="ＭＳ Ｐゴシック" w:eastAsia="ＭＳ Ｐゴシック"/>
                <w:color w:val="auto"/>
                <w:highlight w:val="none"/>
              </w:rPr>
              <w:t>人</w:t>
            </w:r>
          </w:p>
        </w:tc>
      </w:tr>
    </w:tbl>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p>
    <w:p>
      <w:pPr>
        <w:pStyle w:val="0"/>
        <w:widowControl w:val="1"/>
        <w:jc w:val="left"/>
        <w:rPr>
          <w:rFonts w:hint="default"/>
          <w:color w:val="auto"/>
          <w:highlight w:val="none"/>
        </w:rPr>
      </w:pPr>
      <w:r>
        <w:rPr>
          <w:rFonts w:hint="default"/>
          <w:color w:val="auto"/>
          <w:highlight w:val="none"/>
        </w:rPr>
        <w:br w:type="page"/>
      </w:r>
    </w:p>
    <w:p>
      <w:pPr>
        <w:pStyle w:val="22"/>
        <w:spacing w:after="76" w:afterLines="0" w:afterAutospacing="0"/>
        <w:rPr>
          <w:rFonts w:hint="default"/>
          <w:color w:val="auto"/>
          <w:highlight w:val="none"/>
        </w:rPr>
      </w:pPr>
      <w:bookmarkStart w:id="132" w:name="_Toc152160675"/>
      <w:r>
        <w:rPr>
          <w:rFonts w:hint="eastAsia"/>
          <w:color w:val="auto"/>
          <w:highlight w:val="none"/>
        </w:rPr>
        <w:t>基本方針４　介護保険サービスの安定的な提供</w:t>
      </w:r>
      <w:bookmarkEnd w:id="132"/>
    </w:p>
    <w:p>
      <w:pPr>
        <w:pStyle w:val="41"/>
        <w:rPr>
          <w:rFonts w:hint="default"/>
          <w:color w:val="auto"/>
          <w:highlight w:val="none"/>
        </w:rPr>
      </w:pPr>
      <w:r>
        <w:rPr>
          <w:rFonts w:hint="default"/>
          <w:color w:val="auto"/>
          <w:highlight w:val="none"/>
        </w:rPr>
        <mc:AlternateContent>
          <mc:Choice Requires="wps">
            <w:drawing>
              <wp:anchor distT="0" distB="0" distL="114300" distR="114300" simplePos="0" relativeHeight="6" behindDoc="0" locked="0" layoutInCell="1" hidden="0" allowOverlap="1">
                <wp:simplePos x="0" y="0"/>
                <wp:positionH relativeFrom="column">
                  <wp:posOffset>0</wp:posOffset>
                </wp:positionH>
                <wp:positionV relativeFrom="paragraph">
                  <wp:posOffset>51435</wp:posOffset>
                </wp:positionV>
                <wp:extent cx="5734050" cy="828040"/>
                <wp:effectExtent l="635" t="635" r="29845" b="10795"/>
                <wp:wrapNone/>
                <wp:docPr id="1183" name="AutoShape 55"/>
                <a:graphic xmlns:a="http://schemas.openxmlformats.org/drawingml/2006/main">
                  <a:graphicData uri="http://schemas.microsoft.com/office/word/2010/wordprocessingShape">
                    <wps:wsp>
                      <wps:cNvPr id="1183" name="AutoShape 55"/>
                      <wps:cNvSpPr>
                        <a:spLocks noChangeArrowheads="1"/>
                      </wps:cNvSpPr>
                      <wps:spPr>
                        <a:xfrm>
                          <a:off x="0" y="0"/>
                          <a:ext cx="5734050" cy="828040"/>
                        </a:xfrm>
                        <a:prstGeom prst="roundRect">
                          <a:avLst>
                            <a:gd name="adj" fmla="val 13611"/>
                          </a:avLst>
                        </a:prstGeom>
                        <a:solidFill>
                          <a:schemeClr val="bg1"/>
                        </a:solidFill>
                        <a:ln w="6350">
                          <a:solidFill>
                            <a:srgbClr val="0070C0"/>
                          </a:solidFill>
                          <a:round/>
                          <a:headEnd/>
                          <a:tailEnd/>
                        </a:ln>
                      </wps:spPr>
                      <wps:txbx>
                        <w:txbxContent>
                          <w:p>
                            <w:pPr>
                              <w:pStyle w:val="0"/>
                              <w:spacing w:line="360" w:lineRule="exact"/>
                              <w:ind w:left="350" w:leftChars="50" w:hanging="240" w:hangingChars="100"/>
                              <w:jc w:val="left"/>
                              <w:rPr>
                                <w:rFonts w:hint="default" w:ascii="メイリオ" w:hAnsi="メイリオ" w:eastAsia="メイリオ"/>
                                <w:b w:val="1"/>
                                <w:sz w:val="24"/>
                              </w:rPr>
                            </w:pPr>
                            <w:r>
                              <w:rPr>
                                <w:rFonts w:hint="eastAsia" w:ascii="メイリオ" w:hAnsi="メイリオ" w:eastAsia="メイリオ"/>
                                <w:b w:val="1"/>
                                <w:color w:val="FFFFFF" w:themeColor="background1"/>
                                <w:sz w:val="24"/>
                                <w:shd w:val="clear" w:color="auto" w:fill="0070C0"/>
                              </w:rPr>
                              <w:t>めざす</w:t>
                            </w:r>
                            <w:r>
                              <w:rPr>
                                <w:rFonts w:hint="default" w:ascii="メイリオ" w:hAnsi="メイリオ" w:eastAsia="メイリオ"/>
                                <w:b w:val="1"/>
                                <w:color w:val="FFFFFF" w:themeColor="background1"/>
                                <w:sz w:val="24"/>
                                <w:shd w:val="clear" w:color="auto" w:fill="0070C0"/>
                              </w:rPr>
                              <w:t>姿</w:t>
                            </w:r>
                          </w:p>
                          <w:p>
                            <w:pPr>
                              <w:pStyle w:val="0"/>
                              <w:spacing w:before="111" w:beforeLines="30" w:beforeAutospacing="0" w:line="360" w:lineRule="exact"/>
                              <w:ind w:left="330" w:leftChars="150"/>
                              <w:jc w:val="left"/>
                              <w:rPr>
                                <w:rFonts w:hint="default" w:ascii="メイリオ" w:hAnsi="メイリオ" w:eastAsia="メイリオ"/>
                                <w:sz w:val="24"/>
                              </w:rPr>
                            </w:pPr>
                            <w:r>
                              <w:rPr>
                                <w:rFonts w:hint="eastAsia" w:ascii="メイリオ" w:hAnsi="メイリオ" w:eastAsia="メイリオ"/>
                                <w:sz w:val="24"/>
                              </w:rPr>
                              <w:t>介護が必要になっても住み慣れた自宅や地域で安心して暮らし続けることができている。</w:t>
                            </w:r>
                          </w:p>
                        </w:txbxContent>
                      </wps:txbx>
                      <wps:bodyPr rot="0" vertOverflow="overflow" horzOverflow="overflow" wrap="square" lIns="0" tIns="0" rIns="0" bIns="0" anchor="ctr" anchorCtr="0" upright="1"/>
                    </wps:wsp>
                  </a:graphicData>
                </a:graphic>
              </wp:anchor>
            </w:drawing>
          </mc:Choice>
          <mc:Fallback>
            <w:pict>
              <v:roundrect id="AutoShape 55" style="mso-wrap-distance-right:9pt;mso-wrap-distance-bottom:0pt;margin-top:4.05pt;mso-position-vertical-relative:text;mso-position-horizontal-relative:text;v-text-anchor:middle;position:absolute;height:65.2pt;mso-wrap-distance-top:0pt;width:451.5pt;mso-wrap-distance-left:9pt;margin-left:0pt;z-index:6;" o:spid="_x0000_s1183" o:allowincell="t" o:allowoverlap="t" filled="t" fillcolor="#ffffff [3212]" stroked="t" strokecolor="#0070c0" strokeweight="0.5pt" o:spt="2" arcsize="8920f">
                <v:fill/>
                <v:stroke filltype="solid"/>
                <v:textbox style="layout-flow:horizontal;" inset="0mm,0mm,0mm,0mm">
                  <w:txbxContent>
                    <w:p>
                      <w:pPr>
                        <w:pStyle w:val="0"/>
                        <w:spacing w:line="360" w:lineRule="exact"/>
                        <w:ind w:left="350" w:leftChars="50" w:hanging="240" w:hangingChars="100"/>
                        <w:jc w:val="left"/>
                        <w:rPr>
                          <w:rFonts w:hint="default" w:ascii="メイリオ" w:hAnsi="メイリオ" w:eastAsia="メイリオ"/>
                          <w:b w:val="1"/>
                          <w:sz w:val="24"/>
                        </w:rPr>
                      </w:pPr>
                      <w:r>
                        <w:rPr>
                          <w:rFonts w:hint="eastAsia" w:ascii="メイリオ" w:hAnsi="メイリオ" w:eastAsia="メイリオ"/>
                          <w:b w:val="1"/>
                          <w:color w:val="FFFFFF" w:themeColor="background1"/>
                          <w:sz w:val="24"/>
                          <w:shd w:val="clear" w:color="auto" w:fill="0070C0"/>
                        </w:rPr>
                        <w:t>めざす</w:t>
                      </w:r>
                      <w:r>
                        <w:rPr>
                          <w:rFonts w:hint="default" w:ascii="メイリオ" w:hAnsi="メイリオ" w:eastAsia="メイリオ"/>
                          <w:b w:val="1"/>
                          <w:color w:val="FFFFFF" w:themeColor="background1"/>
                          <w:sz w:val="24"/>
                          <w:shd w:val="clear" w:color="auto" w:fill="0070C0"/>
                        </w:rPr>
                        <w:t>姿</w:t>
                      </w:r>
                    </w:p>
                    <w:p>
                      <w:pPr>
                        <w:pStyle w:val="0"/>
                        <w:spacing w:before="111" w:beforeLines="30" w:beforeAutospacing="0" w:line="360" w:lineRule="exact"/>
                        <w:ind w:left="330" w:leftChars="150"/>
                        <w:jc w:val="left"/>
                        <w:rPr>
                          <w:rFonts w:hint="default" w:ascii="メイリオ" w:hAnsi="メイリオ" w:eastAsia="メイリオ"/>
                          <w:sz w:val="24"/>
                        </w:rPr>
                      </w:pPr>
                      <w:r>
                        <w:rPr>
                          <w:rFonts w:hint="eastAsia" w:ascii="メイリオ" w:hAnsi="メイリオ" w:eastAsia="メイリオ"/>
                          <w:sz w:val="24"/>
                        </w:rPr>
                        <w:t>介護が必要になっても住み慣れた自宅や地域で安心して暮らし続けることができている。</w:t>
                      </w:r>
                    </w:p>
                  </w:txbxContent>
                </v:textbox>
                <v:imagedata o:title=""/>
                <w10:wrap type="none" anchorx="text" anchory="text"/>
              </v:roundrect>
            </w:pict>
          </mc:Fallback>
        </mc:AlternateContent>
      </w:r>
    </w:p>
    <w:p>
      <w:pPr>
        <w:pStyle w:val="41"/>
        <w:rPr>
          <w:rFonts w:hint="default"/>
          <w:color w:val="auto"/>
          <w:highlight w:val="none"/>
        </w:rPr>
      </w:pPr>
    </w:p>
    <w:p>
      <w:pPr>
        <w:pStyle w:val="41"/>
        <w:rPr>
          <w:rFonts w:hint="default"/>
          <w:color w:val="auto"/>
          <w:highlight w:val="none"/>
        </w:rPr>
      </w:pPr>
    </w:p>
    <w:p>
      <w:pPr>
        <w:pStyle w:val="41"/>
        <w:rPr>
          <w:rFonts w:hint="default"/>
          <w:color w:val="auto"/>
          <w:highlight w:val="none"/>
        </w:rPr>
      </w:pPr>
    </w:p>
    <w:p>
      <w:pPr>
        <w:pStyle w:val="0"/>
        <w:widowControl w:val="1"/>
        <w:spacing w:before="185" w:beforeLines="50" w:beforeAutospacing="0"/>
        <w:ind w:firstLine="220" w:firstLineChars="100"/>
        <w:rPr>
          <w:rFonts w:hint="default"/>
          <w:color w:val="auto"/>
          <w:highlight w:val="none"/>
        </w:rPr>
      </w:pPr>
      <w:r>
        <w:rPr>
          <w:rFonts w:hint="eastAsia"/>
          <w:color w:val="auto"/>
          <w:highlight w:val="none"/>
        </w:rPr>
        <w:t>中長期的な地域の人口動態やサービス需要を踏まえたサービス提供体制の構築が重要となります。</w:t>
      </w:r>
    </w:p>
    <w:p>
      <w:pPr>
        <w:pStyle w:val="0"/>
        <w:widowControl w:val="1"/>
        <w:ind w:firstLine="220" w:firstLineChars="100"/>
        <w:rPr>
          <w:rFonts w:hint="default"/>
          <w:color w:val="auto"/>
          <w:highlight w:val="none"/>
        </w:rPr>
      </w:pPr>
      <w:r>
        <w:rPr>
          <w:rFonts w:hint="eastAsia"/>
          <w:color w:val="auto"/>
          <w:highlight w:val="none"/>
        </w:rPr>
        <w:t>これらを進めるにあたっては、地域、関係機関・団体、サービス提供事業者等と連携を図り、財源と人材をより重点的・効率的に活用する仕組みを構築することで、介護保険制度の持続可能性を確保します。</w:t>
      </w:r>
    </w:p>
    <w:p>
      <w:pPr>
        <w:pStyle w:val="0"/>
        <w:ind w:firstLine="220" w:firstLineChars="100"/>
        <w:rPr>
          <w:rFonts w:hint="default"/>
          <w:color w:val="auto"/>
          <w:highlight w:val="none"/>
        </w:rPr>
      </w:pPr>
      <w:r>
        <w:rPr>
          <w:rFonts w:hint="eastAsia"/>
          <w:color w:val="auto"/>
          <w:highlight w:val="none"/>
        </w:rPr>
        <w:t>介護人材確保については、サービスごと、職種ごとの人手不足等の状況も踏まえ、介護職に限らず介護分野で働く人材の確保・育成を行い、介護現場全体の人手不足対策を推進します。</w:t>
      </w:r>
    </w:p>
    <w:p>
      <w:pPr>
        <w:pStyle w:val="0"/>
        <w:ind w:firstLine="220" w:firstLineChars="100"/>
        <w:rPr>
          <w:rFonts w:hint="default"/>
          <w:color w:val="auto"/>
          <w:highlight w:val="none"/>
        </w:rPr>
      </w:pPr>
      <w:r>
        <w:rPr>
          <w:rFonts w:hint="eastAsia"/>
          <w:color w:val="auto"/>
          <w:highlight w:val="none"/>
        </w:rPr>
        <w:t>さらに、ＩＣＴ等の導入により、介護現場の革新・負担軽減を図ります。</w:t>
      </w:r>
    </w:p>
    <w:p>
      <w:pPr>
        <w:pStyle w:val="0"/>
        <w:ind w:firstLine="220" w:firstLineChars="100"/>
        <w:rPr>
          <w:rFonts w:hint="default"/>
          <w:color w:val="auto"/>
          <w:highlight w:val="none"/>
        </w:rPr>
      </w:pPr>
    </w:p>
    <w:p>
      <w:pPr>
        <w:pStyle w:val="30"/>
        <w:spacing w:after="76" w:afterLines="0" w:afterAutospacing="0"/>
        <w:ind w:leftChars="0"/>
        <w:rPr>
          <w:rFonts w:hint="default"/>
          <w:color w:val="auto"/>
          <w:highlight w:val="none"/>
        </w:rPr>
      </w:pPr>
      <w:r>
        <w:rPr>
          <w:rFonts w:hint="eastAsia"/>
          <w:color w:val="auto"/>
          <w:highlight w:val="none"/>
        </w:rPr>
        <w:t>≪基本方針の評価指標≫</w:t>
      </w:r>
    </w:p>
    <w:tbl>
      <w:tblPr>
        <w:tblStyle w:val="81"/>
        <w:tblW w:w="8626" w:type="dxa"/>
        <w:tblInd w:w="435" w:type="dxa"/>
        <w:tblLayout w:type="fixed"/>
        <w:tblLook w:firstRow="1" w:lastRow="0" w:firstColumn="1" w:lastColumn="0" w:noHBand="0" w:noVBand="1" w:val="04A0"/>
      </w:tblPr>
      <w:tblGrid>
        <w:gridCol w:w="3410"/>
        <w:gridCol w:w="1386"/>
        <w:gridCol w:w="1277"/>
        <w:gridCol w:w="1276"/>
        <w:gridCol w:w="1277"/>
      </w:tblGrid>
      <w:tr>
        <w:trPr>
          <w:trHeight w:val="510" w:hRule="atLeast"/>
        </w:trPr>
        <w:tc>
          <w:tcPr>
            <w:tcW w:w="341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jc w:val="center"/>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指標</w:t>
            </w:r>
          </w:p>
        </w:tc>
        <w:tc>
          <w:tcPr>
            <w:tcW w:w="138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現状</w:t>
            </w:r>
          </w:p>
        </w:tc>
        <w:tc>
          <w:tcPr>
            <w:tcW w:w="12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6</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(2024</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7</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(2025</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8</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(2026</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r>
      <w:tr>
        <w:trPr>
          <w:trHeight w:val="397" w:hRule="atLeast"/>
        </w:trPr>
        <w:tc>
          <w:tcPr>
            <w:tcW w:w="3410" w:type="dxa"/>
            <w:tcBorders>
              <w:top w:val="none" w:color="auto" w:sz="0"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spacing w:line="0" w:lineRule="atLeas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w w:val="90"/>
                <w:sz w:val="21"/>
                <w:highlight w:val="none"/>
              </w:rPr>
              <w:t>高齢になっても住み慣れた地域や自宅での生活を安心して継続するために介護サービスの提供について満足していますか。（満足している＋どちらかというと満足している）</w:t>
            </w:r>
          </w:p>
        </w:tc>
        <w:tc>
          <w:tcPr>
            <w:tcW w:w="138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0" w:lineRule="atLeast"/>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39.5</w:t>
            </w:r>
            <w:r>
              <w:rPr>
                <w:rFonts w:hint="eastAsia" w:ascii="ＭＳ Ｐゴシック" w:hAnsi="ＭＳ Ｐゴシック" w:eastAsia="ＭＳ Ｐゴシック"/>
                <w:color w:val="auto"/>
                <w:sz w:val="21"/>
                <w:highlight w:val="none"/>
              </w:rPr>
              <w:t>％以上</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0" w:lineRule="atLeast"/>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40%</w:t>
            </w:r>
            <w:r>
              <w:rPr>
                <w:rFonts w:hint="eastAsia" w:ascii="ＭＳ Ｐゴシック" w:hAnsi="ＭＳ Ｐゴシック" w:eastAsia="ＭＳ Ｐゴシック"/>
                <w:color w:val="auto"/>
                <w:sz w:val="21"/>
                <w:highlight w:val="none"/>
              </w:rPr>
              <w:t>以上</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0" w:lineRule="atLeast"/>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40%</w:t>
            </w:r>
            <w:r>
              <w:rPr>
                <w:rFonts w:hint="eastAsia" w:ascii="ＭＳ Ｐゴシック" w:hAnsi="ＭＳ Ｐゴシック" w:eastAsia="ＭＳ Ｐゴシック"/>
                <w:color w:val="auto"/>
                <w:sz w:val="21"/>
                <w:highlight w:val="none"/>
              </w:rPr>
              <w:t>以上</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0" w:lineRule="atLeast"/>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sz w:val="21"/>
                <w:highlight w:val="none"/>
              </w:rPr>
              <w:t>40%</w:t>
            </w:r>
            <w:r>
              <w:rPr>
                <w:rFonts w:hint="eastAsia" w:ascii="ＭＳ Ｐゴシック" w:hAnsi="ＭＳ Ｐゴシック" w:eastAsia="ＭＳ Ｐゴシック"/>
                <w:color w:val="auto"/>
                <w:sz w:val="21"/>
                <w:highlight w:val="none"/>
              </w:rPr>
              <w:t>以上</w:t>
            </w:r>
          </w:p>
        </w:tc>
      </w:tr>
    </w:tbl>
    <w:p>
      <w:pPr>
        <w:pStyle w:val="41"/>
        <w:rPr>
          <w:rFonts w:hint="default"/>
          <w:color w:val="auto"/>
          <w:highlight w:val="none"/>
        </w:rPr>
      </w:pPr>
    </w:p>
    <w:p>
      <w:pPr>
        <w:pStyle w:val="0"/>
        <w:widowControl w:val="1"/>
        <w:jc w:val="left"/>
        <w:rPr>
          <w:rFonts w:hint="default"/>
          <w:color w:val="auto"/>
          <w:highlight w:val="none"/>
        </w:rPr>
      </w:pPr>
      <w:r>
        <w:rPr>
          <w:rFonts w:hint="default"/>
          <w:b w:val="1"/>
          <w:color w:val="auto"/>
          <w:highlight w:val="none"/>
        </w:rPr>
        <w:br w:type="page"/>
      </w:r>
    </w:p>
    <w:p>
      <w:pPr>
        <w:pStyle w:val="26"/>
        <w:spacing w:after="76" w:afterLines="0" w:afterAutospacing="0"/>
        <w:rPr>
          <w:rFonts w:hint="default"/>
          <w:color w:val="auto"/>
          <w:highlight w:val="none"/>
        </w:rPr>
      </w:pPr>
      <w:bookmarkStart w:id="133" w:name="_Toc152160676"/>
      <w:r>
        <w:rPr>
          <w:rFonts w:hint="eastAsia"/>
          <w:color w:val="auto"/>
          <w:highlight w:val="none"/>
        </w:rPr>
        <w:t>（１）</w:t>
      </w:r>
      <w:r>
        <w:rPr>
          <w:rFonts w:hint="eastAsia"/>
          <w:color w:val="auto"/>
          <w:highlight w:val="none"/>
        </w:rPr>
        <w:t xml:space="preserve"> </w:t>
      </w:r>
      <w:r>
        <w:rPr>
          <w:rFonts w:hint="eastAsia"/>
          <w:color w:val="auto"/>
          <w:highlight w:val="none"/>
        </w:rPr>
        <w:t>地域の実情に応じた介護サービスの基盤整備</w:t>
      </w:r>
      <w:bookmarkEnd w:id="133"/>
    </w:p>
    <w:p>
      <w:pPr>
        <w:pStyle w:val="50"/>
        <w:spacing w:before="114" w:beforeLines="0" w:beforeAutospacing="0" w:after="114" w:afterLines="0" w:afterAutospacing="0"/>
        <w:rPr>
          <w:rFonts w:hint="default"/>
          <w:color w:val="auto"/>
          <w:highlight w:val="none"/>
        </w:rPr>
      </w:pPr>
      <w:r>
        <w:rPr>
          <w:rFonts w:hint="eastAsia"/>
          <w:color w:val="auto"/>
          <w:highlight w:val="none"/>
        </w:rPr>
        <w:t>◆◆現状と課題◆◆</w:t>
      </w:r>
    </w:p>
    <w:p>
      <w:pPr>
        <w:pStyle w:val="28"/>
        <w:rPr>
          <w:rFonts w:hint="default"/>
          <w:color w:val="auto"/>
          <w:highlight w:val="none"/>
        </w:rPr>
      </w:pPr>
      <w:r>
        <w:rPr>
          <w:rFonts w:hint="eastAsia"/>
          <w:color w:val="auto"/>
          <w:highlight w:val="none"/>
        </w:rPr>
        <w:t>介護保険サービスの提供にあたっては、高齢者が要介護状態等となっても、自分の意思で自分らしい生活を営むことを可能とする「高齢者の自立と尊厳を支えるケア」を確立することが必要です。</w:t>
      </w:r>
    </w:p>
    <w:p>
      <w:pPr>
        <w:pStyle w:val="28"/>
        <w:rPr>
          <w:rFonts w:hint="default"/>
          <w:color w:val="auto"/>
          <w:highlight w:val="none"/>
        </w:rPr>
      </w:pPr>
      <w:r>
        <w:rPr>
          <w:rFonts w:hint="eastAsia"/>
          <w:color w:val="auto"/>
          <w:highlight w:val="none"/>
        </w:rPr>
        <w:t>今後、</w:t>
      </w:r>
      <w:r>
        <w:rPr>
          <w:rFonts w:hint="eastAsia"/>
          <w:color w:val="auto"/>
          <w:highlight w:val="none"/>
        </w:rPr>
        <w:t>85</w:t>
      </w:r>
      <w:r>
        <w:rPr>
          <w:rFonts w:hint="eastAsia"/>
          <w:color w:val="auto"/>
          <w:highlight w:val="none"/>
        </w:rPr>
        <w:t>歳以上の高齢者が増加することに伴い、介護が必要な高齢者や認知症の高齢者は増加することが見込まれます。</w:t>
      </w:r>
    </w:p>
    <w:p>
      <w:pPr>
        <w:pStyle w:val="28"/>
        <w:rPr>
          <w:rFonts w:hint="default"/>
          <w:color w:val="auto"/>
          <w:highlight w:val="none"/>
        </w:rPr>
      </w:pPr>
      <w:r>
        <w:rPr>
          <w:rFonts w:hint="eastAsia"/>
          <w:color w:val="auto"/>
          <w:highlight w:val="none"/>
        </w:rPr>
        <w:t>ニーズ調査の結果では、多くの高齢者が、介護が必要になっても住み慣れた自宅や地域で暮らし続けることを望んでいます。</w:t>
      </w:r>
    </w:p>
    <w:p>
      <w:pPr>
        <w:pStyle w:val="28"/>
        <w:rPr>
          <w:rFonts w:hint="default"/>
          <w:color w:val="auto"/>
          <w:highlight w:val="none"/>
        </w:rPr>
      </w:pPr>
      <w:r>
        <w:rPr>
          <w:rFonts w:hint="eastAsia"/>
          <w:color w:val="auto"/>
          <w:highlight w:val="none"/>
        </w:rPr>
        <w:t>要介護状態等になってもできるだけ住み慣れた地域で生活を継続するためには、地域密着型サービスの果たす役割が重要であり、特に、居宅要介護者の様々な介護ニーズに柔軟に対応できるよう、複合的な在宅サービスの必要性が高まっています。</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◆◆施策の方向性◆◆</w:t>
      </w:r>
    </w:p>
    <w:p>
      <w:pPr>
        <w:pStyle w:val="28"/>
        <w:rPr>
          <w:rFonts w:hint="default"/>
          <w:color w:val="auto"/>
          <w:highlight w:val="none"/>
        </w:rPr>
      </w:pPr>
      <w:r>
        <w:rPr>
          <w:rFonts w:hint="eastAsia"/>
          <w:color w:val="auto"/>
          <w:highlight w:val="none"/>
        </w:rPr>
        <w:t>介護が必要とされる人に必要な介護が提供されるよう介護サービス基盤の整備を行います。また、在宅での生活が困難となった理由として、認知症状の悪化が高くなっていることから、認知症の人が適切な介護サービスを利用できるようサービス提供の充実を図ります。</w:t>
      </w:r>
    </w:p>
    <w:p>
      <w:pPr>
        <w:pStyle w:val="28"/>
        <w:rPr>
          <w:rFonts w:hint="default"/>
          <w:color w:val="auto"/>
          <w:highlight w:val="none"/>
        </w:rPr>
      </w:pPr>
      <w:r>
        <w:rPr>
          <w:rFonts w:hint="eastAsia"/>
          <w:color w:val="auto"/>
          <w:highlight w:val="none"/>
        </w:rPr>
        <w:t>中長期的な地域の人口動態や介護ニーズの見込み等を適切に捉え、施設・サービス種別の変更など既存施設事業所のあり方も含めて検討し、地域の実情に応じて介護サービス基盤を計画的に確保します。</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◆◆具体的施策◆◆</w:t>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介護サービスを提供する事業所の整備</w:t>
            </w:r>
          </w:p>
        </w:tc>
      </w:tr>
      <w:tr>
        <w:trPr>
          <w:trHeight w:val="1644" w:hRule="atLeast"/>
        </w:trPr>
        <w:tc>
          <w:tcPr>
            <w:tcW w:w="8668" w:type="dxa"/>
            <w:vAlign w:val="center"/>
          </w:tcPr>
          <w:p>
            <w:pPr>
              <w:pStyle w:val="52"/>
              <w:rPr>
                <w:rFonts w:hint="default"/>
                <w:color w:val="auto"/>
                <w:highlight w:val="none"/>
              </w:rPr>
            </w:pPr>
            <w:r>
              <w:rPr>
                <w:rFonts w:hint="eastAsia"/>
                <w:color w:val="auto"/>
                <w:highlight w:val="none"/>
              </w:rPr>
              <w:t>介護施設及び地域密着型サービスについて、第９期計画に基づいて着実に整備を推進します。</w:t>
            </w:r>
          </w:p>
          <w:p>
            <w:pPr>
              <w:pStyle w:val="52"/>
              <w:rPr>
                <w:rFonts w:hint="default"/>
                <w:color w:val="auto"/>
                <w:highlight w:val="none"/>
              </w:rPr>
            </w:pPr>
            <w:r>
              <w:rPr>
                <w:rFonts w:hint="eastAsia"/>
                <w:color w:val="auto"/>
                <w:highlight w:val="none"/>
              </w:rPr>
              <w:t>整備状況、ニーズを踏まえ、定期巡回随時対応型訪問介護看護、小規模多機能型居宅介護、看護小規模多機能型居宅介護等の充実を図ります。</w:t>
            </w:r>
          </w:p>
        </w:tc>
      </w:tr>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認定者数、受給者数、サービス種類別の給付実績のモニタリング及び分析</w:t>
            </w:r>
          </w:p>
        </w:tc>
      </w:tr>
      <w:tr>
        <w:trPr>
          <w:trHeight w:val="1580" w:hRule="atLeast"/>
        </w:trPr>
        <w:tc>
          <w:tcPr>
            <w:tcW w:w="8668" w:type="dxa"/>
            <w:vAlign w:val="center"/>
          </w:tcPr>
          <w:p>
            <w:pPr>
              <w:pStyle w:val="52"/>
              <w:rPr>
                <w:rFonts w:hint="default"/>
                <w:color w:val="auto"/>
                <w:highlight w:val="none"/>
              </w:rPr>
            </w:pPr>
            <w:r>
              <w:rPr>
                <w:rFonts w:hint="eastAsia"/>
                <w:color w:val="auto"/>
                <w:highlight w:val="none"/>
              </w:rPr>
              <w:t>定期的に介護保険事業状況報告、地域包括ケア「見える化」システム等の各種調査報告や分析システムを活用し、要介護認定や</w:t>
            </w:r>
            <w:r>
              <w:rPr>
                <w:rFonts w:hint="default"/>
                <w:color w:val="auto"/>
                <w:highlight w:val="none"/>
              </w:rPr>
              <w:t>1</w:t>
            </w:r>
            <w:r>
              <w:rPr>
                <w:rFonts w:hint="default"/>
                <w:color w:val="auto"/>
                <w:highlight w:val="none"/>
              </w:rPr>
              <w:t>人当たりの介護給付等の状況やその他の介護保険事業の実態について、全国や広島県等との比較や第９期計画値の進捗状況等の分析を行います。</w:t>
            </w:r>
          </w:p>
        </w:tc>
      </w:tr>
    </w:tbl>
    <w:p>
      <w:pPr>
        <w:pStyle w:val="0"/>
        <w:widowControl w:val="1"/>
        <w:jc w:val="left"/>
        <w:rPr>
          <w:rFonts w:hint="default"/>
          <w:color w:val="auto"/>
          <w:highlight w:val="none"/>
        </w:rPr>
      </w:pP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事業者の指定と指導・監査</w:t>
            </w:r>
          </w:p>
        </w:tc>
      </w:tr>
      <w:tr>
        <w:trPr>
          <w:trHeight w:val="2466" w:hRule="atLeast"/>
        </w:trPr>
        <w:tc>
          <w:tcPr>
            <w:tcW w:w="8668" w:type="dxa"/>
            <w:vAlign w:val="center"/>
          </w:tcPr>
          <w:p>
            <w:pPr>
              <w:pStyle w:val="52"/>
              <w:rPr>
                <w:rFonts w:hint="default"/>
                <w:color w:val="auto"/>
                <w:highlight w:val="none"/>
              </w:rPr>
            </w:pPr>
            <w:r>
              <w:rPr>
                <w:rFonts w:hint="eastAsia"/>
                <w:color w:val="auto"/>
                <w:highlight w:val="none"/>
              </w:rPr>
              <w:t>市指定事業所である地域密着型サービス事業、居宅介護支援事業及び介護予防・日常生活支援総合事業を対象とし、事業所の運営及びサービスの提供が適切に行われるよう、個別事業所への運営指導を実施します。県指定事業所については、広島県と合同で運営指導を行います。</w:t>
            </w:r>
          </w:p>
          <w:p>
            <w:pPr>
              <w:pStyle w:val="52"/>
              <w:rPr>
                <w:rFonts w:hint="default"/>
                <w:color w:val="auto"/>
                <w:highlight w:val="none"/>
              </w:rPr>
            </w:pPr>
            <w:r>
              <w:rPr>
                <w:rFonts w:hint="eastAsia"/>
                <w:color w:val="auto"/>
                <w:highlight w:val="none"/>
              </w:rPr>
              <w:t>また、集団指導及び情報交換会等を通じて法令等の周知や運営に関する指導・助言を行い、介護サービスの質の向上を図ります。</w:t>
            </w:r>
          </w:p>
        </w:tc>
      </w:tr>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介護サービス利用者負担額軽減についての周知</w:t>
            </w:r>
          </w:p>
        </w:tc>
      </w:tr>
      <w:tr>
        <w:trPr>
          <w:trHeight w:val="964" w:hRule="atLeast"/>
        </w:trPr>
        <w:tc>
          <w:tcPr>
            <w:tcW w:w="8668" w:type="dxa"/>
            <w:vAlign w:val="center"/>
          </w:tcPr>
          <w:p>
            <w:pPr>
              <w:pStyle w:val="52"/>
              <w:rPr>
                <w:rFonts w:hint="default"/>
                <w:color w:val="auto"/>
                <w:highlight w:val="none"/>
              </w:rPr>
            </w:pPr>
            <w:r>
              <w:rPr>
                <w:rFonts w:hint="eastAsia"/>
                <w:color w:val="auto"/>
                <w:highlight w:val="none"/>
              </w:rPr>
              <w:t>低所得者の方の介護サービスの利用促進を図るため、利用者負担額軽減について、引き続き市ホームページ等により周知します。</w:t>
            </w:r>
          </w:p>
        </w:tc>
      </w:tr>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関係機関・指定事業者等の連携体制</w:t>
            </w:r>
          </w:p>
        </w:tc>
      </w:tr>
      <w:tr>
        <w:trPr>
          <w:trHeight w:val="624" w:hRule="atLeast"/>
        </w:trPr>
        <w:tc>
          <w:tcPr>
            <w:tcW w:w="8668" w:type="dxa"/>
            <w:vAlign w:val="center"/>
          </w:tcPr>
          <w:p>
            <w:pPr>
              <w:pStyle w:val="52"/>
              <w:rPr>
                <w:rFonts w:hint="default"/>
                <w:color w:val="auto"/>
                <w:highlight w:val="none"/>
              </w:rPr>
            </w:pPr>
            <w:r>
              <w:rPr>
                <w:rFonts w:hint="eastAsia"/>
                <w:color w:val="auto"/>
                <w:highlight w:val="none"/>
              </w:rPr>
              <w:t>市内介護保険サービス事業所等と情報交換会等を開催し、連携強化に努めます。</w:t>
            </w:r>
          </w:p>
        </w:tc>
      </w:tr>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過疎地域等への安定的な介護サービスの提供</w:t>
            </w:r>
          </w:p>
        </w:tc>
      </w:tr>
      <w:tr>
        <w:trPr>
          <w:trHeight w:val="1336" w:hRule="atLeast"/>
        </w:trPr>
        <w:tc>
          <w:tcPr>
            <w:tcW w:w="8668" w:type="dxa"/>
            <w:vAlign w:val="center"/>
          </w:tcPr>
          <w:p>
            <w:pPr>
              <w:pStyle w:val="52"/>
              <w:rPr>
                <w:rFonts w:hint="default"/>
                <w:color w:val="auto"/>
                <w:highlight w:val="none"/>
              </w:rPr>
            </w:pPr>
            <w:r>
              <w:rPr>
                <w:rFonts w:hint="eastAsia"/>
                <w:color w:val="auto"/>
                <w:highlight w:val="none"/>
              </w:rPr>
              <w:t>過疎地域に指定されている吉和、佐伯、宮島地域における介護サービスの安定的な提供体制を確保するため、当該地域を訪問しサービス提供している事業所への支援などを検討します。</w:t>
            </w:r>
          </w:p>
        </w:tc>
      </w:tr>
    </w:tbl>
    <w:p>
      <w:pPr>
        <w:pStyle w:val="0"/>
        <w:widowControl w:val="1"/>
        <w:jc w:val="left"/>
        <w:rPr>
          <w:rFonts w:hint="default"/>
          <w:color w:val="auto"/>
          <w:highlight w:val="none"/>
        </w:rPr>
      </w:pPr>
    </w:p>
    <w:p>
      <w:pPr>
        <w:pStyle w:val="0"/>
        <w:widowControl w:val="1"/>
        <w:ind w:left="440" w:leftChars="200"/>
        <w:jc w:val="left"/>
        <w:rPr>
          <w:rFonts w:hint="default"/>
          <w:color w:val="auto"/>
          <w:highlight w:val="none"/>
        </w:rPr>
      </w:pPr>
      <w:r>
        <w:rPr>
          <w:rFonts w:hint="default"/>
          <w:color w:val="auto"/>
          <w:highlight w:val="none"/>
        </w:rPr>
        <w:t xml:space="preserve"> </w:t>
      </w:r>
      <w:r>
        <w:rPr>
          <w:rFonts w:hint="eastAsia"/>
          <w:b w:val="1"/>
          <w:color w:val="auto"/>
          <w:highlight w:val="none"/>
        </w:rPr>
        <w:t>≪施策の活動指標≫</w:t>
      </w:r>
    </w:p>
    <w:p>
      <w:pPr>
        <w:pStyle w:val="30"/>
        <w:numPr>
          <w:ilvl w:val="0"/>
          <w:numId w:val="3"/>
        </w:numPr>
        <w:spacing w:after="76" w:afterLines="0" w:afterAutospacing="0"/>
        <w:ind w:leftChars="0"/>
        <w:rPr>
          <w:rFonts w:hint="default"/>
          <w:b w:val="0"/>
          <w:color w:val="auto"/>
          <w:sz w:val="22"/>
          <w:highlight w:val="none"/>
        </w:rPr>
      </w:pPr>
      <w:r>
        <w:rPr>
          <w:rFonts w:hint="eastAsia"/>
          <w:b w:val="0"/>
          <w:color w:val="auto"/>
          <w:sz w:val="22"/>
          <w:highlight w:val="none"/>
          <w:shd w:val="clear" w:color="auto" w:themeFill="background1" w:themeFillTint="FF" w:themeFillShade="FF"/>
        </w:rPr>
        <w:t>地域の実情に応じた介護サービスの基盤整備の取組</w:t>
      </w:r>
    </w:p>
    <w:tbl>
      <w:tblPr>
        <w:tblStyle w:val="81"/>
        <w:tblW w:w="8626" w:type="dxa"/>
        <w:tblInd w:w="435" w:type="dxa"/>
        <w:tblLayout w:type="fixed"/>
        <w:tblLook w:firstRow="1" w:lastRow="0" w:firstColumn="1" w:lastColumn="0" w:noHBand="0" w:noVBand="1" w:val="04A0"/>
      </w:tblPr>
      <w:tblGrid>
        <w:gridCol w:w="3520"/>
        <w:gridCol w:w="1276"/>
        <w:gridCol w:w="1277"/>
        <w:gridCol w:w="1276"/>
        <w:gridCol w:w="1277"/>
      </w:tblGrid>
      <w:tr>
        <w:trPr>
          <w:trHeight w:val="510" w:hRule="atLeast"/>
        </w:trPr>
        <w:tc>
          <w:tcPr>
            <w:tcW w:w="352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27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現状</w:t>
            </w:r>
          </w:p>
        </w:tc>
        <w:tc>
          <w:tcPr>
            <w:tcW w:w="12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6</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(2024</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7</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(2025</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8</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(2026</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r>
      <w:tr>
        <w:trPr>
          <w:trHeight w:val="567" w:hRule="atLeast"/>
        </w:trPr>
        <w:tc>
          <w:tcPr>
            <w:tcW w:w="352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運営指導実施件数（市単独）</w:t>
            </w:r>
          </w:p>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（３年に１回以上）</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27</w:t>
            </w:r>
            <w:r>
              <w:rPr>
                <w:rFonts w:hint="eastAsia" w:ascii="ＭＳ Ｐゴシック" w:hAnsi="ＭＳ Ｐゴシック" w:eastAsia="ＭＳ Ｐゴシック"/>
                <w:color w:val="auto"/>
                <w:sz w:val="21"/>
                <w:highlight w:val="none"/>
              </w:rPr>
              <w:t>件</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27</w:t>
            </w:r>
            <w:r>
              <w:rPr>
                <w:rFonts w:hint="eastAsia" w:ascii="ＭＳ Ｐゴシック" w:hAnsi="ＭＳ Ｐゴシック" w:eastAsia="ＭＳ Ｐゴシック"/>
                <w:color w:val="auto"/>
                <w:sz w:val="21"/>
                <w:highlight w:val="none"/>
              </w:rPr>
              <w:t>件</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27</w:t>
            </w:r>
            <w:r>
              <w:rPr>
                <w:rFonts w:hint="eastAsia" w:ascii="ＭＳ Ｐゴシック" w:hAnsi="ＭＳ Ｐゴシック" w:eastAsia="ＭＳ Ｐゴシック"/>
                <w:color w:val="auto"/>
                <w:sz w:val="21"/>
                <w:highlight w:val="none"/>
              </w:rPr>
              <w:t>件</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27</w:t>
            </w:r>
            <w:r>
              <w:rPr>
                <w:rFonts w:hint="eastAsia" w:ascii="ＭＳ Ｐゴシック" w:hAnsi="ＭＳ Ｐゴシック" w:eastAsia="ＭＳ Ｐゴシック"/>
                <w:color w:val="auto"/>
                <w:sz w:val="21"/>
                <w:highlight w:val="none"/>
              </w:rPr>
              <w:t>件</w:t>
            </w:r>
          </w:p>
        </w:tc>
      </w:tr>
      <w:tr>
        <w:trPr>
          <w:trHeight w:val="397" w:hRule="atLeast"/>
        </w:trPr>
        <w:tc>
          <w:tcPr>
            <w:tcW w:w="352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情報交換会の開催数</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w:t>
            </w:r>
            <w:r>
              <w:rPr>
                <w:rFonts w:hint="eastAsia" w:ascii="ＭＳ Ｐゴシック" w:hAnsi="ＭＳ Ｐゴシック" w:eastAsia="ＭＳ Ｐゴシック"/>
                <w:color w:val="auto"/>
                <w:sz w:val="21"/>
                <w:highlight w:val="none"/>
              </w:rPr>
              <w:t>回</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w:t>
            </w:r>
            <w:r>
              <w:rPr>
                <w:rFonts w:hint="eastAsia" w:ascii="ＭＳ Ｐゴシック" w:hAnsi="ＭＳ Ｐゴシック" w:eastAsia="ＭＳ Ｐゴシック"/>
                <w:color w:val="auto"/>
                <w:sz w:val="21"/>
                <w:highlight w:val="none"/>
              </w:rPr>
              <w:t>回</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w:t>
            </w:r>
            <w:r>
              <w:rPr>
                <w:rFonts w:hint="eastAsia" w:ascii="ＭＳ Ｐゴシック" w:hAnsi="ＭＳ Ｐゴシック" w:eastAsia="ＭＳ Ｐゴシック"/>
                <w:color w:val="auto"/>
                <w:sz w:val="21"/>
                <w:highlight w:val="none"/>
              </w:rPr>
              <w:t>回</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w:t>
            </w:r>
            <w:r>
              <w:rPr>
                <w:rFonts w:hint="eastAsia" w:ascii="ＭＳ Ｐゴシック" w:hAnsi="ＭＳ Ｐゴシック" w:eastAsia="ＭＳ Ｐゴシック"/>
                <w:color w:val="auto"/>
                <w:sz w:val="21"/>
                <w:highlight w:val="none"/>
              </w:rPr>
              <w:t>回</w:t>
            </w:r>
          </w:p>
        </w:tc>
      </w:tr>
    </w:tbl>
    <w:p>
      <w:pPr>
        <w:pStyle w:val="0"/>
        <w:widowControl w:val="1"/>
        <w:jc w:val="left"/>
        <w:rPr>
          <w:rFonts w:hint="default"/>
          <w:color w:val="auto"/>
          <w:highlight w:val="none"/>
        </w:rPr>
      </w:pPr>
    </w:p>
    <w:p>
      <w:pPr>
        <w:pStyle w:val="0"/>
        <w:widowControl w:val="1"/>
        <w:jc w:val="left"/>
        <w:rPr>
          <w:rFonts w:hint="default"/>
          <w:color w:val="auto"/>
          <w:highlight w:val="none"/>
        </w:rPr>
      </w:pPr>
      <w:r>
        <w:rPr>
          <w:rFonts w:hint="default"/>
          <w:color w:val="auto"/>
          <w:highlight w:val="none"/>
        </w:rPr>
        <w:br w:type="page"/>
      </w:r>
    </w:p>
    <w:p>
      <w:pPr>
        <w:pStyle w:val="26"/>
        <w:spacing w:after="76" w:afterLines="0" w:afterAutospacing="0"/>
        <w:rPr>
          <w:rFonts w:hint="default"/>
          <w:color w:val="auto"/>
          <w:highlight w:val="none"/>
        </w:rPr>
      </w:pPr>
      <w:bookmarkStart w:id="134" w:name="_Toc152160677"/>
      <w:r>
        <w:rPr>
          <w:rFonts w:hint="eastAsia"/>
          <w:color w:val="auto"/>
          <w:highlight w:val="none"/>
        </w:rPr>
        <w:t>（２）</w:t>
      </w:r>
      <w:r>
        <w:rPr>
          <w:rFonts w:hint="eastAsia"/>
          <w:color w:val="auto"/>
          <w:highlight w:val="none"/>
        </w:rPr>
        <w:t xml:space="preserve"> </w:t>
      </w:r>
      <w:r>
        <w:rPr>
          <w:rFonts w:hint="eastAsia"/>
          <w:color w:val="auto"/>
          <w:highlight w:val="none"/>
        </w:rPr>
        <w:t>働きやすい職場づくりの推進</w:t>
      </w:r>
      <w:bookmarkEnd w:id="134"/>
    </w:p>
    <w:p>
      <w:pPr>
        <w:pStyle w:val="50"/>
        <w:spacing w:before="114" w:beforeLines="0" w:beforeAutospacing="0" w:after="114" w:afterLines="0" w:afterAutospacing="0"/>
        <w:rPr>
          <w:rFonts w:hint="default"/>
          <w:color w:val="auto"/>
          <w:highlight w:val="none"/>
        </w:rPr>
      </w:pPr>
      <w:r>
        <w:rPr>
          <w:rFonts w:hint="eastAsia"/>
          <w:color w:val="auto"/>
          <w:highlight w:val="none"/>
        </w:rPr>
        <w:t>◆◆現状と課題◆◆</w:t>
      </w:r>
    </w:p>
    <w:p>
      <w:pPr>
        <w:pStyle w:val="28"/>
        <w:rPr>
          <w:rFonts w:hint="default"/>
          <w:color w:val="auto"/>
          <w:highlight w:val="none"/>
        </w:rPr>
      </w:pPr>
      <w:r>
        <w:rPr>
          <w:rFonts w:hint="eastAsia"/>
          <w:color w:val="auto"/>
          <w:highlight w:val="none"/>
        </w:rPr>
        <w:t>生産年齢人口が減少する中においても、介護現場が地域における介護ニーズに応え、介護人材がやりがいを持って働き続けられる職場環境づくりを進めるためには、職場の良好な人間関係づくりや、結婚、出産、子育てを経ても働ける環境整備が必要です。</w:t>
      </w:r>
    </w:p>
    <w:p>
      <w:pPr>
        <w:pStyle w:val="28"/>
        <w:rPr>
          <w:rFonts w:hint="default"/>
          <w:color w:val="auto"/>
          <w:highlight w:val="none"/>
        </w:rPr>
      </w:pPr>
      <w:r>
        <w:rPr>
          <w:rFonts w:hint="eastAsia"/>
          <w:color w:val="auto"/>
          <w:highlight w:val="none"/>
        </w:rPr>
        <w:t>また、少子高齢化が進展し、介護分野の人的制約が強まる中、介護サービスの質の向上や職員の負担軽減、職場環境の改善などの生産性の向上の推進に取り組んでいくことが不可欠です。</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◆◆施策の方向性◆◆</w:t>
      </w:r>
    </w:p>
    <w:p>
      <w:pPr>
        <w:pStyle w:val="28"/>
        <w:rPr>
          <w:rFonts w:hint="default"/>
          <w:color w:val="auto"/>
          <w:highlight w:val="none"/>
        </w:rPr>
      </w:pPr>
      <w:r>
        <w:rPr>
          <w:rFonts w:hint="eastAsia"/>
          <w:color w:val="auto"/>
          <w:highlight w:val="none"/>
        </w:rPr>
        <w:t>介護現場の生産性向上に資する様々な支援の活用を促すと共に、介護職員等の処遇改善を図ります。</w:t>
      </w:r>
    </w:p>
    <w:p>
      <w:pPr>
        <w:pStyle w:val="28"/>
        <w:rPr>
          <w:rFonts w:hint="default"/>
          <w:color w:val="auto"/>
          <w:highlight w:val="none"/>
        </w:rPr>
      </w:pPr>
      <w:r>
        <w:rPr>
          <w:rFonts w:hint="eastAsia"/>
          <w:color w:val="auto"/>
          <w:highlight w:val="none"/>
        </w:rPr>
        <w:t>また、ハラスメント対策を含めた働きやすい職場づくりに向けた取組を推進します。</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◆◆具体的施策◆◆</w:t>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78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介護職員等の処遇改善、離職防止、定着促進、生産性向上</w:t>
            </w:r>
          </w:p>
        </w:tc>
      </w:tr>
      <w:tr>
        <w:trPr>
          <w:trHeight w:val="1701" w:hRule="atLeast"/>
        </w:trPr>
        <w:tc>
          <w:tcPr>
            <w:tcW w:w="8788" w:type="dxa"/>
            <w:vAlign w:val="center"/>
          </w:tcPr>
          <w:p>
            <w:pPr>
              <w:pStyle w:val="52"/>
              <w:rPr>
                <w:rFonts w:hint="default"/>
                <w:color w:val="auto"/>
                <w:highlight w:val="none"/>
              </w:rPr>
            </w:pPr>
            <w:r>
              <w:rPr>
                <w:rFonts w:hint="eastAsia"/>
                <w:color w:val="auto"/>
                <w:highlight w:val="none"/>
              </w:rPr>
              <w:t>介護職員等の処遇改善について、広島県と協力し、介護報酬上で評価する介護職員処遇改善加算・介護職員等特定処遇改善加算の取得促進を図ります。</w:t>
            </w:r>
          </w:p>
          <w:p>
            <w:pPr>
              <w:pStyle w:val="52"/>
              <w:rPr>
                <w:rFonts w:hint="default"/>
                <w:color w:val="auto"/>
                <w:highlight w:val="none"/>
              </w:rPr>
            </w:pPr>
            <w:r>
              <w:rPr>
                <w:rFonts w:hint="eastAsia"/>
                <w:color w:val="auto"/>
                <w:highlight w:val="none"/>
              </w:rPr>
              <w:t>また、電子申請・届出システムの導入等、介護事業所における業務効率化を推進し、介護職員等の働く環境を改善します。</w:t>
            </w:r>
          </w:p>
        </w:tc>
      </w:tr>
      <w:tr>
        <w:trPr>
          <w:trHeight w:val="510" w:hRule="atLeast"/>
        </w:trPr>
        <w:tc>
          <w:tcPr>
            <w:tcW w:w="878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ハラスメント対策の推進</w:t>
            </w:r>
          </w:p>
        </w:tc>
      </w:tr>
      <w:tr>
        <w:trPr>
          <w:trHeight w:val="1701" w:hRule="atLeast"/>
        </w:trPr>
        <w:tc>
          <w:tcPr>
            <w:tcW w:w="8788" w:type="dxa"/>
            <w:vAlign w:val="center"/>
          </w:tcPr>
          <w:p>
            <w:pPr>
              <w:pStyle w:val="52"/>
              <w:rPr>
                <w:rFonts w:hint="default"/>
                <w:color w:val="auto"/>
                <w:highlight w:val="none"/>
              </w:rPr>
            </w:pPr>
            <w:r>
              <w:rPr>
                <w:rFonts w:hint="eastAsia"/>
                <w:color w:val="auto"/>
                <w:highlight w:val="none"/>
              </w:rPr>
              <w:t>職場の良好な人間関係づくり、自分らしく働くことができる職場環境づくりのため、介護現場におけるハラスメントへの理解、防止対策の推進を図ります。</w:t>
            </w:r>
          </w:p>
          <w:p>
            <w:pPr>
              <w:pStyle w:val="52"/>
              <w:rPr>
                <w:rFonts w:hint="default"/>
                <w:color w:val="auto"/>
                <w:highlight w:val="none"/>
              </w:rPr>
            </w:pPr>
            <w:r>
              <w:rPr>
                <w:rFonts w:hint="eastAsia"/>
                <w:color w:val="auto"/>
                <w:highlight w:val="none"/>
              </w:rPr>
              <w:t>また、事業所が取り組むべきハラスメント対策について、運営指導等を通じて周知を行うとともに、ハラスメントに関する相談窓口の設置等体制の整備を支援します。</w:t>
            </w:r>
          </w:p>
        </w:tc>
      </w:tr>
      <w:tr>
        <w:trPr>
          <w:trHeight w:val="510" w:hRule="atLeast"/>
        </w:trPr>
        <w:tc>
          <w:tcPr>
            <w:tcW w:w="878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介護ロボット等導入支援などの業務効率化に資する取組の推進</w:t>
            </w:r>
          </w:p>
        </w:tc>
      </w:tr>
      <w:tr>
        <w:trPr>
          <w:trHeight w:val="1247" w:hRule="atLeast"/>
        </w:trPr>
        <w:tc>
          <w:tcPr>
            <w:tcW w:w="8788" w:type="dxa"/>
            <w:vAlign w:val="center"/>
          </w:tcPr>
          <w:p>
            <w:pPr>
              <w:pStyle w:val="52"/>
              <w:rPr>
                <w:rFonts w:hint="default"/>
                <w:color w:val="auto"/>
                <w:highlight w:val="none"/>
              </w:rPr>
            </w:pPr>
            <w:r>
              <w:rPr>
                <w:rFonts w:hint="eastAsia"/>
                <w:color w:val="auto"/>
                <w:highlight w:val="none"/>
              </w:rPr>
              <w:t>広島県が実施する介護ロボット導入支援事業や介護事業所ＩＣＴ導入支援事業について市内の事業所に周知を図るなど、国や県と連携して業務効率化に資する取組を推進します。</w:t>
            </w:r>
          </w:p>
        </w:tc>
      </w:tr>
      <w:tr>
        <w:trPr>
          <w:trHeight w:val="510" w:hRule="atLeast"/>
        </w:trPr>
        <w:tc>
          <w:tcPr>
            <w:tcW w:w="878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資格取得支援の実施</w:t>
            </w:r>
          </w:p>
        </w:tc>
      </w:tr>
      <w:tr>
        <w:trPr>
          <w:trHeight w:val="907" w:hRule="atLeast"/>
        </w:trPr>
        <w:tc>
          <w:tcPr>
            <w:tcW w:w="8788" w:type="dxa"/>
            <w:vAlign w:val="center"/>
          </w:tcPr>
          <w:p>
            <w:pPr>
              <w:pStyle w:val="52"/>
              <w:rPr>
                <w:rFonts w:hint="default"/>
                <w:color w:val="auto"/>
                <w:highlight w:val="none"/>
              </w:rPr>
            </w:pPr>
            <w:r>
              <w:rPr>
                <w:rFonts w:hint="eastAsia"/>
                <w:color w:val="auto"/>
                <w:highlight w:val="none"/>
              </w:rPr>
              <w:t>市内における介護サービスに従事する者に介護職員の資格取得に係る経費の一部を支援することで、職員の資質の向上に努めます。</w:t>
            </w:r>
          </w:p>
        </w:tc>
      </w:tr>
    </w:tbl>
    <w:p>
      <w:pPr>
        <w:pStyle w:val="41"/>
        <w:ind w:left="660" w:hanging="660" w:hangingChars="300"/>
        <w:rPr>
          <w:rFonts w:hint="default"/>
          <w:color w:val="auto"/>
          <w:highlight w:val="none"/>
        </w:rPr>
      </w:pPr>
      <w:r>
        <w:rPr>
          <w:rFonts w:hint="default"/>
          <w:color w:val="auto"/>
          <w:highlight w:val="none"/>
        </w:rPr>
        <w:t xml:space="preserve"> </w:t>
      </w:r>
    </w:p>
    <w:p>
      <w:pPr>
        <w:pStyle w:val="41"/>
        <w:ind w:left="440" w:leftChars="200"/>
        <w:rPr>
          <w:rFonts w:hint="default" w:ascii="HG丸ｺﾞｼｯｸM-PRO" w:hAnsi="HG丸ｺﾞｼｯｸM-PRO" w:eastAsia="HG丸ｺﾞｼｯｸM-PRO"/>
          <w:color w:val="auto"/>
          <w:highlight w:val="none"/>
        </w:rPr>
      </w:pPr>
      <w:r>
        <w:rPr>
          <w:rFonts w:hint="eastAsia"/>
          <w:b w:val="1"/>
          <w:color w:val="auto"/>
          <w:highlight w:val="none"/>
        </w:rPr>
        <w:t>≪施策の活動指標≫</w:t>
      </w:r>
    </w:p>
    <w:p>
      <w:pPr>
        <w:pStyle w:val="30"/>
        <w:numPr>
          <w:ilvl w:val="0"/>
          <w:numId w:val="3"/>
        </w:numPr>
        <w:spacing w:after="76" w:afterLines="0" w:afterAutospacing="0"/>
        <w:ind w:leftChars="0"/>
        <w:rPr>
          <w:rFonts w:hint="default"/>
          <w:b w:val="0"/>
          <w:color w:val="auto"/>
          <w:sz w:val="22"/>
          <w:highlight w:val="none"/>
        </w:rPr>
      </w:pPr>
      <w:r>
        <w:rPr>
          <w:rFonts w:hint="eastAsia"/>
          <w:b w:val="0"/>
          <w:color w:val="auto"/>
          <w:sz w:val="22"/>
          <w:highlight w:val="none"/>
          <w:shd w:val="clear" w:color="auto" w:themeFill="background1" w:themeFillTint="FF" w:themeFillShade="FF"/>
        </w:rPr>
        <w:t>働きやすい職場づくりの推進の取組</w:t>
      </w:r>
    </w:p>
    <w:tbl>
      <w:tblPr>
        <w:tblStyle w:val="81"/>
        <w:tblW w:w="8626" w:type="dxa"/>
        <w:tblInd w:w="435" w:type="dxa"/>
        <w:tblLayout w:type="fixed"/>
        <w:tblLook w:firstRow="1" w:lastRow="0" w:firstColumn="1" w:lastColumn="0" w:noHBand="0" w:noVBand="1" w:val="04A0"/>
      </w:tblPr>
      <w:tblGrid>
        <w:gridCol w:w="3520"/>
        <w:gridCol w:w="1276"/>
        <w:gridCol w:w="1277"/>
        <w:gridCol w:w="1276"/>
        <w:gridCol w:w="1277"/>
      </w:tblGrid>
      <w:tr>
        <w:trPr>
          <w:trHeight w:val="510" w:hRule="atLeast"/>
        </w:trPr>
        <w:tc>
          <w:tcPr>
            <w:tcW w:w="352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27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現状</w:t>
            </w:r>
          </w:p>
        </w:tc>
        <w:tc>
          <w:tcPr>
            <w:tcW w:w="12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6</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(2024</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7</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(2025</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8</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(2026</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r>
      <w:tr>
        <w:trPr>
          <w:trHeight w:val="567" w:hRule="atLeast"/>
        </w:trPr>
        <w:tc>
          <w:tcPr>
            <w:tcW w:w="352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事業所が取り組むべきハラスメント対策周知回数</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w:t>
            </w:r>
            <w:r>
              <w:rPr>
                <w:rFonts w:hint="eastAsia" w:ascii="ＭＳ Ｐゴシック" w:hAnsi="ＭＳ Ｐゴシック" w:eastAsia="ＭＳ Ｐゴシック"/>
                <w:color w:val="auto"/>
                <w:sz w:val="21"/>
                <w:highlight w:val="none"/>
              </w:rPr>
              <w:t>回</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年</w:t>
            </w:r>
            <w:r>
              <w:rPr>
                <w:rFonts w:hint="eastAsia" w:ascii="ＭＳ Ｐゴシック" w:hAnsi="ＭＳ Ｐゴシック" w:eastAsia="ＭＳ Ｐゴシック"/>
                <w:color w:val="auto"/>
                <w:sz w:val="21"/>
                <w:highlight w:val="none"/>
              </w:rPr>
              <w:t>1</w:t>
            </w:r>
            <w:r>
              <w:rPr>
                <w:rFonts w:hint="eastAsia" w:ascii="ＭＳ Ｐゴシック" w:hAnsi="ＭＳ Ｐゴシック" w:eastAsia="ＭＳ Ｐゴシック"/>
                <w:color w:val="auto"/>
                <w:sz w:val="21"/>
                <w:highlight w:val="none"/>
              </w:rPr>
              <w:t>回以上</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年</w:t>
            </w:r>
            <w:r>
              <w:rPr>
                <w:rFonts w:hint="eastAsia" w:ascii="ＭＳ Ｐゴシック" w:hAnsi="ＭＳ Ｐゴシック" w:eastAsia="ＭＳ Ｐゴシック"/>
                <w:color w:val="auto"/>
                <w:sz w:val="21"/>
                <w:highlight w:val="none"/>
              </w:rPr>
              <w:t>1</w:t>
            </w:r>
            <w:r>
              <w:rPr>
                <w:rFonts w:hint="eastAsia" w:ascii="ＭＳ Ｐゴシック" w:hAnsi="ＭＳ Ｐゴシック" w:eastAsia="ＭＳ Ｐゴシック"/>
                <w:color w:val="auto"/>
                <w:sz w:val="21"/>
                <w:highlight w:val="none"/>
              </w:rPr>
              <w:t>回以上</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年</w:t>
            </w:r>
            <w:r>
              <w:rPr>
                <w:rFonts w:hint="eastAsia" w:ascii="ＭＳ Ｐゴシック" w:hAnsi="ＭＳ Ｐゴシック" w:eastAsia="ＭＳ Ｐゴシック"/>
                <w:color w:val="auto"/>
                <w:sz w:val="21"/>
                <w:highlight w:val="none"/>
              </w:rPr>
              <w:t>1</w:t>
            </w:r>
            <w:r>
              <w:rPr>
                <w:rFonts w:hint="eastAsia" w:ascii="ＭＳ Ｐゴシック" w:hAnsi="ＭＳ Ｐゴシック" w:eastAsia="ＭＳ Ｐゴシック"/>
                <w:color w:val="auto"/>
                <w:sz w:val="21"/>
                <w:highlight w:val="none"/>
              </w:rPr>
              <w:t>回以上</w:t>
            </w:r>
          </w:p>
        </w:tc>
      </w:tr>
    </w:tbl>
    <w:p>
      <w:pPr>
        <w:pStyle w:val="41"/>
        <w:ind w:left="660" w:hanging="660" w:hangingChars="300"/>
        <w:rPr>
          <w:rFonts w:hint="default" w:ascii="HG丸ｺﾞｼｯｸM-PRO" w:hAnsi="HG丸ｺﾞｼｯｸM-PRO" w:eastAsia="HG丸ｺﾞｼｯｸM-PRO"/>
          <w:color w:val="auto"/>
          <w:highlight w:val="none"/>
        </w:rPr>
      </w:pPr>
    </w:p>
    <w:p>
      <w:pPr>
        <w:pStyle w:val="41"/>
        <w:ind w:left="660" w:hanging="660" w:hangingChars="300"/>
        <w:rPr>
          <w:rFonts w:hint="default" w:ascii="HG丸ｺﾞｼｯｸM-PRO" w:hAnsi="HG丸ｺﾞｼｯｸM-PRO" w:eastAsia="HG丸ｺﾞｼｯｸM-PRO"/>
          <w:color w:val="auto"/>
          <w:highlight w:val="none"/>
        </w:rPr>
      </w:pPr>
    </w:p>
    <w:p>
      <w:pPr>
        <w:pStyle w:val="0"/>
        <w:widowControl w:val="1"/>
        <w:jc w:val="left"/>
        <w:rPr>
          <w:rFonts w:hint="default" w:ascii="HG丸ｺﾞｼｯｸM-PRO" w:hAnsi="HG丸ｺﾞｼｯｸM-PRO" w:eastAsia="HG丸ｺﾞｼｯｸM-PRO"/>
          <w:color w:val="auto"/>
          <w:highlight w:val="none"/>
        </w:rPr>
      </w:pPr>
      <w:r>
        <w:rPr>
          <w:rFonts w:hint="default" w:ascii="HG丸ｺﾞｼｯｸM-PRO" w:hAnsi="HG丸ｺﾞｼｯｸM-PRO" w:eastAsia="HG丸ｺﾞｼｯｸM-PRO"/>
          <w:b w:val="1"/>
          <w:color w:val="auto"/>
          <w:highlight w:val="none"/>
        </w:rPr>
        <w:br w:type="page"/>
      </w:r>
    </w:p>
    <w:p>
      <w:pPr>
        <w:pStyle w:val="26"/>
        <w:spacing w:after="76" w:afterLines="0" w:afterAutospacing="0"/>
        <w:ind w:leftChars="0"/>
        <w:rPr>
          <w:rFonts w:hint="default"/>
          <w:color w:val="auto"/>
          <w:highlight w:val="none"/>
        </w:rPr>
      </w:pPr>
      <w:bookmarkStart w:id="135" w:name="_Toc152160678"/>
      <w:r>
        <w:rPr>
          <w:rFonts w:hint="eastAsia"/>
          <w:color w:val="auto"/>
          <w:highlight w:val="none"/>
        </w:rPr>
        <w:t>（３）</w:t>
      </w:r>
      <w:r>
        <w:rPr>
          <w:rFonts w:hint="eastAsia"/>
          <w:color w:val="auto"/>
          <w:highlight w:val="none"/>
        </w:rPr>
        <w:t xml:space="preserve"> </w:t>
      </w:r>
      <w:r>
        <w:rPr>
          <w:rFonts w:hint="eastAsia"/>
          <w:color w:val="auto"/>
          <w:highlight w:val="none"/>
        </w:rPr>
        <w:t>総合的な介護人材の確保対策</w:t>
      </w:r>
      <w:bookmarkEnd w:id="135"/>
    </w:p>
    <w:p>
      <w:pPr>
        <w:pStyle w:val="50"/>
        <w:spacing w:before="114" w:beforeLines="0" w:beforeAutospacing="0" w:after="114" w:afterLines="0" w:afterAutospacing="0"/>
        <w:rPr>
          <w:rFonts w:hint="default"/>
          <w:color w:val="auto"/>
          <w:highlight w:val="none"/>
        </w:rPr>
      </w:pPr>
      <w:r>
        <w:rPr>
          <w:rFonts w:hint="eastAsia"/>
          <w:color w:val="auto"/>
          <w:highlight w:val="none"/>
        </w:rPr>
        <w:t>◆◆現状と課題◆◆</w:t>
      </w:r>
    </w:p>
    <w:p>
      <w:pPr>
        <w:pStyle w:val="28"/>
        <w:rPr>
          <w:rFonts w:hint="default"/>
          <w:color w:val="auto"/>
          <w:highlight w:val="none"/>
        </w:rPr>
      </w:pPr>
      <w:r>
        <w:rPr>
          <w:rFonts w:hint="eastAsia"/>
          <w:color w:val="auto"/>
          <w:highlight w:val="none"/>
        </w:rPr>
        <w:t>地域包括ケアシステムの構築にあたっては、介護サービス及び地域支援事業に携わる質の高い人材を、安定的に確保するための取組が重要ですが、今後さらなる高齢化が見込まれる中、全国的に介護を担う人材の不足が課題となっています。</w:t>
      </w:r>
    </w:p>
    <w:p>
      <w:pPr>
        <w:pStyle w:val="28"/>
        <w:rPr>
          <w:rFonts w:hint="default"/>
          <w:color w:val="auto"/>
          <w:highlight w:val="none"/>
        </w:rPr>
      </w:pPr>
      <w:r>
        <w:rPr>
          <w:rFonts w:hint="eastAsia"/>
          <w:color w:val="auto"/>
          <w:highlight w:val="none"/>
        </w:rPr>
        <w:t>本市においては、総人口・現役世代人口が減少する中、高齢者人口は令和</w:t>
      </w:r>
      <w:r>
        <w:rPr>
          <w:rFonts w:hint="eastAsia"/>
          <w:color w:val="auto"/>
          <w:highlight w:val="none"/>
        </w:rPr>
        <w:t>12</w:t>
      </w:r>
      <w:r>
        <w:rPr>
          <w:rFonts w:hint="default"/>
          <w:color w:val="auto"/>
          <w:highlight w:val="none"/>
        </w:rPr>
        <w:t>（</w:t>
      </w:r>
      <w:r>
        <w:rPr>
          <w:rFonts w:hint="default"/>
          <w:color w:val="auto"/>
          <w:highlight w:val="none"/>
        </w:rPr>
        <w:t>20</w:t>
      </w:r>
      <w:r>
        <w:rPr>
          <w:rFonts w:hint="eastAsia"/>
          <w:color w:val="auto"/>
          <w:highlight w:val="none"/>
        </w:rPr>
        <w:t>30</w:t>
      </w:r>
      <w:r>
        <w:rPr>
          <w:rFonts w:hint="default"/>
          <w:color w:val="auto"/>
          <w:highlight w:val="none"/>
        </w:rPr>
        <w:t>）年にピークを迎えますが、介護ニーズの高い</w:t>
      </w:r>
      <w:r>
        <w:rPr>
          <w:rFonts w:hint="default"/>
          <w:color w:val="auto"/>
          <w:highlight w:val="none"/>
        </w:rPr>
        <w:t>85</w:t>
      </w:r>
      <w:r>
        <w:rPr>
          <w:rFonts w:hint="default"/>
          <w:color w:val="auto"/>
          <w:highlight w:val="none"/>
        </w:rPr>
        <w:t>歳以上の人口は令和</w:t>
      </w:r>
      <w:r>
        <w:rPr>
          <w:rFonts w:hint="eastAsia"/>
          <w:color w:val="auto"/>
          <w:highlight w:val="none"/>
        </w:rPr>
        <w:t>20</w:t>
      </w:r>
      <w:r>
        <w:rPr>
          <w:rFonts w:hint="default"/>
          <w:color w:val="auto"/>
          <w:highlight w:val="none"/>
        </w:rPr>
        <w:t>（</w:t>
      </w:r>
      <w:r>
        <w:rPr>
          <w:rFonts w:hint="default"/>
          <w:color w:val="auto"/>
          <w:highlight w:val="none"/>
        </w:rPr>
        <w:t>2038</w:t>
      </w:r>
      <w:r>
        <w:rPr>
          <w:rFonts w:hint="default"/>
          <w:color w:val="auto"/>
          <w:highlight w:val="none"/>
        </w:rPr>
        <w:t>）年まで増加し続けることが見込まれます。</w:t>
      </w:r>
    </w:p>
    <w:p>
      <w:pPr>
        <w:pStyle w:val="28"/>
        <w:rPr>
          <w:rFonts w:hint="default"/>
          <w:color w:val="auto"/>
          <w:highlight w:val="none"/>
        </w:rPr>
      </w:pPr>
      <w:r>
        <w:rPr>
          <w:rFonts w:hint="eastAsia"/>
          <w:color w:val="auto"/>
          <w:highlight w:val="none"/>
        </w:rPr>
        <w:t>本市においても介護人材の確保が介護保険サービスを安定的に提供する上で大きな課題となっています。</w:t>
      </w:r>
    </w:p>
    <w:p>
      <w:pPr>
        <w:pStyle w:val="28"/>
        <w:rPr>
          <w:rFonts w:hint="default"/>
          <w:color w:val="auto"/>
          <w:highlight w:val="none"/>
        </w:rPr>
      </w:pPr>
      <w:r>
        <w:rPr>
          <w:rFonts w:hint="eastAsia"/>
          <w:color w:val="auto"/>
          <w:highlight w:val="none"/>
        </w:rPr>
        <w:t>推計では、令和５（</w:t>
      </w:r>
      <w:r>
        <w:rPr>
          <w:rFonts w:hint="default"/>
          <w:color w:val="auto"/>
          <w:highlight w:val="none"/>
        </w:rPr>
        <w:t>20</w:t>
      </w:r>
      <w:r>
        <w:rPr>
          <w:rFonts w:hint="eastAsia"/>
          <w:color w:val="auto"/>
          <w:highlight w:val="none"/>
        </w:rPr>
        <w:t>23</w:t>
      </w:r>
      <w:r>
        <w:rPr>
          <w:rFonts w:hint="default"/>
          <w:color w:val="auto"/>
          <w:highlight w:val="none"/>
        </w:rPr>
        <w:t>）年を基準とすると、本市の要介護認定者数は令和</w:t>
      </w:r>
      <w:r>
        <w:rPr>
          <w:rFonts w:hint="default"/>
          <w:color w:val="auto"/>
          <w:highlight w:val="none"/>
        </w:rPr>
        <w:t>22</w:t>
      </w:r>
      <w:r>
        <w:rPr>
          <w:rFonts w:hint="default"/>
          <w:color w:val="auto"/>
          <w:highlight w:val="none"/>
        </w:rPr>
        <w:t>（</w:t>
      </w:r>
      <w:r>
        <w:rPr>
          <w:rFonts w:hint="default"/>
          <w:color w:val="auto"/>
          <w:highlight w:val="none"/>
        </w:rPr>
        <w:t>2040</w:t>
      </w:r>
      <w:r>
        <w:rPr>
          <w:rFonts w:hint="default"/>
          <w:color w:val="auto"/>
          <w:highlight w:val="none"/>
        </w:rPr>
        <w:t>）年までに</w:t>
      </w:r>
      <w:r>
        <w:rPr>
          <w:rFonts w:hint="eastAsia"/>
          <w:color w:val="auto"/>
          <w:highlight w:val="none"/>
        </w:rPr>
        <w:t>2,289</w:t>
      </w:r>
      <w:r>
        <w:rPr>
          <w:rFonts w:hint="default"/>
          <w:color w:val="auto"/>
          <w:highlight w:val="none"/>
        </w:rPr>
        <w:t>人増加し</w:t>
      </w:r>
      <w:r>
        <w:rPr>
          <w:rFonts w:hint="eastAsia"/>
          <w:color w:val="auto"/>
          <w:highlight w:val="none"/>
        </w:rPr>
        <w:t>、必要な</w:t>
      </w:r>
      <w:r>
        <w:rPr>
          <w:rFonts w:hint="default"/>
          <w:color w:val="auto"/>
          <w:highlight w:val="none"/>
        </w:rPr>
        <w:t>介護職員数（常勤換算）は</w:t>
      </w:r>
      <w:r>
        <w:rPr>
          <w:rFonts w:hint="eastAsia"/>
          <w:color w:val="auto"/>
          <w:highlight w:val="none"/>
        </w:rPr>
        <w:t>424</w:t>
      </w:r>
      <w:r>
        <w:rPr>
          <w:rFonts w:hint="default"/>
          <w:color w:val="auto"/>
          <w:highlight w:val="none"/>
        </w:rPr>
        <w:t>人</w:t>
      </w:r>
      <w:r>
        <w:rPr>
          <w:rFonts w:hint="eastAsia"/>
          <w:color w:val="auto"/>
          <w:highlight w:val="none"/>
        </w:rPr>
        <w:t>増加</w:t>
      </w:r>
      <w:r>
        <w:rPr>
          <w:rFonts w:hint="default"/>
          <w:color w:val="auto"/>
          <w:highlight w:val="none"/>
        </w:rPr>
        <w:t>する見込みです。</w:t>
      </w:r>
    </w:p>
    <w:p>
      <w:pPr>
        <w:pStyle w:val="28"/>
        <w:rPr>
          <w:rFonts w:hint="default"/>
          <w:color w:val="auto"/>
          <w:highlight w:val="none"/>
        </w:rPr>
      </w:pPr>
      <w:r>
        <w:rPr>
          <w:rFonts w:hint="eastAsia"/>
          <w:color w:val="auto"/>
          <w:highlight w:val="none"/>
        </w:rPr>
        <w:t>しかし、介護人材実態調査において、介護サービス等を提供する</w:t>
      </w:r>
      <w:r>
        <w:rPr>
          <w:rFonts w:hint="eastAsia"/>
          <w:color w:val="auto"/>
          <w:highlight w:val="none"/>
        </w:rPr>
        <w:t>4</w:t>
      </w:r>
      <w:r>
        <w:rPr>
          <w:rFonts w:hint="eastAsia"/>
          <w:color w:val="auto"/>
          <w:highlight w:val="none"/>
        </w:rPr>
        <w:t>割以上の事業所が人材確保の状況について「不足している」と回答しています。</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◆◆施策の方向性◆◆</w:t>
      </w:r>
    </w:p>
    <w:p>
      <w:pPr>
        <w:pStyle w:val="28"/>
        <w:rPr>
          <w:rFonts w:hint="default"/>
          <w:color w:val="auto"/>
          <w:highlight w:val="none"/>
        </w:rPr>
      </w:pPr>
      <w:r>
        <w:rPr>
          <w:rFonts w:hint="eastAsia"/>
          <w:color w:val="auto"/>
          <w:highlight w:val="none"/>
        </w:rPr>
        <w:t>地域、関係機関・団体、サービス提供事業者等と連携を図り、介護人材の確保・育成・定着に向けた取組を推進します。</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◆◆具体的施策◆◆</w:t>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就労的活動支援コーディネーターの配置</w:t>
            </w:r>
          </w:p>
        </w:tc>
      </w:tr>
      <w:tr>
        <w:trPr>
          <w:trHeight w:val="1613" w:hRule="atLeast"/>
        </w:trPr>
        <w:tc>
          <w:tcPr>
            <w:tcW w:w="8668" w:type="dxa"/>
            <w:vAlign w:val="center"/>
          </w:tcPr>
          <w:p>
            <w:pPr>
              <w:pStyle w:val="52"/>
              <w:rPr>
                <w:rFonts w:hint="default"/>
                <w:color w:val="auto"/>
                <w:highlight w:val="none"/>
              </w:rPr>
            </w:pPr>
            <w:r>
              <w:rPr>
                <w:rFonts w:hint="eastAsia"/>
                <w:color w:val="auto"/>
                <w:highlight w:val="none"/>
              </w:rPr>
              <w:t>就労的活動支援コーディネーターを配置し、地域の新たな担い手づくりとして、介護周辺業務のボランティアの育成を継続して行います。</w:t>
            </w:r>
          </w:p>
          <w:p>
            <w:pPr>
              <w:pStyle w:val="52"/>
              <w:rPr>
                <w:rFonts w:hint="default"/>
                <w:color w:val="auto"/>
                <w:highlight w:val="none"/>
              </w:rPr>
            </w:pPr>
            <w:r>
              <w:rPr>
                <w:rFonts w:hint="eastAsia"/>
                <w:color w:val="auto"/>
                <w:highlight w:val="none"/>
              </w:rPr>
              <w:t>介護の担い手育成として、介護予防生活支援員の養成や復職のための研修の充実を図ります。</w:t>
            </w:r>
          </w:p>
        </w:tc>
      </w:tr>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人材不足が深刻な過疎地域等の事業所への支援</w:t>
            </w:r>
          </w:p>
        </w:tc>
      </w:tr>
      <w:tr>
        <w:trPr>
          <w:trHeight w:val="907" w:hRule="atLeast"/>
        </w:trPr>
        <w:tc>
          <w:tcPr>
            <w:tcW w:w="8668" w:type="dxa"/>
            <w:vAlign w:val="center"/>
          </w:tcPr>
          <w:p>
            <w:pPr>
              <w:pStyle w:val="52"/>
              <w:rPr>
                <w:rFonts w:hint="default"/>
                <w:color w:val="auto"/>
                <w:highlight w:val="none"/>
              </w:rPr>
            </w:pPr>
            <w:r>
              <w:rPr>
                <w:rFonts w:hint="eastAsia"/>
                <w:color w:val="auto"/>
                <w:highlight w:val="none"/>
              </w:rPr>
              <w:t>人口減少や高齢化が急速に進んでいる過疎地域等（中山間地域を含む）における介護サービスの提供基盤を整えるため、介護人材確保の支援策について検討します。</w:t>
            </w:r>
          </w:p>
        </w:tc>
      </w:tr>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人材確保・定着のための情報提供や市内事業者への支援など情報発信の充実</w:t>
            </w:r>
          </w:p>
        </w:tc>
      </w:tr>
      <w:tr>
        <w:trPr>
          <w:trHeight w:val="907" w:hRule="atLeast"/>
        </w:trPr>
        <w:tc>
          <w:tcPr>
            <w:tcW w:w="8668" w:type="dxa"/>
            <w:vAlign w:val="center"/>
          </w:tcPr>
          <w:p>
            <w:pPr>
              <w:pStyle w:val="52"/>
              <w:rPr>
                <w:rFonts w:hint="default"/>
                <w:color w:val="auto"/>
                <w:highlight w:val="none"/>
              </w:rPr>
            </w:pPr>
            <w:r>
              <w:rPr>
                <w:rFonts w:hint="eastAsia"/>
                <w:color w:val="auto"/>
                <w:highlight w:val="none"/>
              </w:rPr>
              <w:t>福祉人材の確保・育成・定着に向けた推進組織「廿日市市　大竹市　福祉・介護人材確保等総合支援協議会」と連携し、人材の確保や定着に向けた取組を推進します。</w:t>
            </w:r>
          </w:p>
        </w:tc>
      </w:tr>
    </w:tbl>
    <w:p>
      <w:pPr>
        <w:pStyle w:val="0"/>
        <w:widowControl w:val="1"/>
        <w:jc w:val="left"/>
        <w:rPr>
          <w:rFonts w:hint="default"/>
          <w:color w:val="auto"/>
          <w:highlight w:val="none"/>
        </w:rPr>
      </w:pPr>
      <w:r>
        <w:rPr>
          <w:rFonts w:hint="default"/>
          <w:color w:val="auto"/>
          <w:highlight w:val="none"/>
        </w:rPr>
        <w:br w:type="page"/>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人材確保に向けた市内事業者への支援の充実</w:t>
            </w:r>
          </w:p>
        </w:tc>
      </w:tr>
      <w:tr>
        <w:trPr>
          <w:trHeight w:val="2430" w:hRule="atLeast"/>
        </w:trPr>
        <w:tc>
          <w:tcPr>
            <w:tcW w:w="8668" w:type="dxa"/>
            <w:vAlign w:val="center"/>
          </w:tcPr>
          <w:p>
            <w:pPr>
              <w:pStyle w:val="52"/>
              <w:rPr>
                <w:rFonts w:hint="default"/>
                <w:color w:val="auto"/>
                <w:highlight w:val="none"/>
              </w:rPr>
            </w:pPr>
            <w:r>
              <w:rPr>
                <w:rFonts w:hint="eastAsia"/>
                <w:color w:val="auto"/>
                <w:highlight w:val="none"/>
              </w:rPr>
              <w:t>介護保険サービス事業者等へ、求人・求職のマッチングイベント等への積極的な参加を促すなど、市内事業者の職場環境の改善に向けた助言、情報提供を行います。</w:t>
            </w:r>
          </w:p>
          <w:p>
            <w:pPr>
              <w:pStyle w:val="52"/>
              <w:rPr>
                <w:rFonts w:hint="default"/>
                <w:color w:val="auto"/>
                <w:highlight w:val="none"/>
              </w:rPr>
            </w:pPr>
            <w:r>
              <w:rPr>
                <w:rFonts w:hint="eastAsia"/>
                <w:color w:val="auto"/>
                <w:highlight w:val="none"/>
              </w:rPr>
              <w:t>中学、高校の生徒や保護者、教員などに対して、介護の体験や魅力を発信することにより、将来の職業選択につながる取組を行います。</w:t>
            </w:r>
          </w:p>
          <w:p>
            <w:pPr>
              <w:pStyle w:val="52"/>
              <w:rPr>
                <w:rFonts w:hint="default"/>
                <w:color w:val="auto"/>
                <w:highlight w:val="none"/>
              </w:rPr>
            </w:pPr>
            <w:r>
              <w:rPr>
                <w:rFonts w:hint="eastAsia"/>
                <w:color w:val="auto"/>
                <w:highlight w:val="none"/>
              </w:rPr>
              <w:t>また、一般市民、学生、高齢者、福祉職・介護職への就職を検討している人等に対しては、広報等を通じて介護の仕事を知る機会となる取組を行います。</w:t>
            </w:r>
          </w:p>
        </w:tc>
      </w:tr>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介護人材の定着への支援</w:t>
            </w:r>
          </w:p>
        </w:tc>
      </w:tr>
      <w:tr>
        <w:trPr>
          <w:trHeight w:val="1247" w:hRule="atLeast"/>
        </w:trPr>
        <w:tc>
          <w:tcPr>
            <w:tcW w:w="8668" w:type="dxa"/>
            <w:vAlign w:val="center"/>
          </w:tcPr>
          <w:p>
            <w:pPr>
              <w:pStyle w:val="52"/>
              <w:rPr>
                <w:rFonts w:hint="default"/>
                <w:color w:val="auto"/>
                <w:highlight w:val="none"/>
              </w:rPr>
            </w:pPr>
            <w:r>
              <w:rPr>
                <w:rFonts w:hint="eastAsia"/>
                <w:color w:val="auto"/>
                <w:highlight w:val="none"/>
              </w:rPr>
              <w:t>市内介護サービス事業者の交流会や研修会を開催するなど、介護職員の相互の学びあいや交流の場を設け、やりがいやスキルの向上、魅力の再発見を通じて離職の防止につなげます。</w:t>
            </w:r>
          </w:p>
        </w:tc>
      </w:tr>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介護人材の確保に向けた取組</w:t>
            </w:r>
          </w:p>
        </w:tc>
      </w:tr>
      <w:tr>
        <w:trPr>
          <w:trHeight w:val="1247" w:hRule="atLeast"/>
        </w:trPr>
        <w:tc>
          <w:tcPr>
            <w:tcW w:w="8668" w:type="dxa"/>
            <w:vAlign w:val="center"/>
          </w:tcPr>
          <w:p>
            <w:pPr>
              <w:pStyle w:val="52"/>
              <w:rPr>
                <w:rFonts w:hint="default"/>
                <w:color w:val="auto"/>
                <w:highlight w:val="none"/>
              </w:rPr>
            </w:pPr>
            <w:r>
              <w:rPr>
                <w:rFonts w:hint="eastAsia"/>
                <w:color w:val="auto"/>
                <w:highlight w:val="none"/>
              </w:rPr>
              <w:t>要支援及び事業対象者（生活機能低下が認められた人）に生活援助型訪問サービスを提供することができる介護予防・生活支援員の養成研修を行い、介護人材の裾野を広げます。</w:t>
            </w:r>
          </w:p>
        </w:tc>
      </w:tr>
    </w:tbl>
    <w:p>
      <w:pPr>
        <w:pStyle w:val="0"/>
        <w:rPr>
          <w:rFonts w:hint="default"/>
          <w:b w:val="1"/>
          <w:color w:val="auto"/>
          <w:highlight w:val="none"/>
        </w:rPr>
      </w:pPr>
    </w:p>
    <w:p>
      <w:pPr>
        <w:pStyle w:val="0"/>
        <w:ind w:left="440" w:leftChars="200"/>
        <w:rPr>
          <w:rFonts w:hint="default" w:ascii="HG丸ｺﾞｼｯｸM-PRO" w:hAnsi="HG丸ｺﾞｼｯｸM-PRO" w:eastAsia="HG丸ｺﾞｼｯｸM-PRO"/>
          <w:color w:val="auto"/>
          <w:highlight w:val="none"/>
        </w:rPr>
      </w:pPr>
      <w:r>
        <w:rPr>
          <w:rFonts w:hint="eastAsia"/>
          <w:b w:val="1"/>
          <w:color w:val="auto"/>
          <w:highlight w:val="none"/>
        </w:rPr>
        <w:t>≪施策の活動指標≫</w:t>
      </w:r>
    </w:p>
    <w:p>
      <w:pPr>
        <w:pStyle w:val="30"/>
        <w:numPr>
          <w:ilvl w:val="0"/>
          <w:numId w:val="3"/>
        </w:numPr>
        <w:spacing w:after="76" w:afterLines="0" w:afterAutospacing="0"/>
        <w:ind w:leftChars="0"/>
        <w:rPr>
          <w:rFonts w:hint="default"/>
          <w:b w:val="0"/>
          <w:color w:val="auto"/>
          <w:sz w:val="22"/>
          <w:highlight w:val="none"/>
        </w:rPr>
      </w:pPr>
      <w:r>
        <w:rPr>
          <w:rFonts w:hint="eastAsia"/>
          <w:b w:val="0"/>
          <w:color w:val="auto"/>
          <w:sz w:val="22"/>
          <w:highlight w:val="none"/>
          <w:shd w:val="clear" w:color="auto" w:themeFill="background1" w:themeFillTint="FF" w:themeFillShade="FF"/>
        </w:rPr>
        <w:t>総合的な介護人材の確保対策の取組</w:t>
      </w:r>
    </w:p>
    <w:tbl>
      <w:tblPr>
        <w:tblStyle w:val="81"/>
        <w:tblW w:w="8690" w:type="dxa"/>
        <w:tblInd w:w="435" w:type="dxa"/>
        <w:tblLayout w:type="fixed"/>
        <w:tblLook w:firstRow="1" w:lastRow="0" w:firstColumn="1" w:lastColumn="0" w:noHBand="0" w:noVBand="1" w:val="04A0"/>
      </w:tblPr>
      <w:tblGrid>
        <w:gridCol w:w="1650"/>
        <w:gridCol w:w="1870"/>
        <w:gridCol w:w="1430"/>
        <w:gridCol w:w="1210"/>
        <w:gridCol w:w="1320"/>
        <w:gridCol w:w="1210"/>
      </w:tblGrid>
      <w:tr>
        <w:trPr>
          <w:trHeight w:val="510" w:hRule="atLeast"/>
        </w:trPr>
        <w:tc>
          <w:tcPr>
            <w:tcW w:w="3520"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43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現状</w:t>
            </w:r>
          </w:p>
        </w:tc>
        <w:tc>
          <w:tcPr>
            <w:tcW w:w="121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6</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(2024</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32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7</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(2025</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1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8</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(2026</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r>
      <w:tr>
        <w:trPr>
          <w:trHeight w:val="567" w:hRule="atLeast"/>
        </w:trPr>
        <w:tc>
          <w:tcPr>
            <w:tcW w:w="3520" w:type="dxa"/>
            <w:gridSpan w:val="2"/>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介護予防・生活支援員養成研修修了者のうち就労につながった人の数</w:t>
            </w:r>
          </w:p>
        </w:tc>
        <w:tc>
          <w:tcPr>
            <w:tcW w:w="143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5</w:t>
            </w:r>
            <w:r>
              <w:rPr>
                <w:rFonts w:hint="eastAsia" w:ascii="ＭＳ Ｐゴシック" w:hAnsi="ＭＳ Ｐゴシック" w:eastAsia="ＭＳ Ｐゴシック"/>
                <w:color w:val="auto"/>
                <w:sz w:val="21"/>
                <w:highlight w:val="none"/>
              </w:rPr>
              <w:t>人</w:t>
            </w:r>
          </w:p>
          <w:p>
            <w:pPr>
              <w:pStyle w:val="0"/>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16"/>
                <w:highlight w:val="none"/>
              </w:rPr>
              <w:t>（令和</w:t>
            </w:r>
            <w:r>
              <w:rPr>
                <w:rFonts w:hint="eastAsia" w:ascii="ＭＳ Ｐゴシック" w:hAnsi="ＭＳ Ｐゴシック" w:eastAsia="ＭＳ Ｐゴシック"/>
                <w:color w:val="auto"/>
                <w:sz w:val="16"/>
                <w:highlight w:val="none"/>
              </w:rPr>
              <w:t>4</w:t>
            </w:r>
            <w:r>
              <w:rPr>
                <w:rFonts w:hint="eastAsia" w:ascii="ＭＳ Ｐゴシック" w:hAnsi="ＭＳ Ｐゴシック" w:eastAsia="ＭＳ Ｐゴシック"/>
                <w:color w:val="auto"/>
                <w:sz w:val="16"/>
                <w:highlight w:val="none"/>
              </w:rPr>
              <w:t>年度）</w:t>
            </w:r>
          </w:p>
        </w:tc>
        <w:tc>
          <w:tcPr>
            <w:tcW w:w="121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8</w:t>
            </w:r>
            <w:r>
              <w:rPr>
                <w:rFonts w:hint="eastAsia" w:ascii="ＭＳ Ｐゴシック" w:hAnsi="ＭＳ Ｐゴシック" w:eastAsia="ＭＳ Ｐゴシック"/>
                <w:color w:val="auto"/>
                <w:sz w:val="21"/>
                <w:highlight w:val="none"/>
              </w:rPr>
              <w:t>人</w:t>
            </w:r>
          </w:p>
        </w:tc>
        <w:tc>
          <w:tcPr>
            <w:tcW w:w="13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8</w:t>
            </w:r>
            <w:r>
              <w:rPr>
                <w:rFonts w:hint="eastAsia" w:ascii="ＭＳ Ｐゴシック" w:hAnsi="ＭＳ Ｐゴシック" w:eastAsia="ＭＳ Ｐゴシック"/>
                <w:color w:val="auto"/>
                <w:sz w:val="21"/>
                <w:highlight w:val="none"/>
              </w:rPr>
              <w:t>人</w:t>
            </w:r>
          </w:p>
        </w:tc>
        <w:tc>
          <w:tcPr>
            <w:tcW w:w="121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8</w:t>
            </w:r>
            <w:r>
              <w:rPr>
                <w:rFonts w:hint="eastAsia" w:ascii="ＭＳ Ｐゴシック" w:hAnsi="ＭＳ Ｐゴシック" w:eastAsia="ＭＳ Ｐゴシック"/>
                <w:color w:val="auto"/>
                <w:sz w:val="21"/>
                <w:highlight w:val="none"/>
              </w:rPr>
              <w:t>人</w:t>
            </w:r>
          </w:p>
        </w:tc>
      </w:tr>
      <w:tr>
        <w:trPr>
          <w:trHeight w:val="567" w:hRule="atLeast"/>
        </w:trPr>
        <w:tc>
          <w:tcPr>
            <w:tcW w:w="3520" w:type="dxa"/>
            <w:gridSpan w:val="2"/>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吉和地域及び宮島地域介護人材定着支援補助金支給者数</w:t>
            </w:r>
          </w:p>
        </w:tc>
        <w:tc>
          <w:tcPr>
            <w:tcW w:w="143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26</w:t>
            </w:r>
            <w:r>
              <w:rPr>
                <w:rFonts w:hint="eastAsia" w:ascii="ＭＳ Ｐゴシック" w:hAnsi="ＭＳ Ｐゴシック" w:eastAsia="ＭＳ Ｐゴシック"/>
                <w:color w:val="auto"/>
                <w:sz w:val="21"/>
                <w:highlight w:val="none"/>
              </w:rPr>
              <w:t>人</w:t>
            </w:r>
          </w:p>
        </w:tc>
        <w:tc>
          <w:tcPr>
            <w:tcW w:w="121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30</w:t>
            </w:r>
            <w:r>
              <w:rPr>
                <w:rFonts w:hint="eastAsia" w:ascii="ＭＳ Ｐゴシック" w:hAnsi="ＭＳ Ｐゴシック" w:eastAsia="ＭＳ Ｐゴシック"/>
                <w:color w:val="auto"/>
                <w:sz w:val="21"/>
                <w:highlight w:val="none"/>
              </w:rPr>
              <w:t>人</w:t>
            </w:r>
          </w:p>
        </w:tc>
        <w:tc>
          <w:tcPr>
            <w:tcW w:w="13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30</w:t>
            </w:r>
            <w:r>
              <w:rPr>
                <w:rFonts w:hint="eastAsia" w:ascii="ＭＳ Ｐゴシック" w:hAnsi="ＭＳ Ｐゴシック" w:eastAsia="ＭＳ Ｐゴシック"/>
                <w:color w:val="auto"/>
                <w:sz w:val="21"/>
                <w:highlight w:val="none"/>
              </w:rPr>
              <w:t>人</w:t>
            </w:r>
          </w:p>
        </w:tc>
        <w:tc>
          <w:tcPr>
            <w:tcW w:w="121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30</w:t>
            </w:r>
            <w:r>
              <w:rPr>
                <w:rFonts w:hint="eastAsia" w:ascii="ＭＳ Ｐゴシック" w:hAnsi="ＭＳ Ｐゴシック" w:eastAsia="ＭＳ Ｐゴシック"/>
                <w:color w:val="auto"/>
                <w:sz w:val="21"/>
                <w:highlight w:val="none"/>
              </w:rPr>
              <w:t>人</w:t>
            </w:r>
          </w:p>
        </w:tc>
      </w:tr>
      <w:tr>
        <w:trPr>
          <w:trHeight w:val="397" w:hRule="atLeast"/>
        </w:trPr>
        <w:tc>
          <w:tcPr>
            <w:tcW w:w="1650" w:type="dxa"/>
            <w:vMerge w:val="restart"/>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資格取得補助金申請者数</w:t>
            </w:r>
          </w:p>
        </w:tc>
        <w:tc>
          <w:tcPr>
            <w:tcW w:w="187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実務者研修</w:t>
            </w:r>
          </w:p>
        </w:tc>
        <w:tc>
          <w:tcPr>
            <w:tcW w:w="1430" w:type="dxa"/>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p>
        </w:tc>
        <w:tc>
          <w:tcPr>
            <w:tcW w:w="1210" w:type="dxa"/>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5</w:t>
            </w:r>
            <w:r>
              <w:rPr>
                <w:rFonts w:hint="eastAsia" w:ascii="ＭＳ Ｐゴシック" w:hAnsi="ＭＳ Ｐゴシック" w:eastAsia="ＭＳ Ｐゴシック"/>
                <w:color w:val="auto"/>
                <w:sz w:val="21"/>
                <w:highlight w:val="none"/>
              </w:rPr>
              <w:t>人</w:t>
            </w:r>
          </w:p>
        </w:tc>
        <w:tc>
          <w:tcPr>
            <w:tcW w:w="1320" w:type="dxa"/>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5</w:t>
            </w:r>
            <w:r>
              <w:rPr>
                <w:rFonts w:hint="eastAsia" w:ascii="ＭＳ Ｐゴシック" w:hAnsi="ＭＳ Ｐゴシック" w:eastAsia="ＭＳ Ｐゴシック"/>
                <w:color w:val="auto"/>
                <w:sz w:val="21"/>
                <w:highlight w:val="none"/>
              </w:rPr>
              <w:t>人</w:t>
            </w:r>
          </w:p>
        </w:tc>
        <w:tc>
          <w:tcPr>
            <w:tcW w:w="1210" w:type="dxa"/>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5</w:t>
            </w:r>
            <w:r>
              <w:rPr>
                <w:rFonts w:hint="eastAsia" w:ascii="ＭＳ Ｐゴシック" w:hAnsi="ＭＳ Ｐゴシック" w:eastAsia="ＭＳ Ｐゴシック"/>
                <w:color w:val="auto"/>
                <w:sz w:val="21"/>
                <w:highlight w:val="none"/>
              </w:rPr>
              <w:t>人</w:t>
            </w:r>
          </w:p>
        </w:tc>
      </w:tr>
      <w:tr>
        <w:trPr>
          <w:trHeight w:val="397" w:hRule="atLeast"/>
        </w:trPr>
        <w:tc>
          <w:tcPr>
            <w:tcW w:w="1650"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rPr>
                <w:rFonts w:hint="default" w:ascii="ＭＳ Ｐゴシック" w:hAnsi="ＭＳ Ｐゴシック" w:eastAsia="ＭＳ Ｐゴシック"/>
              </w:rPr>
            </w:pPr>
          </w:p>
        </w:tc>
        <w:tc>
          <w:tcPr>
            <w:tcW w:w="187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初任者研修</w:t>
            </w:r>
          </w:p>
        </w:tc>
        <w:tc>
          <w:tcPr>
            <w:tcW w:w="143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w:t>
            </w:r>
          </w:p>
        </w:tc>
        <w:tc>
          <w:tcPr>
            <w:tcW w:w="121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5</w:t>
            </w:r>
            <w:r>
              <w:rPr>
                <w:rFonts w:hint="eastAsia" w:ascii="ＭＳ Ｐゴシック" w:hAnsi="ＭＳ Ｐゴシック" w:eastAsia="ＭＳ Ｐゴシック"/>
                <w:color w:val="auto"/>
                <w:sz w:val="21"/>
                <w:highlight w:val="none"/>
              </w:rPr>
              <w:t>人</w:t>
            </w:r>
          </w:p>
        </w:tc>
        <w:tc>
          <w:tcPr>
            <w:tcW w:w="13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5</w:t>
            </w:r>
            <w:r>
              <w:rPr>
                <w:rFonts w:hint="eastAsia" w:ascii="ＭＳ Ｐゴシック" w:hAnsi="ＭＳ Ｐゴシック" w:eastAsia="ＭＳ Ｐゴシック"/>
                <w:color w:val="auto"/>
                <w:sz w:val="21"/>
                <w:highlight w:val="none"/>
              </w:rPr>
              <w:t>人</w:t>
            </w:r>
          </w:p>
        </w:tc>
        <w:tc>
          <w:tcPr>
            <w:tcW w:w="121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5</w:t>
            </w:r>
            <w:r>
              <w:rPr>
                <w:rFonts w:hint="eastAsia" w:ascii="ＭＳ Ｐゴシック" w:hAnsi="ＭＳ Ｐゴシック" w:eastAsia="ＭＳ Ｐゴシック"/>
                <w:color w:val="auto"/>
                <w:sz w:val="21"/>
                <w:highlight w:val="none"/>
              </w:rPr>
              <w:t>人</w:t>
            </w:r>
          </w:p>
        </w:tc>
      </w:tr>
    </w:tbl>
    <w:p>
      <w:pPr>
        <w:pStyle w:val="41"/>
        <w:rPr>
          <w:rFonts w:hint="default"/>
          <w:color w:val="auto"/>
          <w:highlight w:val="none"/>
        </w:rPr>
      </w:pPr>
    </w:p>
    <w:p>
      <w:pPr>
        <w:pStyle w:val="0"/>
        <w:widowControl w:val="1"/>
        <w:jc w:val="left"/>
        <w:rPr>
          <w:rFonts w:hint="default"/>
          <w:color w:val="auto"/>
          <w:highlight w:val="none"/>
        </w:rPr>
      </w:pPr>
      <w:r>
        <w:rPr>
          <w:rFonts w:hint="default"/>
          <w:color w:val="auto"/>
          <w:highlight w:val="none"/>
        </w:rPr>
        <w:br w:type="page"/>
      </w:r>
    </w:p>
    <w:p>
      <w:pPr>
        <w:pStyle w:val="26"/>
        <w:spacing w:after="76" w:afterLines="0" w:afterAutospacing="0"/>
        <w:rPr>
          <w:rFonts w:hint="default"/>
          <w:color w:val="auto"/>
          <w:highlight w:val="none"/>
        </w:rPr>
      </w:pPr>
      <w:bookmarkStart w:id="136" w:name="_Toc152160679"/>
      <w:r>
        <w:rPr>
          <w:rFonts w:hint="eastAsia"/>
          <w:color w:val="auto"/>
          <w:highlight w:val="none"/>
        </w:rPr>
        <w:t>（４）</w:t>
      </w:r>
      <w:r>
        <w:rPr>
          <w:rFonts w:hint="eastAsia"/>
          <w:color w:val="auto"/>
          <w:highlight w:val="none"/>
        </w:rPr>
        <w:t xml:space="preserve"> </w:t>
      </w:r>
      <w:r>
        <w:rPr>
          <w:rFonts w:hint="eastAsia"/>
          <w:color w:val="auto"/>
          <w:highlight w:val="none"/>
        </w:rPr>
        <w:t>介護保険サービスの資質向上</w:t>
      </w:r>
      <w:bookmarkEnd w:id="136"/>
    </w:p>
    <w:p>
      <w:pPr>
        <w:pStyle w:val="50"/>
        <w:spacing w:before="114" w:beforeLines="0" w:beforeAutospacing="0" w:after="114" w:afterLines="0" w:afterAutospacing="0"/>
        <w:rPr>
          <w:rFonts w:hint="default"/>
          <w:color w:val="auto"/>
          <w:highlight w:val="none"/>
        </w:rPr>
      </w:pPr>
      <w:r>
        <w:rPr>
          <w:rFonts w:hint="eastAsia"/>
          <w:color w:val="auto"/>
          <w:highlight w:val="none"/>
        </w:rPr>
        <w:t>◆◆現状と課題◆◆</w:t>
      </w:r>
    </w:p>
    <w:p>
      <w:pPr>
        <w:pStyle w:val="28"/>
        <w:rPr>
          <w:rFonts w:hint="default"/>
          <w:color w:val="auto"/>
          <w:highlight w:val="none"/>
        </w:rPr>
      </w:pPr>
      <w:r>
        <w:rPr>
          <w:rFonts w:hint="eastAsia"/>
          <w:color w:val="auto"/>
          <w:highlight w:val="none"/>
        </w:rPr>
        <w:t>介護保険制度を持続可能なものにしていくため、</w:t>
      </w:r>
      <w:r>
        <w:rPr>
          <w:rFonts w:hint="default"/>
          <w:color w:val="auto"/>
          <w:highlight w:val="none"/>
        </w:rPr>
        <w:t>質の高い適切なサービスを提供することが必要です。</w:t>
      </w:r>
    </w:p>
    <w:p>
      <w:pPr>
        <w:pStyle w:val="28"/>
        <w:rPr>
          <w:rFonts w:hint="default"/>
          <w:color w:val="auto"/>
          <w:highlight w:val="none"/>
        </w:rPr>
      </w:pPr>
      <w:r>
        <w:rPr>
          <w:rFonts w:hint="eastAsia"/>
          <w:color w:val="auto"/>
          <w:highlight w:val="none"/>
        </w:rPr>
        <w:t>また、介護保険制度において、地域の中で利用者本位の質の高い介護保険サービスが提供され、円滑に利用できる体制が重要です。</w:t>
      </w:r>
    </w:p>
    <w:p>
      <w:pPr>
        <w:pStyle w:val="28"/>
        <w:rPr>
          <w:rFonts w:hint="default"/>
          <w:color w:val="auto"/>
          <w:highlight w:val="none"/>
        </w:rPr>
      </w:pPr>
      <w:r>
        <w:rPr>
          <w:rFonts w:hint="eastAsia"/>
          <w:color w:val="auto"/>
          <w:highlight w:val="none"/>
        </w:rPr>
        <w:t>第９期計画より、要介護認定の適正化、ケアプラン等点検、縦覧点検・医療情報の主要三事業の取組状況が調整交付金の算定にあたって勘案され、取組状況を公表することとなりました。</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◆◆施策の方向性◆◆</w:t>
      </w:r>
    </w:p>
    <w:p>
      <w:pPr>
        <w:pStyle w:val="28"/>
        <w:rPr>
          <w:rFonts w:hint="default"/>
          <w:color w:val="auto"/>
          <w:highlight w:val="none"/>
        </w:rPr>
      </w:pPr>
      <w:r>
        <w:rPr>
          <w:rFonts w:hint="eastAsia"/>
          <w:color w:val="auto"/>
          <w:highlight w:val="none"/>
        </w:rPr>
        <w:t>介護が必要になっても、その有する能力に応じてその人らしい自立した日常生活を営むことをめざし、利用者の日常生活、介護上の課題を的確に把握し、自立支援に資するサービスの提供を促します。</w:t>
      </w:r>
    </w:p>
    <w:p>
      <w:pPr>
        <w:pStyle w:val="28"/>
        <w:rPr>
          <w:rFonts w:hint="default"/>
          <w:color w:val="auto"/>
          <w:highlight w:val="none"/>
        </w:rPr>
      </w:pPr>
      <w:r>
        <w:rPr>
          <w:rFonts w:hint="eastAsia"/>
          <w:color w:val="auto"/>
          <w:highlight w:val="none"/>
        </w:rPr>
        <w:t>また、介護保険サービス事業者がより質の高いサービスを提供できるよう、適正な指定、事業者への指導・監査の強化を図ります。</w:t>
      </w:r>
    </w:p>
    <w:p>
      <w:pPr>
        <w:pStyle w:val="28"/>
        <w:rPr>
          <w:rFonts w:hint="default"/>
          <w:color w:val="auto"/>
          <w:highlight w:val="none"/>
        </w:rPr>
      </w:pPr>
      <w:r>
        <w:rPr>
          <w:rFonts w:hint="eastAsia"/>
          <w:color w:val="auto"/>
          <w:highlight w:val="none"/>
        </w:rPr>
        <w:t>さらに、介護給付の適正化を推進するため、介護保険サービスを必要とする利用者を適切に認定するとともにケアプラン点検等を行います。</w:t>
      </w:r>
    </w:p>
    <w:p>
      <w:pPr>
        <w:pStyle w:val="41"/>
        <w:rPr>
          <w:rFonts w:hint="default"/>
          <w:color w:val="auto"/>
          <w:highlight w:val="none"/>
        </w:rPr>
      </w:pPr>
    </w:p>
    <w:p>
      <w:pPr>
        <w:pStyle w:val="50"/>
        <w:spacing w:before="0" w:beforeLines="0" w:beforeAutospacing="0" w:after="114" w:afterLines="0" w:afterAutospacing="0"/>
        <w:rPr>
          <w:rFonts w:hint="default"/>
          <w:color w:val="auto"/>
          <w:highlight w:val="none"/>
        </w:rPr>
      </w:pPr>
      <w:r>
        <w:rPr>
          <w:rFonts w:hint="eastAsia"/>
          <w:color w:val="auto"/>
          <w:highlight w:val="none"/>
        </w:rPr>
        <w:t>◆◆具体的施策◆◆</w:t>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ケアマネジメントの充実</w:t>
            </w:r>
          </w:p>
        </w:tc>
      </w:tr>
      <w:tr>
        <w:trPr>
          <w:trHeight w:val="1613" w:hRule="atLeast"/>
        </w:trPr>
        <w:tc>
          <w:tcPr>
            <w:tcW w:w="8668" w:type="dxa"/>
            <w:vAlign w:val="center"/>
          </w:tcPr>
          <w:p>
            <w:pPr>
              <w:pStyle w:val="52"/>
              <w:rPr>
                <w:rFonts w:hint="default"/>
                <w:color w:val="auto"/>
                <w:highlight w:val="none"/>
              </w:rPr>
            </w:pPr>
            <w:r>
              <w:rPr>
                <w:rFonts w:hint="eastAsia"/>
                <w:color w:val="auto"/>
                <w:highlight w:val="none"/>
              </w:rPr>
              <w:t>ケアマネジメントの質の向上に必要な事項をまとめたケアマネジメントに関する基本方針を周知し、内容の充実を図ります。</w:t>
            </w:r>
          </w:p>
          <w:p>
            <w:pPr>
              <w:pStyle w:val="52"/>
              <w:rPr>
                <w:rFonts w:hint="default"/>
                <w:color w:val="auto"/>
                <w:highlight w:val="none"/>
              </w:rPr>
            </w:pPr>
            <w:r>
              <w:rPr>
                <w:rFonts w:hint="eastAsia"/>
                <w:color w:val="auto"/>
                <w:highlight w:val="none"/>
              </w:rPr>
              <w:t>また、地域包括支援センターの主任介護支援専門員を中心に、介護支援専門員の相談・支援の充実を図るとともに、各種研修への積極的な参加を支援します。</w:t>
            </w:r>
          </w:p>
        </w:tc>
      </w:tr>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介護現場の安全性の確保、リスクマネジメントの推進</w:t>
            </w:r>
          </w:p>
        </w:tc>
      </w:tr>
      <w:tr>
        <w:trPr>
          <w:trHeight w:val="907" w:hRule="atLeast"/>
        </w:trPr>
        <w:tc>
          <w:tcPr>
            <w:tcW w:w="8668" w:type="dxa"/>
            <w:vAlign w:val="center"/>
          </w:tcPr>
          <w:p>
            <w:pPr>
              <w:pStyle w:val="52"/>
              <w:rPr>
                <w:rFonts w:hint="default"/>
                <w:color w:val="auto"/>
                <w:highlight w:val="none"/>
              </w:rPr>
            </w:pPr>
            <w:r>
              <w:rPr>
                <w:rFonts w:hint="eastAsia"/>
                <w:color w:val="auto"/>
                <w:highlight w:val="none"/>
              </w:rPr>
              <w:t>介護サービス事業所から報告された事故報告を分析し、事故発生防止と発生時の適切な対応のための取組について指導を行います。</w:t>
            </w:r>
          </w:p>
        </w:tc>
      </w:tr>
    </w:tbl>
    <w:p>
      <w:pPr>
        <w:pStyle w:val="0"/>
        <w:widowControl w:val="1"/>
        <w:jc w:val="left"/>
        <w:rPr>
          <w:rFonts w:hint="default"/>
          <w:color w:val="auto"/>
          <w:highlight w:val="none"/>
        </w:rPr>
      </w:pPr>
      <w:r>
        <w:rPr>
          <w:rFonts w:hint="default"/>
          <w:color w:val="auto"/>
          <w:highlight w:val="none"/>
        </w:rPr>
        <w:br w:type="page"/>
      </w:r>
    </w:p>
    <w:tbl>
      <w:tblPr>
        <w:tblStyle w:val="81"/>
        <w:tblW w:w="8668" w:type="dxa"/>
        <w:tblInd w:w="392" w:type="dxa"/>
        <w:tblLayout w:type="fixed"/>
        <w:tblLook w:firstRow="1" w:lastRow="0" w:firstColumn="1" w:lastColumn="0" w:noHBand="0" w:noVBand="1" w:val="04A0"/>
      </w:tblPr>
      <w:tblGrid>
        <w:gridCol w:w="8668"/>
      </w:tblGrid>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相談・苦情解決の体制づくり</w:t>
            </w:r>
          </w:p>
        </w:tc>
      </w:tr>
      <w:tr>
        <w:trPr>
          <w:trHeight w:val="1984" w:hRule="atLeast"/>
        </w:trPr>
        <w:tc>
          <w:tcPr>
            <w:tcW w:w="8668" w:type="dxa"/>
            <w:vAlign w:val="center"/>
          </w:tcPr>
          <w:p>
            <w:pPr>
              <w:pStyle w:val="52"/>
              <w:rPr>
                <w:rFonts w:hint="default"/>
                <w:color w:val="auto"/>
                <w:highlight w:val="none"/>
              </w:rPr>
            </w:pPr>
            <w:r>
              <w:rPr>
                <w:rFonts w:hint="eastAsia"/>
                <w:color w:val="auto"/>
                <w:highlight w:val="none"/>
              </w:rPr>
              <w:t>利用者が安心してサービスを利用できるよう、関係機関と連携し、苦情内容への迅速かつ的確な対応を行います。</w:t>
            </w:r>
            <w:r>
              <w:rPr>
                <w:rFonts w:hint="default"/>
                <w:color w:val="auto"/>
                <w:highlight w:val="none"/>
              </w:rPr>
              <w:t xml:space="preserve"> </w:t>
            </w:r>
          </w:p>
          <w:p>
            <w:pPr>
              <w:pStyle w:val="52"/>
              <w:rPr>
                <w:rFonts w:hint="default"/>
                <w:color w:val="auto"/>
                <w:highlight w:val="none"/>
              </w:rPr>
            </w:pPr>
            <w:r>
              <w:rPr>
                <w:rFonts w:hint="eastAsia"/>
                <w:color w:val="auto"/>
                <w:highlight w:val="none"/>
              </w:rPr>
              <w:t>また、事故報告について、事故内容・原因・改善策を分析し、介護事業所に集団指導等の場で留意事項として周知するなど、事故情報の共有化を図ることにより同種の事故の再発防止を図ります。</w:t>
            </w:r>
          </w:p>
        </w:tc>
      </w:tr>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介護サービスの評価の推進</w:t>
            </w:r>
          </w:p>
        </w:tc>
      </w:tr>
      <w:tr>
        <w:trPr>
          <w:trHeight w:val="850" w:hRule="atLeast"/>
        </w:trPr>
        <w:tc>
          <w:tcPr>
            <w:tcW w:w="8668" w:type="dxa"/>
            <w:vAlign w:val="center"/>
          </w:tcPr>
          <w:p>
            <w:pPr>
              <w:pStyle w:val="52"/>
              <w:rPr>
                <w:rFonts w:hint="default"/>
                <w:color w:val="auto"/>
                <w:highlight w:val="none"/>
              </w:rPr>
            </w:pPr>
            <w:r>
              <w:rPr>
                <w:rFonts w:hint="eastAsia"/>
                <w:color w:val="auto"/>
                <w:highlight w:val="none"/>
              </w:rPr>
              <w:t>各事業所における福祉サービス第三者評価制度の積極的な活用及び継続的な受審を促進します。</w:t>
            </w:r>
          </w:p>
        </w:tc>
      </w:tr>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指定申請書類、監査関係資料などの文書量削減</w:t>
            </w:r>
          </w:p>
        </w:tc>
      </w:tr>
      <w:tr>
        <w:trPr>
          <w:trHeight w:val="1191" w:hRule="atLeast"/>
        </w:trPr>
        <w:tc>
          <w:tcPr>
            <w:tcW w:w="8668" w:type="dxa"/>
            <w:vAlign w:val="center"/>
          </w:tcPr>
          <w:p>
            <w:pPr>
              <w:pStyle w:val="52"/>
              <w:rPr>
                <w:rFonts w:hint="default"/>
                <w:color w:val="auto"/>
                <w:highlight w:val="none"/>
              </w:rPr>
            </w:pPr>
            <w:r>
              <w:rPr>
                <w:rFonts w:hint="eastAsia"/>
                <w:color w:val="auto"/>
                <w:highlight w:val="none"/>
              </w:rPr>
              <w:t>業務効率化の観点から、介護分野の文書に係る負担軽減を図っていくため、個々の申請様式・添付書類や手続きについて、国が示す標準様式と「電子申請・届出システム」の使用を推進します。</w:t>
            </w:r>
          </w:p>
        </w:tc>
      </w:tr>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介護ロボット等導入支援などの業務効率化に資する取組の推進（再掲）</w:t>
            </w:r>
          </w:p>
        </w:tc>
      </w:tr>
      <w:tr>
        <w:trPr>
          <w:trHeight w:val="1191" w:hRule="atLeast"/>
        </w:trPr>
        <w:tc>
          <w:tcPr>
            <w:tcW w:w="8668" w:type="dxa"/>
            <w:vAlign w:val="center"/>
          </w:tcPr>
          <w:p>
            <w:pPr>
              <w:pStyle w:val="52"/>
              <w:rPr>
                <w:rFonts w:hint="default"/>
                <w:color w:val="auto"/>
                <w:highlight w:val="none"/>
              </w:rPr>
            </w:pPr>
            <w:r>
              <w:rPr>
                <w:rFonts w:hint="eastAsia"/>
                <w:color w:val="auto"/>
                <w:highlight w:val="none"/>
              </w:rPr>
              <w:t>広島県が実施する介護ロボット導入支援事業や介護事業所ＩＣＴ導入支援事業について市内の事業所に周知を図るなど、国や県と連携して業務効率化に資する取組を推進します。</w:t>
            </w:r>
          </w:p>
        </w:tc>
      </w:tr>
      <w:tr>
        <w:trPr>
          <w:trHeight w:val="510" w:hRule="atLeast"/>
        </w:trPr>
        <w:tc>
          <w:tcPr>
            <w:tcW w:w="8668" w:type="dxa"/>
            <w:shd w:val="clear" w:color="auto" w:themeFill="accent5" w:themeFillTint="66" w:themeFillShade="FF"/>
            <w:vAlign w:val="center"/>
          </w:tcPr>
          <w:p>
            <w:pPr>
              <w:pStyle w:val="41"/>
              <w:rPr>
                <w:rFonts w:hint="default"/>
                <w:color w:val="auto"/>
                <w:highlight w:val="none"/>
              </w:rPr>
            </w:pPr>
            <w:r>
              <w:rPr>
                <w:rFonts w:hint="eastAsia"/>
                <w:color w:val="auto"/>
                <w:highlight w:val="none"/>
              </w:rPr>
              <w:t>介護給付適正化事業の推進</w:t>
            </w:r>
          </w:p>
        </w:tc>
      </w:tr>
      <w:tr>
        <w:trPr>
          <w:trHeight w:val="1984" w:hRule="atLeast"/>
        </w:trPr>
        <w:tc>
          <w:tcPr>
            <w:tcW w:w="8668" w:type="dxa"/>
            <w:shd w:val="clear" w:color="auto" w:fill="auto"/>
            <w:vAlign w:val="center"/>
          </w:tcPr>
          <w:p>
            <w:pPr>
              <w:pStyle w:val="41"/>
              <w:rPr>
                <w:rFonts w:hint="default"/>
                <w:color w:val="auto"/>
                <w:highlight w:val="none"/>
              </w:rPr>
            </w:pPr>
            <w:r>
              <w:rPr>
                <w:rFonts w:hint="eastAsia"/>
                <w:color w:val="auto"/>
                <w:highlight w:val="none"/>
              </w:rPr>
              <w:t>［要介護認定の適正化］</w:t>
            </w:r>
          </w:p>
          <w:p>
            <w:pPr>
              <w:pStyle w:val="52"/>
              <w:rPr>
                <w:rFonts w:hint="default"/>
                <w:color w:val="auto"/>
                <w:highlight w:val="none"/>
              </w:rPr>
            </w:pPr>
            <w:r>
              <w:rPr>
                <w:rFonts w:hint="eastAsia"/>
                <w:color w:val="auto"/>
                <w:highlight w:val="none"/>
              </w:rPr>
              <w:t>要介護認定の平準化・適正化を図るために、調査票の内容の点検・確認を行うとともに、認定調査員・審査会委員を対象とした研修を実施します。</w:t>
            </w:r>
          </w:p>
          <w:p>
            <w:pPr>
              <w:pStyle w:val="52"/>
              <w:rPr>
                <w:rFonts w:hint="default"/>
                <w:color w:val="auto"/>
                <w:highlight w:val="none"/>
              </w:rPr>
            </w:pPr>
            <w:r>
              <w:rPr>
                <w:rFonts w:hint="eastAsia"/>
                <w:color w:val="auto"/>
                <w:highlight w:val="none"/>
              </w:rPr>
              <w:t>要介護認定を遅滞なく、適正に実施するため、審査の簡素化、審査会のＤＸ化による効率化の取組を推進します。</w:t>
            </w:r>
          </w:p>
        </w:tc>
      </w:tr>
      <w:tr>
        <w:trPr>
          <w:trHeight w:val="2324" w:hRule="atLeast"/>
        </w:trPr>
        <w:tc>
          <w:tcPr>
            <w:tcW w:w="8668" w:type="dxa"/>
            <w:shd w:val="clear" w:color="auto" w:fill="auto"/>
            <w:vAlign w:val="center"/>
          </w:tcPr>
          <w:p>
            <w:pPr>
              <w:pStyle w:val="41"/>
              <w:rPr>
                <w:rFonts w:hint="default"/>
                <w:color w:val="auto"/>
                <w:highlight w:val="none"/>
              </w:rPr>
            </w:pPr>
            <w:r>
              <w:rPr>
                <w:rFonts w:hint="eastAsia"/>
                <w:color w:val="auto"/>
                <w:highlight w:val="none"/>
              </w:rPr>
              <w:t>［ケアプラン点検］</w:t>
            </w:r>
          </w:p>
          <w:p>
            <w:pPr>
              <w:pStyle w:val="52"/>
              <w:rPr>
                <w:rFonts w:hint="default"/>
                <w:color w:val="auto"/>
                <w:highlight w:val="none"/>
              </w:rPr>
            </w:pPr>
            <w:r>
              <w:rPr>
                <w:rFonts w:hint="eastAsia"/>
                <w:color w:val="auto"/>
                <w:highlight w:val="none"/>
              </w:rPr>
              <w:t>自立支援に資する適切なケアプランとなるよう、介護支援専門員の気づきを促し、ケアマネジメントの質の向上を支援します。</w:t>
            </w:r>
          </w:p>
          <w:p>
            <w:pPr>
              <w:pStyle w:val="52"/>
              <w:rPr>
                <w:rFonts w:hint="default"/>
                <w:color w:val="auto"/>
                <w:highlight w:val="none"/>
              </w:rPr>
            </w:pPr>
            <w:r>
              <w:rPr>
                <w:rFonts w:hint="eastAsia"/>
                <w:color w:val="auto"/>
                <w:highlight w:val="none"/>
              </w:rPr>
              <w:t>また、３</w:t>
            </w:r>
            <w:r>
              <w:rPr>
                <w:rFonts w:hint="default"/>
                <w:color w:val="auto"/>
                <w:highlight w:val="none"/>
              </w:rPr>
              <w:t>年間で市内全居宅介護支援事業所の点検ができるよう、計画的に実施するとともに、医療情報との突合・縦覧点検の対象プランの点検を実施するなど、点検件数を増加します。</w:t>
            </w:r>
          </w:p>
        </w:tc>
      </w:tr>
      <w:tr>
        <w:trPr>
          <w:trHeight w:val="1587" w:hRule="atLeast"/>
        </w:trPr>
        <w:tc>
          <w:tcPr>
            <w:tcW w:w="8668" w:type="dxa"/>
            <w:shd w:val="clear" w:color="auto" w:fill="auto"/>
            <w:vAlign w:val="center"/>
          </w:tcPr>
          <w:p>
            <w:pPr>
              <w:pStyle w:val="41"/>
              <w:rPr>
                <w:rFonts w:hint="default"/>
                <w:color w:val="auto"/>
                <w:highlight w:val="none"/>
              </w:rPr>
            </w:pPr>
            <w:r>
              <w:rPr>
                <w:rFonts w:hint="eastAsia"/>
                <w:color w:val="auto"/>
                <w:highlight w:val="none"/>
              </w:rPr>
              <w:t>［医療情報との突合・縦覧点検］</w:t>
            </w:r>
          </w:p>
          <w:p>
            <w:pPr>
              <w:pStyle w:val="52"/>
              <w:rPr>
                <w:rFonts w:hint="default"/>
                <w:color w:val="auto"/>
                <w:highlight w:val="none"/>
              </w:rPr>
            </w:pPr>
            <w:r>
              <w:rPr>
                <w:rFonts w:hint="eastAsia"/>
                <w:color w:val="auto"/>
                <w:highlight w:val="none"/>
              </w:rPr>
              <w:t>広島県国民健康保険団体連合会から提供される縦覧点検チェックリストと医療情報との突合リストを引き続き定期的に確認するとともに、運営指導およびケアプラン点検において活用を図ります。</w:t>
            </w:r>
          </w:p>
        </w:tc>
      </w:tr>
    </w:tbl>
    <w:p>
      <w:pPr>
        <w:pStyle w:val="0"/>
        <w:widowControl w:val="1"/>
        <w:jc w:val="left"/>
        <w:rPr>
          <w:rFonts w:hint="default"/>
          <w:color w:val="auto"/>
          <w:highlight w:val="none"/>
        </w:rPr>
      </w:pPr>
    </w:p>
    <w:p>
      <w:pPr>
        <w:pStyle w:val="0"/>
        <w:widowControl w:val="1"/>
        <w:ind w:left="440" w:leftChars="200"/>
        <w:jc w:val="left"/>
        <w:rPr>
          <w:rFonts w:hint="default" w:ascii="HG丸ｺﾞｼｯｸM-PRO" w:hAnsi="HG丸ｺﾞｼｯｸM-PRO" w:eastAsia="HG丸ｺﾞｼｯｸM-PRO"/>
          <w:color w:val="auto"/>
          <w:highlight w:val="none"/>
        </w:rPr>
      </w:pPr>
      <w:r>
        <w:rPr>
          <w:rFonts w:hint="eastAsia"/>
          <w:b w:val="1"/>
          <w:color w:val="auto"/>
          <w:highlight w:val="none"/>
        </w:rPr>
        <w:t>≪施策の活動指標≫</w:t>
      </w:r>
    </w:p>
    <w:p>
      <w:pPr>
        <w:pStyle w:val="30"/>
        <w:numPr>
          <w:ilvl w:val="0"/>
          <w:numId w:val="3"/>
        </w:numPr>
        <w:spacing w:after="76" w:afterLines="0" w:afterAutospacing="0"/>
        <w:ind w:leftChars="0"/>
        <w:rPr>
          <w:rFonts w:hint="default"/>
          <w:b w:val="0"/>
          <w:color w:val="auto"/>
          <w:sz w:val="22"/>
          <w:highlight w:val="none"/>
        </w:rPr>
      </w:pPr>
      <w:r>
        <w:rPr>
          <w:rFonts w:hint="eastAsia"/>
          <w:b w:val="0"/>
          <w:color w:val="auto"/>
          <w:sz w:val="22"/>
          <w:highlight w:val="none"/>
          <w:shd w:val="clear" w:color="auto" w:themeFill="background1" w:themeFillTint="FF" w:themeFillShade="FF"/>
        </w:rPr>
        <w:t>介護保険サービスの資質向上の取組</w:t>
      </w:r>
    </w:p>
    <w:tbl>
      <w:tblPr>
        <w:tblStyle w:val="81"/>
        <w:tblW w:w="8626" w:type="dxa"/>
        <w:tblInd w:w="435" w:type="dxa"/>
        <w:tblLayout w:type="fixed"/>
        <w:tblLook w:firstRow="1" w:lastRow="0" w:firstColumn="1" w:lastColumn="0" w:noHBand="0" w:noVBand="1" w:val="04A0"/>
      </w:tblPr>
      <w:tblGrid>
        <w:gridCol w:w="3300"/>
        <w:gridCol w:w="1496"/>
        <w:gridCol w:w="1277"/>
        <w:gridCol w:w="1276"/>
        <w:gridCol w:w="1277"/>
      </w:tblGrid>
      <w:tr>
        <w:trPr>
          <w:trHeight w:val="510" w:hRule="atLeast"/>
        </w:trPr>
        <w:tc>
          <w:tcPr>
            <w:tcW w:w="330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指標</w:t>
            </w:r>
          </w:p>
        </w:tc>
        <w:tc>
          <w:tcPr>
            <w:tcW w:w="149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300" w:lineRule="exact"/>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現状</w:t>
            </w:r>
          </w:p>
        </w:tc>
        <w:tc>
          <w:tcPr>
            <w:tcW w:w="12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6</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(2024</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7</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(2025</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c>
          <w:tcPr>
            <w:tcW w:w="127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令和</w:t>
            </w:r>
            <w:r>
              <w:rPr>
                <w:rFonts w:hint="eastAsia" w:ascii="ＭＳ Ｐゴシック" w:hAnsi="ＭＳ Ｐゴシック" w:eastAsia="ＭＳ Ｐゴシック"/>
                <w:color w:val="auto"/>
                <w:sz w:val="21"/>
                <w:highlight w:val="none"/>
              </w:rPr>
              <w:t>8</w:t>
            </w:r>
            <w:r>
              <w:rPr>
                <w:rFonts w:hint="eastAsia" w:ascii="ＭＳ Ｐゴシック" w:hAnsi="ＭＳ Ｐゴシック" w:eastAsia="ＭＳ Ｐゴシック"/>
                <w:color w:val="auto"/>
                <w:sz w:val="21"/>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(2026</w:t>
            </w:r>
            <w:r>
              <w:rPr>
                <w:rFonts w:hint="eastAsia" w:ascii="ＭＳ Ｐゴシック" w:hAnsi="ＭＳ Ｐゴシック" w:eastAsia="ＭＳ Ｐゴシック"/>
                <w:color w:val="auto"/>
                <w:sz w:val="21"/>
                <w:highlight w:val="none"/>
              </w:rPr>
              <w:t>年度</w:t>
            </w:r>
            <w:r>
              <w:rPr>
                <w:rFonts w:hint="eastAsia" w:ascii="ＭＳ Ｐゴシック" w:hAnsi="ＭＳ Ｐゴシック" w:eastAsia="ＭＳ Ｐゴシック"/>
                <w:color w:val="auto"/>
                <w:sz w:val="21"/>
                <w:highlight w:val="none"/>
              </w:rPr>
              <w:t>)</w:t>
            </w:r>
          </w:p>
        </w:tc>
      </w:tr>
      <w:tr>
        <w:trPr>
          <w:trHeight w:val="397" w:hRule="atLeast"/>
        </w:trPr>
        <w:tc>
          <w:tcPr>
            <w:tcW w:w="330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介護支援専門員研修開催回数</w:t>
            </w:r>
          </w:p>
        </w:tc>
        <w:tc>
          <w:tcPr>
            <w:tcW w:w="149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9</w:t>
            </w:r>
            <w:r>
              <w:rPr>
                <w:rFonts w:hint="eastAsia" w:ascii="ＭＳ Ｐゴシック" w:hAnsi="ＭＳ Ｐゴシック" w:eastAsia="ＭＳ Ｐゴシック"/>
                <w:color w:val="auto"/>
                <w:sz w:val="21"/>
                <w:highlight w:val="none"/>
              </w:rPr>
              <w:t>回</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highlight w:val="none"/>
              </w:rPr>
              <w:t>7</w:t>
            </w:r>
            <w:r>
              <w:rPr>
                <w:rFonts w:hint="eastAsia" w:ascii="ＭＳ Ｐゴシック" w:hAnsi="ＭＳ Ｐゴシック" w:eastAsia="ＭＳ Ｐゴシック"/>
                <w:color w:val="auto"/>
                <w:highlight w:val="none"/>
              </w:rPr>
              <w:t>回</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highlight w:val="none"/>
              </w:rPr>
              <w:t>7</w:t>
            </w:r>
            <w:r>
              <w:rPr>
                <w:rFonts w:hint="eastAsia" w:ascii="ＭＳ Ｐゴシック" w:hAnsi="ＭＳ Ｐゴシック" w:eastAsia="ＭＳ Ｐゴシック"/>
                <w:color w:val="auto"/>
                <w:highlight w:val="none"/>
              </w:rPr>
              <w:t>回</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highlight w:val="none"/>
              </w:rPr>
              <w:t>7</w:t>
            </w:r>
            <w:r>
              <w:rPr>
                <w:rFonts w:hint="eastAsia" w:ascii="ＭＳ Ｐゴシック" w:hAnsi="ＭＳ Ｐゴシック" w:eastAsia="ＭＳ Ｐゴシック"/>
                <w:color w:val="auto"/>
                <w:highlight w:val="none"/>
              </w:rPr>
              <w:t>回</w:t>
            </w:r>
          </w:p>
        </w:tc>
      </w:tr>
      <w:tr>
        <w:trPr>
          <w:trHeight w:val="397" w:hRule="atLeast"/>
        </w:trPr>
        <w:tc>
          <w:tcPr>
            <w:tcW w:w="330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ケアプラン点検実施件数</w:t>
            </w:r>
          </w:p>
        </w:tc>
        <w:tc>
          <w:tcPr>
            <w:tcW w:w="149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60</w:t>
            </w:r>
            <w:r>
              <w:rPr>
                <w:rFonts w:hint="eastAsia" w:ascii="ＭＳ Ｐゴシック" w:hAnsi="ＭＳ Ｐゴシック" w:eastAsia="ＭＳ Ｐゴシック"/>
                <w:color w:val="auto"/>
                <w:sz w:val="21"/>
                <w:highlight w:val="none"/>
              </w:rPr>
              <w:t>件</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70</w:t>
            </w:r>
            <w:r>
              <w:rPr>
                <w:rFonts w:hint="eastAsia" w:ascii="ＭＳ Ｐゴシック" w:hAnsi="ＭＳ Ｐゴシック" w:eastAsia="ＭＳ Ｐゴシック"/>
                <w:color w:val="auto"/>
                <w:sz w:val="21"/>
                <w:highlight w:val="none"/>
              </w:rPr>
              <w:t>件</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70</w:t>
            </w:r>
            <w:r>
              <w:rPr>
                <w:rFonts w:hint="eastAsia" w:ascii="ＭＳ Ｐゴシック" w:hAnsi="ＭＳ Ｐゴシック" w:eastAsia="ＭＳ Ｐゴシック"/>
                <w:color w:val="auto"/>
                <w:sz w:val="21"/>
                <w:highlight w:val="none"/>
              </w:rPr>
              <w:t>件</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70</w:t>
            </w:r>
            <w:r>
              <w:rPr>
                <w:rFonts w:hint="eastAsia" w:ascii="ＭＳ Ｐゴシック" w:hAnsi="ＭＳ Ｐゴシック" w:eastAsia="ＭＳ Ｐゴシック"/>
                <w:color w:val="auto"/>
                <w:sz w:val="21"/>
                <w:highlight w:val="none"/>
              </w:rPr>
              <w:t>件</w:t>
            </w:r>
          </w:p>
        </w:tc>
      </w:tr>
      <w:tr>
        <w:trPr>
          <w:trHeight w:val="590" w:hRule="atLeast"/>
        </w:trPr>
        <w:tc>
          <w:tcPr>
            <w:tcW w:w="330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機能改善指導員による住宅改修の相談件数</w:t>
            </w:r>
          </w:p>
        </w:tc>
        <w:tc>
          <w:tcPr>
            <w:tcW w:w="149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10</w:t>
            </w:r>
            <w:r>
              <w:rPr>
                <w:rFonts w:hint="eastAsia" w:ascii="ＭＳ Ｐゴシック" w:hAnsi="ＭＳ Ｐゴシック" w:eastAsia="ＭＳ Ｐゴシック"/>
                <w:color w:val="auto"/>
                <w:sz w:val="21"/>
                <w:highlight w:val="none"/>
              </w:rPr>
              <w:t>件</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0" w:lineRule="atLeast"/>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highlight w:val="none"/>
              </w:rPr>
              <w:t>10</w:t>
            </w:r>
            <w:r>
              <w:rPr>
                <w:rFonts w:hint="eastAsia" w:ascii="ＭＳ Ｐゴシック" w:hAnsi="ＭＳ Ｐゴシック" w:eastAsia="ＭＳ Ｐゴシック"/>
                <w:color w:val="auto"/>
                <w:highlight w:val="none"/>
              </w:rPr>
              <w:t>件</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highlight w:val="none"/>
              </w:rPr>
              <w:t>15</w:t>
            </w:r>
            <w:r>
              <w:rPr>
                <w:rFonts w:hint="eastAsia" w:ascii="ＭＳ Ｐゴシック" w:hAnsi="ＭＳ Ｐゴシック" w:eastAsia="ＭＳ Ｐゴシック"/>
                <w:color w:val="auto"/>
                <w:highlight w:val="none"/>
              </w:rPr>
              <w:t>件</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highlight w:val="none"/>
              </w:rPr>
              <w:t>20</w:t>
            </w:r>
            <w:r>
              <w:rPr>
                <w:rFonts w:hint="eastAsia" w:ascii="ＭＳ Ｐゴシック" w:hAnsi="ＭＳ Ｐゴシック" w:eastAsia="ＭＳ Ｐゴシック"/>
                <w:color w:val="auto"/>
                <w:highlight w:val="none"/>
              </w:rPr>
              <w:t>件</w:t>
            </w:r>
          </w:p>
        </w:tc>
      </w:tr>
      <w:tr>
        <w:trPr>
          <w:trHeight w:val="397" w:hRule="atLeast"/>
        </w:trPr>
        <w:tc>
          <w:tcPr>
            <w:tcW w:w="3300" w:type="dxa"/>
            <w:tcBorders>
              <w:top w:val="none" w:color="auto" w:sz="0" w:space="0"/>
              <w:left w:val="single" w:color="auto" w:sz="4" w:space="0"/>
              <w:bottom w:val="none" w:color="auto" w:sz="0" w:space="0"/>
              <w:right w:val="single" w:color="000000" w:sz="4" w:space="0"/>
              <w:tl2br w:val="none" w:color="auto" w:sz="0" w:space="0"/>
              <w:tr2bl w:val="none" w:color="auto" w:sz="0" w:space="0"/>
            </w:tcBorders>
            <w:shd w:val="clear" w:color="auto" w:fill="auto"/>
            <w:vAlign w:val="center"/>
          </w:tcPr>
          <w:p>
            <w:pPr>
              <w:pStyle w:val="0"/>
              <w:autoSpaceDE w:val="0"/>
              <w:autoSpaceDN w:val="0"/>
              <w:spacing w:line="240" w:lineRule="exac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縦覧点検実施回数</w:t>
            </w:r>
          </w:p>
        </w:tc>
        <w:tc>
          <w:tcPr>
            <w:tcW w:w="149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12</w:t>
            </w:r>
            <w:r>
              <w:rPr>
                <w:rFonts w:hint="eastAsia" w:ascii="ＭＳ Ｐゴシック" w:hAnsi="ＭＳ Ｐゴシック" w:eastAsia="ＭＳ Ｐゴシック"/>
                <w:color w:val="auto"/>
                <w:sz w:val="21"/>
                <w:highlight w:val="none"/>
              </w:rPr>
              <w:t>回</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12</w:t>
            </w:r>
            <w:r>
              <w:rPr>
                <w:rFonts w:hint="eastAsia" w:ascii="ＭＳ Ｐゴシック" w:hAnsi="ＭＳ Ｐゴシック" w:eastAsia="ＭＳ Ｐゴシック"/>
                <w:color w:val="auto"/>
                <w:sz w:val="21"/>
                <w:highlight w:val="none"/>
              </w:rPr>
              <w:t>回</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12</w:t>
            </w:r>
            <w:r>
              <w:rPr>
                <w:rFonts w:hint="eastAsia" w:ascii="ＭＳ Ｐゴシック" w:hAnsi="ＭＳ Ｐゴシック" w:eastAsia="ＭＳ Ｐゴシック"/>
                <w:color w:val="auto"/>
                <w:sz w:val="21"/>
                <w:highlight w:val="none"/>
              </w:rPr>
              <w:t>回</w:t>
            </w:r>
          </w:p>
        </w:tc>
        <w:tc>
          <w:tcPr>
            <w:tcW w:w="127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jc w:val="right"/>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12</w:t>
            </w:r>
            <w:r>
              <w:rPr>
                <w:rFonts w:hint="eastAsia" w:ascii="ＭＳ Ｐゴシック" w:hAnsi="ＭＳ Ｐゴシック" w:eastAsia="ＭＳ Ｐゴシック"/>
                <w:color w:val="auto"/>
                <w:sz w:val="21"/>
                <w:highlight w:val="none"/>
              </w:rPr>
              <w:t>回</w:t>
            </w:r>
          </w:p>
        </w:tc>
      </w:tr>
    </w:tbl>
    <w:p>
      <w:pPr>
        <w:pStyle w:val="0"/>
        <w:widowControl w:val="1"/>
        <w:jc w:val="left"/>
        <w:rPr>
          <w:rFonts w:hint="default"/>
          <w:dstrike w:val="1"/>
          <w:color w:val="auto"/>
          <w:highlight w:val="none"/>
        </w:rPr>
      </w:pPr>
    </w:p>
    <w:p>
      <w:pPr>
        <w:pStyle w:val="41"/>
        <w:rPr>
          <w:rFonts w:hint="default"/>
          <w:color w:val="auto"/>
          <w:highlight w:val="none"/>
        </w:rPr>
      </w:pPr>
      <w:r>
        <w:rPr>
          <w:rFonts w:hint="default"/>
          <w:color w:val="auto"/>
          <w:highlight w:val="none"/>
        </w:rPr>
        <w:br w:type="page"/>
      </w:r>
    </w:p>
    <w:p>
      <w:pPr>
        <w:pStyle w:val="20"/>
        <w:rPr>
          <w:rFonts w:hint="default"/>
          <w:color w:val="auto"/>
          <w:highlight w:val="none"/>
        </w:rPr>
      </w:pPr>
      <w:bookmarkStart w:id="137" w:name="_Toc149639036"/>
      <w:bookmarkStart w:id="138" w:name="_Toc152160680"/>
      <w:r>
        <w:rPr>
          <w:rFonts w:hint="eastAsia"/>
          <w:color w:val="auto"/>
          <w:highlight w:val="none"/>
        </w:rPr>
        <w:t>第６章　介護サービス量等の見込み・保険料の設定</w:t>
      </w:r>
      <w:bookmarkEnd w:id="137"/>
      <w:bookmarkEnd w:id="138"/>
    </w:p>
    <w:p>
      <w:pPr>
        <w:pStyle w:val="22"/>
        <w:spacing w:after="76" w:afterLines="0" w:afterAutospacing="0"/>
        <w:rPr>
          <w:rFonts w:hint="default"/>
          <w:color w:val="auto"/>
          <w:highlight w:val="none"/>
        </w:rPr>
      </w:pPr>
      <w:bookmarkStart w:id="139" w:name="_Toc149639037"/>
      <w:bookmarkStart w:id="140" w:name="_Toc152160681"/>
      <w:r>
        <w:rPr>
          <w:rFonts w:hint="eastAsia"/>
          <w:color w:val="auto"/>
          <w:highlight w:val="none"/>
        </w:rPr>
        <w:t>１　被保険者数等の見込み</w:t>
      </w:r>
      <w:bookmarkEnd w:id="139"/>
      <w:bookmarkEnd w:id="140"/>
    </w:p>
    <w:p>
      <w:pPr>
        <w:pStyle w:val="26"/>
        <w:spacing w:after="76" w:afterLines="0" w:afterAutospacing="0"/>
        <w:rPr>
          <w:rFonts w:hint="default"/>
          <w:color w:val="auto"/>
          <w:highlight w:val="none"/>
        </w:rPr>
      </w:pPr>
      <w:bookmarkStart w:id="141" w:name="_Toc149639038"/>
      <w:bookmarkStart w:id="142" w:name="_Toc152160682"/>
      <w:r>
        <w:rPr>
          <w:rFonts w:hint="default"/>
          <w:color w:val="auto"/>
          <w:highlight w:val="none"/>
        </w:rPr>
        <w:t>（</w:t>
      </w:r>
      <w:r>
        <w:rPr>
          <w:rFonts w:hint="eastAsia"/>
          <w:color w:val="auto"/>
          <w:highlight w:val="none"/>
        </w:rPr>
        <w:t>１</w:t>
      </w:r>
      <w:r>
        <w:rPr>
          <w:rFonts w:hint="default"/>
          <w:color w:val="auto"/>
          <w:highlight w:val="none"/>
        </w:rPr>
        <w:t>）</w:t>
      </w:r>
      <w:r>
        <w:rPr>
          <w:rFonts w:hint="eastAsia"/>
          <w:color w:val="auto"/>
          <w:highlight w:val="none"/>
        </w:rPr>
        <w:t xml:space="preserve"> </w:t>
      </w:r>
      <w:r>
        <w:rPr>
          <w:rFonts w:hint="eastAsia"/>
          <w:color w:val="auto"/>
          <w:highlight w:val="none"/>
        </w:rPr>
        <w:t>第１号被保険者数の推計</w:t>
      </w:r>
      <w:bookmarkEnd w:id="141"/>
      <w:bookmarkEnd w:id="142"/>
    </w:p>
    <w:p>
      <w:pPr>
        <w:pStyle w:val="46"/>
        <w:rPr>
          <w:rFonts w:hint="default"/>
          <w:color w:val="auto"/>
          <w:highlight w:val="none"/>
        </w:rPr>
      </w:pPr>
      <w:r>
        <w:rPr>
          <w:rFonts w:hint="eastAsia"/>
          <w:color w:val="auto"/>
          <w:highlight w:val="none"/>
        </w:rPr>
        <w:t>本市の第９期計画期間中における</w:t>
      </w:r>
      <w:r>
        <w:rPr>
          <w:rFonts w:hint="eastAsia"/>
          <w:color w:val="auto"/>
          <w:highlight w:val="none"/>
        </w:rPr>
        <w:t>65</w:t>
      </w:r>
      <w:r>
        <w:rPr>
          <w:rFonts w:hint="eastAsia"/>
          <w:color w:val="auto"/>
          <w:highlight w:val="none"/>
        </w:rPr>
        <w:t>歳以上の第１号被保険者数は増加し、最終年度の令和８（</w:t>
      </w:r>
      <w:r>
        <w:rPr>
          <w:rFonts w:hint="eastAsia"/>
          <w:color w:val="auto"/>
          <w:highlight w:val="none"/>
        </w:rPr>
        <w:t>2026</w:t>
      </w:r>
      <w:r>
        <w:rPr>
          <w:rFonts w:hint="eastAsia"/>
          <w:color w:val="auto"/>
          <w:highlight w:val="none"/>
        </w:rPr>
        <w:t>）年度には</w:t>
      </w:r>
      <w:r>
        <w:rPr>
          <w:rFonts w:hint="eastAsia"/>
          <w:color w:val="auto"/>
          <w:highlight w:val="none"/>
        </w:rPr>
        <w:t>37,036</w:t>
      </w:r>
      <w:r>
        <w:rPr>
          <w:rFonts w:hint="eastAsia"/>
          <w:color w:val="auto"/>
          <w:highlight w:val="none"/>
        </w:rPr>
        <w:t>人となり、令和５（</w:t>
      </w:r>
      <w:r>
        <w:rPr>
          <w:rFonts w:hint="eastAsia"/>
          <w:color w:val="auto"/>
          <w:highlight w:val="none"/>
        </w:rPr>
        <w:t>2023</w:t>
      </w:r>
      <w:r>
        <w:rPr>
          <w:rFonts w:hint="eastAsia"/>
          <w:color w:val="auto"/>
          <w:highlight w:val="none"/>
        </w:rPr>
        <w:t>）年度と比較すると</w:t>
      </w:r>
      <w:r>
        <w:rPr>
          <w:rFonts w:hint="eastAsia"/>
          <w:color w:val="auto"/>
          <w:highlight w:val="none"/>
        </w:rPr>
        <w:t>583</w:t>
      </w:r>
      <w:r>
        <w:rPr>
          <w:rFonts w:hint="eastAsia"/>
          <w:color w:val="auto"/>
          <w:highlight w:val="none"/>
        </w:rPr>
        <w:t>人増加すると見込まれます。</w:t>
      </w:r>
    </w:p>
    <w:p>
      <w:pPr>
        <w:pStyle w:val="46"/>
        <w:rPr>
          <w:rFonts w:hint="default"/>
          <w:color w:val="auto"/>
          <w:highlight w:val="none"/>
        </w:rPr>
      </w:pPr>
      <w:r>
        <w:rPr>
          <w:rFonts w:hint="eastAsia"/>
          <w:color w:val="auto"/>
          <w:highlight w:val="none"/>
        </w:rPr>
        <w:t>第</w:t>
      </w:r>
      <w:r>
        <w:rPr>
          <w:rFonts w:hint="default"/>
          <w:color w:val="auto"/>
          <w:highlight w:val="none"/>
        </w:rPr>
        <w:t>1</w:t>
      </w:r>
      <w:r>
        <w:rPr>
          <w:rFonts w:hint="eastAsia"/>
          <w:color w:val="auto"/>
          <w:highlight w:val="none"/>
        </w:rPr>
        <w:t>号被保険者のうち、前期高齢者数は減少し、後期高齢者数は増加すると見込まれます。</w:t>
      </w:r>
    </w:p>
    <w:p>
      <w:pPr>
        <w:pStyle w:val="46"/>
        <w:rPr>
          <w:rFonts w:hint="default"/>
          <w:color w:val="auto"/>
          <w:spacing w:val="-2"/>
          <w:highlight w:val="none"/>
        </w:rPr>
      </w:pPr>
      <w:r>
        <w:rPr>
          <w:rFonts w:hint="eastAsia"/>
          <w:color w:val="auto"/>
          <w:spacing w:val="-2"/>
          <w:highlight w:val="none"/>
        </w:rPr>
        <w:t>第９期計画期間以降をみると、令和７（</w:t>
      </w:r>
      <w:r>
        <w:rPr>
          <w:rFonts w:hint="eastAsia"/>
          <w:color w:val="auto"/>
          <w:spacing w:val="-2"/>
          <w:highlight w:val="none"/>
        </w:rPr>
        <w:t>2025</w:t>
      </w:r>
      <w:r>
        <w:rPr>
          <w:rFonts w:hint="eastAsia"/>
          <w:color w:val="auto"/>
          <w:spacing w:val="-2"/>
          <w:highlight w:val="none"/>
        </w:rPr>
        <w:t>）年度の第１号被保険者数は令和５（</w:t>
      </w:r>
      <w:r>
        <w:rPr>
          <w:rFonts w:hint="eastAsia"/>
          <w:color w:val="auto"/>
          <w:spacing w:val="-2"/>
          <w:highlight w:val="none"/>
        </w:rPr>
        <w:t>2023</w:t>
      </w:r>
      <w:r>
        <w:rPr>
          <w:rFonts w:hint="eastAsia"/>
          <w:color w:val="auto"/>
          <w:spacing w:val="-2"/>
          <w:highlight w:val="none"/>
        </w:rPr>
        <w:t>）年度より</w:t>
      </w:r>
      <w:r>
        <w:rPr>
          <w:rFonts w:hint="eastAsia"/>
          <w:color w:val="auto"/>
          <w:spacing w:val="-2"/>
          <w:highlight w:val="none"/>
        </w:rPr>
        <w:t>455</w:t>
      </w:r>
      <w:r>
        <w:rPr>
          <w:rFonts w:hint="eastAsia"/>
          <w:color w:val="auto"/>
          <w:spacing w:val="-2"/>
          <w:highlight w:val="none"/>
        </w:rPr>
        <w:t>人増加、後期高齢者数は</w:t>
      </w:r>
      <w:r>
        <w:rPr>
          <w:rFonts w:hint="eastAsia"/>
          <w:color w:val="auto"/>
          <w:spacing w:val="-2"/>
          <w:highlight w:val="none"/>
        </w:rPr>
        <w:t>1,777</w:t>
      </w:r>
      <w:r>
        <w:rPr>
          <w:rFonts w:hint="eastAsia"/>
          <w:color w:val="auto"/>
          <w:spacing w:val="-2"/>
          <w:highlight w:val="none"/>
        </w:rPr>
        <w:t>人増加すると見込まれます。</w:t>
      </w:r>
    </w:p>
    <w:p>
      <w:pPr>
        <w:pStyle w:val="46"/>
        <w:rPr>
          <w:rFonts w:hint="default"/>
          <w:color w:val="auto"/>
          <w:highlight w:val="none"/>
        </w:rPr>
      </w:pPr>
      <w:r>
        <w:rPr>
          <w:rFonts w:hint="eastAsia"/>
          <w:color w:val="auto"/>
          <w:highlight w:val="none"/>
        </w:rPr>
        <w:t>令和</w:t>
      </w:r>
      <w:r>
        <w:rPr>
          <w:rFonts w:hint="eastAsia"/>
          <w:color w:val="auto"/>
          <w:highlight w:val="none"/>
        </w:rPr>
        <w:t>22</w:t>
      </w:r>
      <w:r>
        <w:rPr>
          <w:rFonts w:hint="eastAsia"/>
          <w:color w:val="auto"/>
          <w:highlight w:val="none"/>
        </w:rPr>
        <w:t>（</w:t>
      </w:r>
      <w:r>
        <w:rPr>
          <w:rFonts w:hint="eastAsia"/>
          <w:color w:val="auto"/>
          <w:highlight w:val="none"/>
        </w:rPr>
        <w:t>2040</w:t>
      </w:r>
      <w:r>
        <w:rPr>
          <w:rFonts w:hint="eastAsia"/>
          <w:color w:val="auto"/>
          <w:highlight w:val="none"/>
        </w:rPr>
        <w:t>）年度の第</w:t>
      </w:r>
      <w:r>
        <w:rPr>
          <w:rFonts w:hint="default"/>
          <w:color w:val="auto"/>
          <w:highlight w:val="none"/>
        </w:rPr>
        <w:t>1</w:t>
      </w:r>
      <w:r>
        <w:rPr>
          <w:rFonts w:hint="eastAsia"/>
          <w:color w:val="auto"/>
          <w:highlight w:val="none"/>
        </w:rPr>
        <w:t>号被保険者数は、令和７（</w:t>
      </w:r>
      <w:r>
        <w:rPr>
          <w:rFonts w:hint="eastAsia"/>
          <w:color w:val="auto"/>
          <w:highlight w:val="none"/>
        </w:rPr>
        <w:t>2025</w:t>
      </w:r>
      <w:r>
        <w:rPr>
          <w:rFonts w:hint="eastAsia"/>
          <w:color w:val="auto"/>
          <w:highlight w:val="none"/>
        </w:rPr>
        <w:t>）年度から横ばいですが、後期高齢者数はやや増加すると見込まれます。</w:t>
      </w:r>
    </w:p>
    <w:p>
      <w:pPr>
        <w:pStyle w:val="0"/>
        <w:widowControl w:val="1"/>
        <w:autoSpaceDE w:val="0"/>
        <w:autoSpaceDN w:val="0"/>
        <w:spacing w:before="185" w:beforeLines="50" w:beforeAutospacing="0" w:line="380" w:lineRule="exact"/>
        <w:ind w:left="565" w:leftChars="257"/>
        <w:jc w:val="center"/>
        <w:rPr>
          <w:rFonts w:hint="default"/>
          <w:color w:val="auto"/>
          <w:kern w:val="24"/>
          <w:sz w:val="21"/>
          <w:highlight w:val="none"/>
        </w:rPr>
      </w:pPr>
      <w:r>
        <w:rPr>
          <w:rFonts w:hint="eastAsia"/>
          <w:color w:val="auto"/>
          <w:kern w:val="24"/>
          <w:sz w:val="21"/>
          <w:highlight w:val="none"/>
        </w:rPr>
        <w:t>図表　第</w:t>
      </w:r>
      <w:r>
        <w:rPr>
          <w:rFonts w:hint="eastAsia"/>
          <w:color w:val="auto"/>
          <w:kern w:val="24"/>
          <w:sz w:val="21"/>
          <w:highlight w:val="none"/>
        </w:rPr>
        <w:t>1</w:t>
      </w:r>
      <w:r>
        <w:rPr>
          <w:rFonts w:hint="eastAsia"/>
          <w:color w:val="auto"/>
          <w:kern w:val="24"/>
          <w:sz w:val="21"/>
          <w:highlight w:val="none"/>
        </w:rPr>
        <w:t>号被保険者数の推移・推計</w:t>
      </w:r>
    </w:p>
    <w:p>
      <w:pPr>
        <w:pStyle w:val="0"/>
        <w:widowControl w:val="1"/>
        <w:autoSpaceDE w:val="0"/>
        <w:autoSpaceDN w:val="0"/>
        <w:spacing w:after="37" w:afterLines="10" w:afterAutospacing="0" w:line="240" w:lineRule="exact"/>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sz w:val="18"/>
          <w:highlight w:val="none"/>
        </w:rPr>
        <w:t>（単位：人）</w:t>
      </w:r>
    </w:p>
    <w:tbl>
      <w:tblPr>
        <w:tblStyle w:val="89"/>
        <w:tblW w:w="8646" w:type="dxa"/>
        <w:tblInd w:w="534" w:type="dxa"/>
        <w:tblLayout w:type="fixed"/>
        <w:tblLook w:firstRow="1" w:lastRow="0" w:firstColumn="1" w:lastColumn="0" w:noHBand="0" w:noVBand="1" w:val="04A0"/>
      </w:tblPr>
      <w:tblGrid>
        <w:gridCol w:w="236"/>
        <w:gridCol w:w="1215"/>
        <w:gridCol w:w="1027"/>
        <w:gridCol w:w="1028"/>
        <w:gridCol w:w="1028"/>
        <w:gridCol w:w="1028"/>
        <w:gridCol w:w="1028"/>
        <w:gridCol w:w="1028"/>
        <w:gridCol w:w="1028"/>
      </w:tblGrid>
      <w:tr>
        <w:trPr/>
        <w:tc>
          <w:tcPr>
            <w:tcW w:w="1451" w:type="dxa"/>
            <w:gridSpan w:val="2"/>
            <w:vMerge w:val="restart"/>
            <w:shd w:val="clear" w:color="auto" w:fill="CCECFF"/>
            <w:vAlign w:val="center"/>
          </w:tcPr>
          <w:p>
            <w:pPr>
              <w:pStyle w:val="0"/>
              <w:autoSpaceDE w:val="0"/>
              <w:autoSpaceDN w:val="0"/>
              <w:spacing w:line="240" w:lineRule="exact"/>
              <w:jc w:val="center"/>
              <w:rPr>
                <w:rFonts w:hint="default" w:ascii="ＭＳ Ｐゴシック" w:hAnsi="ＭＳ Ｐゴシック" w:eastAsia="ＭＳ Ｐゴシック"/>
                <w:color w:val="auto"/>
                <w:kern w:val="24"/>
                <w:sz w:val="18"/>
                <w:highlight w:val="none"/>
              </w:rPr>
            </w:pPr>
          </w:p>
        </w:tc>
        <w:tc>
          <w:tcPr>
            <w:tcW w:w="3083" w:type="dxa"/>
            <w:gridSpan w:val="3"/>
            <w:shd w:val="clear" w:color="auto" w:fill="CCECFF"/>
            <w:vAlign w:val="center"/>
          </w:tcPr>
          <w:p>
            <w:pPr>
              <w:pStyle w:val="0"/>
              <w:widowControl w:val="1"/>
              <w:autoSpaceDE w:val="0"/>
              <w:autoSpaceDN w:val="0"/>
              <w:spacing w:line="24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第</w:t>
            </w:r>
            <w:r>
              <w:rPr>
                <w:rFonts w:hint="eastAsia" w:ascii="ＭＳ Ｐゴシック" w:hAnsi="ＭＳ Ｐゴシック" w:eastAsia="ＭＳ Ｐゴシック"/>
                <w:color w:val="auto"/>
                <w:kern w:val="24"/>
                <w:sz w:val="18"/>
                <w:highlight w:val="none"/>
              </w:rPr>
              <w:t>8</w:t>
            </w:r>
            <w:r>
              <w:rPr>
                <w:rFonts w:hint="eastAsia" w:ascii="ＭＳ Ｐゴシック" w:hAnsi="ＭＳ Ｐゴシック" w:eastAsia="ＭＳ Ｐゴシック"/>
                <w:color w:val="auto"/>
                <w:kern w:val="24"/>
                <w:sz w:val="18"/>
                <w:highlight w:val="none"/>
              </w:rPr>
              <w:t>期</w:t>
            </w:r>
          </w:p>
        </w:tc>
        <w:tc>
          <w:tcPr>
            <w:tcW w:w="3084" w:type="dxa"/>
            <w:gridSpan w:val="3"/>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CCECFF"/>
            <w:vAlign w:val="center"/>
          </w:tcPr>
          <w:p>
            <w:pPr>
              <w:pStyle w:val="0"/>
              <w:widowControl w:val="1"/>
              <w:autoSpaceDE w:val="0"/>
              <w:autoSpaceDN w:val="0"/>
              <w:spacing w:line="24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第</w:t>
            </w:r>
            <w:r>
              <w:rPr>
                <w:rFonts w:hint="eastAsia" w:ascii="ＭＳ Ｐゴシック" w:hAnsi="ＭＳ Ｐゴシック" w:eastAsia="ＭＳ Ｐゴシック"/>
                <w:color w:val="auto"/>
                <w:kern w:val="24"/>
                <w:sz w:val="18"/>
                <w:highlight w:val="none"/>
              </w:rPr>
              <w:t>9</w:t>
            </w:r>
            <w:r>
              <w:rPr>
                <w:rFonts w:hint="eastAsia" w:ascii="ＭＳ Ｐゴシック" w:hAnsi="ＭＳ Ｐゴシック" w:eastAsia="ＭＳ Ｐゴシック"/>
                <w:color w:val="auto"/>
                <w:kern w:val="24"/>
                <w:sz w:val="18"/>
                <w:highlight w:val="none"/>
              </w:rPr>
              <w:t>期</w:t>
            </w:r>
          </w:p>
        </w:tc>
        <w:tc>
          <w:tcPr>
            <w:tcW w:w="1028"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22</w:t>
            </w:r>
            <w:r>
              <w:rPr>
                <w:rFonts w:hint="eastAsia" w:ascii="ＭＳ Ｐゴシック" w:hAnsi="ＭＳ Ｐゴシック" w:eastAsia="ＭＳ Ｐゴシック"/>
                <w:color w:val="auto"/>
                <w:kern w:val="24"/>
                <w:sz w:val="18"/>
                <w:highlight w:val="none"/>
              </w:rPr>
              <w:t>年度</w:t>
            </w:r>
          </w:p>
          <w:p>
            <w:pPr>
              <w:pStyle w:val="0"/>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2040</w:t>
            </w:r>
            <w:r>
              <w:rPr>
                <w:rFonts w:hint="eastAsia" w:ascii="ＭＳ Ｐゴシック" w:hAnsi="ＭＳ Ｐゴシック" w:eastAsia="ＭＳ Ｐゴシック"/>
                <w:color w:val="auto"/>
                <w:kern w:val="24"/>
                <w:sz w:val="18"/>
                <w:highlight w:val="none"/>
              </w:rPr>
              <w:t>年度）</w:t>
            </w:r>
          </w:p>
        </w:tc>
      </w:tr>
      <w:tr>
        <w:trPr>
          <w:trHeight w:val="567" w:hRule="atLeast"/>
        </w:trPr>
        <w:tc>
          <w:tcPr>
            <w:tcW w:w="1451" w:type="dxa"/>
            <w:gridSpan w:val="2"/>
            <w:vMerge w:val="continue"/>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kern w:val="24"/>
                <w:sz w:val="18"/>
              </w:rPr>
            </w:pPr>
          </w:p>
        </w:tc>
        <w:tc>
          <w:tcPr>
            <w:tcW w:w="1027" w:type="dxa"/>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3</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2021</w:t>
            </w:r>
            <w:r>
              <w:rPr>
                <w:rFonts w:hint="eastAsia" w:ascii="ＭＳ Ｐゴシック" w:hAnsi="ＭＳ Ｐゴシック" w:eastAsia="ＭＳ Ｐゴシック"/>
                <w:color w:val="auto"/>
                <w:kern w:val="24"/>
                <w:sz w:val="18"/>
                <w:highlight w:val="none"/>
              </w:rPr>
              <w:t>年度）</w:t>
            </w:r>
          </w:p>
        </w:tc>
        <w:tc>
          <w:tcPr>
            <w:tcW w:w="1028" w:type="dxa"/>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4</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2022</w:t>
            </w:r>
            <w:r>
              <w:rPr>
                <w:rFonts w:hint="eastAsia" w:ascii="ＭＳ Ｐゴシック" w:hAnsi="ＭＳ Ｐゴシック" w:eastAsia="ＭＳ Ｐゴシック"/>
                <w:color w:val="auto"/>
                <w:kern w:val="24"/>
                <w:sz w:val="18"/>
                <w:highlight w:val="none"/>
              </w:rPr>
              <w:t>年度）</w:t>
            </w:r>
          </w:p>
        </w:tc>
        <w:tc>
          <w:tcPr>
            <w:tcW w:w="102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5</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2023</w:t>
            </w:r>
            <w:r>
              <w:rPr>
                <w:rFonts w:hint="eastAsia" w:ascii="ＭＳ Ｐゴシック" w:hAnsi="ＭＳ Ｐゴシック" w:eastAsia="ＭＳ Ｐゴシック"/>
                <w:color w:val="auto"/>
                <w:kern w:val="24"/>
                <w:sz w:val="18"/>
                <w:highlight w:val="none"/>
              </w:rPr>
              <w:t>年度）</w:t>
            </w:r>
          </w:p>
        </w:tc>
        <w:tc>
          <w:tcPr>
            <w:tcW w:w="102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6</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2024</w:t>
            </w:r>
            <w:r>
              <w:rPr>
                <w:rFonts w:hint="eastAsia" w:ascii="ＭＳ Ｐゴシック" w:hAnsi="ＭＳ Ｐゴシック" w:eastAsia="ＭＳ Ｐゴシック"/>
                <w:color w:val="auto"/>
                <w:kern w:val="24"/>
                <w:sz w:val="18"/>
                <w:highlight w:val="none"/>
              </w:rPr>
              <w:t>年度）</w:t>
            </w:r>
          </w:p>
        </w:tc>
        <w:tc>
          <w:tcPr>
            <w:tcW w:w="102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7</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2025</w:t>
            </w:r>
            <w:r>
              <w:rPr>
                <w:rFonts w:hint="eastAsia" w:ascii="ＭＳ Ｐゴシック" w:hAnsi="ＭＳ Ｐゴシック" w:eastAsia="ＭＳ Ｐゴシック"/>
                <w:color w:val="auto"/>
                <w:kern w:val="24"/>
                <w:sz w:val="18"/>
                <w:highlight w:val="none"/>
              </w:rPr>
              <w:t>年度）</w:t>
            </w:r>
          </w:p>
        </w:tc>
        <w:tc>
          <w:tcPr>
            <w:tcW w:w="1028"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8</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2026</w:t>
            </w:r>
            <w:r>
              <w:rPr>
                <w:rFonts w:hint="eastAsia" w:ascii="ＭＳ Ｐゴシック" w:hAnsi="ＭＳ Ｐゴシック" w:eastAsia="ＭＳ Ｐゴシック"/>
                <w:color w:val="auto"/>
                <w:kern w:val="24"/>
                <w:sz w:val="18"/>
                <w:highlight w:val="none"/>
              </w:rPr>
              <w:t>年度）</w:t>
            </w:r>
          </w:p>
        </w:tc>
        <w:tc>
          <w:tcPr>
            <w:tcW w:w="1028"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CCECFF"/>
            <w:vAlign w:val="top"/>
          </w:tcPr>
          <w:p>
            <w:pPr>
              <w:pStyle w:val="0"/>
              <w:widowControl w:val="1"/>
              <w:autoSpaceDE w:val="0"/>
              <w:autoSpaceDN w:val="0"/>
              <w:spacing w:line="240" w:lineRule="exact"/>
              <w:ind w:left="-220" w:leftChars="-100" w:right="-220" w:rightChars="-100"/>
              <w:jc w:val="center"/>
              <w:rPr>
                <w:rFonts w:hint="default" w:ascii="ＭＳ Ｐゴシック" w:hAnsi="ＭＳ Ｐゴシック" w:eastAsia="ＭＳ Ｐゴシック"/>
                <w:kern w:val="24"/>
                <w:sz w:val="18"/>
              </w:rPr>
            </w:pPr>
          </w:p>
        </w:tc>
      </w:tr>
      <w:tr>
        <w:trPr>
          <w:trHeight w:val="397" w:hRule="atLeast"/>
        </w:trPr>
        <w:tc>
          <w:tcPr>
            <w:tcW w:w="1451" w:type="dxa"/>
            <w:gridSpan w:val="2"/>
            <w:tcBorders>
              <w:top w:val="none" w:color="auto" w:sz="0" w:space="0"/>
              <w:left w:val="none" w:color="auto" w:sz="0" w:space="0"/>
              <w:bottom w:val="nil"/>
              <w:right w:val="none" w:color="auto" w:sz="0" w:space="0"/>
              <w:tl2br w:val="none" w:color="auto" w:sz="0" w:space="0"/>
              <w:tr2bl w:val="none" w:color="auto" w:sz="0" w:space="0"/>
            </w:tcBorders>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第</w:t>
            </w:r>
            <w:r>
              <w:rPr>
                <w:rFonts w:hint="eastAsia" w:ascii="ＭＳ Ｐゴシック" w:hAnsi="ＭＳ Ｐゴシック" w:eastAsia="ＭＳ Ｐゴシック"/>
                <w:color w:val="auto"/>
                <w:kern w:val="24"/>
                <w:sz w:val="18"/>
                <w:highlight w:val="none"/>
              </w:rPr>
              <w:t>1</w:t>
            </w:r>
            <w:r>
              <w:rPr>
                <w:rFonts w:hint="eastAsia" w:ascii="ＭＳ Ｐゴシック" w:hAnsi="ＭＳ Ｐゴシック" w:eastAsia="ＭＳ Ｐゴシック"/>
                <w:color w:val="auto"/>
                <w:kern w:val="24"/>
                <w:sz w:val="18"/>
                <w:highlight w:val="none"/>
              </w:rPr>
              <w:t>号被保険者数</w:t>
            </w:r>
          </w:p>
        </w:tc>
        <w:tc>
          <w:tcPr>
            <w:tcW w:w="1027" w:type="dxa"/>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20"/>
                <w:highlight w:val="none"/>
              </w:rPr>
            </w:pPr>
            <w:r>
              <w:rPr>
                <w:rFonts w:hint="default" w:ascii="ＭＳ Ｐゴシック" w:hAnsi="ＭＳ Ｐゴシック" w:eastAsia="ＭＳ Ｐゴシック"/>
                <w:color w:val="auto"/>
                <w:sz w:val="20"/>
                <w:highlight w:val="none"/>
                <w:shd w:val="clear" w:color="auto" w:themeFill="background1" w:themeFillTint="FF" w:themeFillShade="FF"/>
              </w:rPr>
              <w:t>35,810</w:t>
            </w:r>
          </w:p>
        </w:tc>
        <w:tc>
          <w:tcPr>
            <w:tcW w:w="1028" w:type="dxa"/>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20"/>
                <w:highlight w:val="none"/>
              </w:rPr>
            </w:pPr>
            <w:r>
              <w:rPr>
                <w:rFonts w:hint="default" w:ascii="ＭＳ Ｐゴシック" w:hAnsi="ＭＳ Ｐゴシック" w:eastAsia="ＭＳ Ｐゴシック"/>
                <w:color w:val="auto"/>
                <w:sz w:val="20"/>
                <w:highlight w:val="none"/>
                <w:shd w:val="clear" w:color="auto" w:themeFill="background1" w:themeFillTint="FF" w:themeFillShade="FF"/>
              </w:rPr>
              <w:t>36,139</w:t>
            </w:r>
          </w:p>
        </w:tc>
        <w:tc>
          <w:tcPr>
            <w:tcW w:w="102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sz w:val="20"/>
                <w:highlight w:val="none"/>
                <w:shd w:val="clear" w:color="auto" w:themeFill="background1" w:themeFillTint="FF" w:themeFillShade="FF"/>
              </w:rPr>
            </w:pPr>
            <w:r>
              <w:rPr>
                <w:rFonts w:hint="eastAsia" w:ascii="ＭＳ Ｐゴシック" w:hAnsi="ＭＳ Ｐゴシック" w:eastAsia="ＭＳ Ｐゴシック"/>
                <w:color w:val="auto"/>
                <w:sz w:val="20"/>
                <w:highlight w:val="none"/>
                <w:shd w:val="clear" w:color="auto" w:themeFill="background1" w:themeFillTint="FF" w:themeFillShade="FF"/>
              </w:rPr>
              <w:t>36,453</w:t>
            </w:r>
          </w:p>
        </w:tc>
        <w:tc>
          <w:tcPr>
            <w:tcW w:w="102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sz w:val="20"/>
                <w:highlight w:val="none"/>
                <w:shd w:val="clear" w:color="auto" w:themeFill="background1" w:themeFillTint="FF" w:themeFillShade="FF"/>
              </w:rPr>
            </w:pPr>
            <w:r>
              <w:rPr>
                <w:rFonts w:hint="eastAsia" w:ascii="ＭＳ Ｐゴシック" w:hAnsi="ＭＳ Ｐゴシック" w:eastAsia="ＭＳ Ｐゴシック"/>
                <w:color w:val="auto"/>
                <w:sz w:val="20"/>
                <w:highlight w:val="none"/>
                <w:shd w:val="clear" w:color="auto" w:themeFill="background1" w:themeFillTint="FF" w:themeFillShade="FF"/>
              </w:rPr>
              <w:t>36,761</w:t>
            </w:r>
          </w:p>
        </w:tc>
        <w:tc>
          <w:tcPr>
            <w:tcW w:w="102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sz w:val="20"/>
                <w:highlight w:val="none"/>
                <w:shd w:val="clear" w:color="auto" w:themeFill="background1" w:themeFillTint="FF" w:themeFillShade="FF"/>
              </w:rPr>
            </w:pPr>
            <w:r>
              <w:rPr>
                <w:rFonts w:hint="eastAsia" w:ascii="ＭＳ Ｐゴシック" w:hAnsi="ＭＳ Ｐゴシック" w:eastAsia="ＭＳ Ｐゴシック"/>
                <w:color w:val="auto"/>
                <w:sz w:val="20"/>
                <w:highlight w:val="none"/>
                <w:shd w:val="clear" w:color="auto" w:themeFill="background1" w:themeFillTint="FF" w:themeFillShade="FF"/>
              </w:rPr>
              <w:t>36,908</w:t>
            </w:r>
          </w:p>
        </w:tc>
        <w:tc>
          <w:tcPr>
            <w:tcW w:w="1028" w:type="dxa"/>
            <w:tcBorders>
              <w:top w:val="nil"/>
              <w:left w:val="single" w:color="auto" w:sz="4" w:space="0"/>
              <w:bottom w:val="single" w:color="auto" w:sz="4" w:space="0"/>
              <w:right w:val="nil"/>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sz w:val="20"/>
                <w:highlight w:val="none"/>
                <w:shd w:val="clear" w:color="auto" w:themeFill="background1" w:themeFillTint="FF" w:themeFillShade="FF"/>
              </w:rPr>
            </w:pPr>
            <w:r>
              <w:rPr>
                <w:rFonts w:hint="eastAsia" w:ascii="ＭＳ Ｐゴシック" w:hAnsi="ＭＳ Ｐゴシック" w:eastAsia="ＭＳ Ｐゴシック"/>
                <w:color w:val="auto"/>
                <w:sz w:val="20"/>
                <w:highlight w:val="none"/>
                <w:shd w:val="clear" w:color="auto" w:themeFill="background1" w:themeFillTint="FF" w:themeFillShade="FF"/>
              </w:rPr>
              <w:t>37,036</w:t>
            </w:r>
          </w:p>
        </w:tc>
        <w:tc>
          <w:tcPr>
            <w:tcW w:w="1028" w:type="dxa"/>
            <w:tcBorders>
              <w:top w:val="none" w:color="auto" w:sz="0" w:space="0"/>
              <w:left w:val="doub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sz w:val="20"/>
                <w:highlight w:val="none"/>
                <w:shd w:val="clear" w:color="auto" w:themeFill="background1" w:themeFillTint="FF" w:themeFillShade="FF"/>
              </w:rPr>
            </w:pPr>
            <w:r>
              <w:rPr>
                <w:rFonts w:hint="default" w:ascii="ＭＳ Ｐゴシック" w:hAnsi="ＭＳ Ｐゴシック" w:eastAsia="ＭＳ Ｐゴシック"/>
                <w:color w:val="auto"/>
                <w:sz w:val="20"/>
                <w:highlight w:val="none"/>
                <w:shd w:val="clear" w:color="auto" w:themeFill="background1" w:themeFillTint="FF" w:themeFillShade="FF"/>
              </w:rPr>
              <w:t>36,993</w:t>
            </w:r>
          </w:p>
        </w:tc>
      </w:tr>
      <w:tr>
        <w:trPr>
          <w:trHeight w:val="397" w:hRule="atLeast"/>
        </w:trPr>
        <w:tc>
          <w:tcPr>
            <w:tcW w:w="236" w:type="dxa"/>
            <w:vMerge w:val="restart"/>
            <w:tcBorders>
              <w:top w:val="nil"/>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24"/>
                <w:sz w:val="18"/>
                <w:highlight w:val="none"/>
              </w:rPr>
            </w:pPr>
          </w:p>
        </w:tc>
        <w:tc>
          <w:tcPr>
            <w:tcW w:w="1215"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前期高齢者</w:t>
            </w:r>
          </w:p>
        </w:tc>
        <w:tc>
          <w:tcPr>
            <w:tcW w:w="1027"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20"/>
                <w:highlight w:val="none"/>
              </w:rPr>
            </w:pPr>
            <w:r>
              <w:rPr>
                <w:rFonts w:hint="default" w:ascii="ＭＳ Ｐゴシック" w:hAnsi="ＭＳ Ｐゴシック" w:eastAsia="ＭＳ Ｐゴシック"/>
                <w:color w:val="auto"/>
                <w:sz w:val="20"/>
                <w:highlight w:val="none"/>
                <w:shd w:val="clear" w:color="auto" w:themeFill="background1" w:themeFillTint="FF" w:themeFillShade="FF"/>
              </w:rPr>
              <w:t>18,279</w:t>
            </w:r>
          </w:p>
        </w:tc>
        <w:tc>
          <w:tcPr>
            <w:tcW w:w="1028"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20"/>
                <w:highlight w:val="none"/>
              </w:rPr>
            </w:pPr>
            <w:r>
              <w:rPr>
                <w:rFonts w:hint="default" w:ascii="ＭＳ Ｐゴシック" w:hAnsi="ＭＳ Ｐゴシック" w:eastAsia="ＭＳ Ｐゴシック"/>
                <w:color w:val="auto"/>
                <w:sz w:val="20"/>
                <w:highlight w:val="none"/>
                <w:shd w:val="clear" w:color="auto" w:themeFill="background1" w:themeFillTint="FF" w:themeFillShade="FF"/>
              </w:rPr>
              <w:t>17,653</w:t>
            </w:r>
          </w:p>
        </w:tc>
        <w:tc>
          <w:tcPr>
            <w:tcW w:w="1028"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sz w:val="20"/>
                <w:highlight w:val="none"/>
                <w:shd w:val="clear" w:color="auto" w:themeFill="background1" w:themeFillTint="FF" w:themeFillShade="FF"/>
              </w:rPr>
            </w:pPr>
            <w:r>
              <w:rPr>
                <w:rFonts w:hint="eastAsia" w:ascii="ＭＳ Ｐゴシック" w:hAnsi="ＭＳ Ｐゴシック" w:eastAsia="ＭＳ Ｐゴシック"/>
                <w:color w:val="auto"/>
                <w:sz w:val="20"/>
                <w:highlight w:val="none"/>
                <w:shd w:val="clear" w:color="auto" w:themeFill="background1" w:themeFillTint="FF" w:themeFillShade="FF"/>
              </w:rPr>
              <w:t>17,092</w:t>
            </w:r>
          </w:p>
        </w:tc>
        <w:tc>
          <w:tcPr>
            <w:tcW w:w="1028"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sz w:val="20"/>
                <w:highlight w:val="none"/>
                <w:shd w:val="clear" w:color="auto" w:themeFill="background1" w:themeFillTint="FF" w:themeFillShade="FF"/>
              </w:rPr>
            </w:pPr>
            <w:r>
              <w:rPr>
                <w:rFonts w:hint="eastAsia" w:ascii="ＭＳ Ｐゴシック" w:hAnsi="ＭＳ Ｐゴシック" w:eastAsia="ＭＳ Ｐゴシック"/>
                <w:color w:val="auto"/>
                <w:sz w:val="20"/>
                <w:highlight w:val="none"/>
                <w:shd w:val="clear" w:color="auto" w:themeFill="background1" w:themeFillTint="FF" w:themeFillShade="FF"/>
              </w:rPr>
              <w:t>16,369</w:t>
            </w:r>
          </w:p>
        </w:tc>
        <w:tc>
          <w:tcPr>
            <w:tcW w:w="1028"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sz w:val="20"/>
                <w:highlight w:val="none"/>
                <w:shd w:val="clear" w:color="auto" w:themeFill="background1" w:themeFillTint="FF" w:themeFillShade="FF"/>
              </w:rPr>
            </w:pPr>
            <w:r>
              <w:rPr>
                <w:rFonts w:hint="eastAsia" w:ascii="ＭＳ Ｐゴシック" w:hAnsi="ＭＳ Ｐゴシック" w:eastAsia="ＭＳ Ｐゴシック"/>
                <w:color w:val="auto"/>
                <w:sz w:val="20"/>
                <w:highlight w:val="none"/>
                <w:shd w:val="clear" w:color="auto" w:themeFill="background1" w:themeFillTint="FF" w:themeFillShade="FF"/>
              </w:rPr>
              <w:t>15,770</w:t>
            </w:r>
          </w:p>
        </w:tc>
        <w:tc>
          <w:tcPr>
            <w:tcW w:w="1028" w:type="dxa"/>
            <w:tcBorders>
              <w:top w:val="single" w:color="auto" w:sz="4" w:space="0"/>
              <w:left w:val="nil"/>
              <w:bottom w:val="dashSmallGap" w:color="auto" w:sz="4" w:space="0"/>
              <w:right w:val="doub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sz w:val="20"/>
                <w:highlight w:val="none"/>
                <w:shd w:val="clear" w:color="auto" w:themeFill="background1" w:themeFillTint="FF" w:themeFillShade="FF"/>
              </w:rPr>
            </w:pPr>
            <w:r>
              <w:rPr>
                <w:rFonts w:hint="eastAsia" w:ascii="ＭＳ Ｐゴシック" w:hAnsi="ＭＳ Ｐゴシック" w:eastAsia="ＭＳ Ｐゴシック"/>
                <w:color w:val="auto"/>
                <w:sz w:val="20"/>
                <w:highlight w:val="none"/>
                <w:shd w:val="clear" w:color="auto" w:themeFill="background1" w:themeFillTint="FF" w:themeFillShade="FF"/>
              </w:rPr>
              <w:t>15,147</w:t>
            </w:r>
          </w:p>
        </w:tc>
        <w:tc>
          <w:tcPr>
            <w:tcW w:w="1028" w:type="dxa"/>
            <w:tcBorders>
              <w:top w:val="single" w:color="auto" w:sz="4" w:space="0"/>
              <w:left w:val="doub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sz w:val="20"/>
                <w:highlight w:val="none"/>
                <w:shd w:val="clear" w:color="auto" w:themeFill="background1" w:themeFillTint="FF" w:themeFillShade="FF"/>
              </w:rPr>
            </w:pPr>
            <w:r>
              <w:rPr>
                <w:rFonts w:hint="eastAsia" w:ascii="ＭＳ Ｐゴシック" w:hAnsi="ＭＳ Ｐゴシック" w:eastAsia="ＭＳ Ｐゴシック"/>
                <w:color w:val="auto"/>
                <w:sz w:val="20"/>
                <w:highlight w:val="none"/>
                <w:shd w:val="clear" w:color="auto" w:themeFill="background1" w:themeFillTint="FF" w:themeFillShade="FF"/>
              </w:rPr>
              <w:t>14,907</w:t>
            </w:r>
          </w:p>
        </w:tc>
      </w:tr>
      <w:tr>
        <w:trPr>
          <w:trHeight w:val="397" w:hRule="atLeast"/>
        </w:trPr>
        <w:tc>
          <w:tcPr>
            <w:tcW w:w="236" w:type="dxa"/>
            <w:vMerge w:val="continue"/>
            <w:vAlign w:val="center"/>
          </w:tcPr>
          <w:p>
            <w:pPr>
              <w:pStyle w:val="0"/>
              <w:widowControl w:val="1"/>
              <w:autoSpaceDE w:val="0"/>
              <w:autoSpaceDN w:val="0"/>
              <w:spacing w:line="240" w:lineRule="exact"/>
              <w:jc w:val="center"/>
              <w:rPr>
                <w:rFonts w:hint="default" w:ascii="ＭＳ Ｐゴシック" w:hAnsi="ＭＳ Ｐゴシック" w:eastAsia="ＭＳ Ｐゴシック"/>
                <w:kern w:val="24"/>
                <w:sz w:val="18"/>
              </w:rPr>
            </w:pPr>
          </w:p>
        </w:tc>
        <w:tc>
          <w:tcPr>
            <w:tcW w:w="1215"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後期高齢者</w:t>
            </w:r>
          </w:p>
        </w:tc>
        <w:tc>
          <w:tcPr>
            <w:tcW w:w="1027"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20"/>
                <w:highlight w:val="none"/>
              </w:rPr>
            </w:pPr>
            <w:r>
              <w:rPr>
                <w:rFonts w:hint="default" w:ascii="ＭＳ Ｐゴシック" w:hAnsi="ＭＳ Ｐゴシック" w:eastAsia="ＭＳ Ｐゴシック"/>
                <w:color w:val="auto"/>
                <w:sz w:val="20"/>
                <w:highlight w:val="none"/>
                <w:shd w:val="clear" w:color="auto" w:themeFill="background1" w:themeFillTint="FF" w:themeFillShade="FF"/>
              </w:rPr>
              <w:t>17,531</w:t>
            </w:r>
          </w:p>
        </w:tc>
        <w:tc>
          <w:tcPr>
            <w:tcW w:w="1028"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20"/>
                <w:highlight w:val="none"/>
              </w:rPr>
            </w:pPr>
            <w:r>
              <w:rPr>
                <w:rFonts w:hint="default" w:ascii="ＭＳ Ｐゴシック" w:hAnsi="ＭＳ Ｐゴシック" w:eastAsia="ＭＳ Ｐゴシック"/>
                <w:color w:val="auto"/>
                <w:sz w:val="20"/>
                <w:highlight w:val="none"/>
                <w:shd w:val="clear" w:color="auto" w:themeFill="background1" w:themeFillTint="FF" w:themeFillShade="FF"/>
              </w:rPr>
              <w:t>18,486</w:t>
            </w:r>
          </w:p>
        </w:tc>
        <w:tc>
          <w:tcPr>
            <w:tcW w:w="1028"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sz w:val="20"/>
                <w:highlight w:val="none"/>
                <w:shd w:val="clear" w:color="auto" w:themeFill="background1" w:themeFillTint="FF" w:themeFillShade="FF"/>
              </w:rPr>
            </w:pPr>
            <w:r>
              <w:rPr>
                <w:rFonts w:hint="eastAsia" w:ascii="ＭＳ Ｐゴシック" w:hAnsi="ＭＳ Ｐゴシック" w:eastAsia="ＭＳ Ｐゴシック"/>
                <w:color w:val="auto"/>
                <w:sz w:val="20"/>
                <w:highlight w:val="none"/>
                <w:shd w:val="clear" w:color="auto" w:themeFill="background1" w:themeFillTint="FF" w:themeFillShade="FF"/>
              </w:rPr>
              <w:t>19,361</w:t>
            </w:r>
          </w:p>
        </w:tc>
        <w:tc>
          <w:tcPr>
            <w:tcW w:w="1028"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sz w:val="20"/>
                <w:highlight w:val="none"/>
                <w:shd w:val="clear" w:color="auto" w:themeFill="background1" w:themeFillTint="FF" w:themeFillShade="FF"/>
              </w:rPr>
            </w:pPr>
            <w:r>
              <w:rPr>
                <w:rFonts w:hint="eastAsia" w:ascii="ＭＳ Ｐゴシック" w:hAnsi="ＭＳ Ｐゴシック" w:eastAsia="ＭＳ Ｐゴシック"/>
                <w:color w:val="auto"/>
                <w:sz w:val="20"/>
                <w:highlight w:val="none"/>
                <w:shd w:val="clear" w:color="auto" w:themeFill="background1" w:themeFillTint="FF" w:themeFillShade="FF"/>
              </w:rPr>
              <w:t>20,392</w:t>
            </w:r>
          </w:p>
        </w:tc>
        <w:tc>
          <w:tcPr>
            <w:tcW w:w="1028"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sz w:val="20"/>
                <w:highlight w:val="none"/>
                <w:shd w:val="clear" w:color="auto" w:themeFill="background1" w:themeFillTint="FF" w:themeFillShade="FF"/>
              </w:rPr>
            </w:pPr>
            <w:r>
              <w:rPr>
                <w:rFonts w:hint="eastAsia" w:ascii="ＭＳ Ｐゴシック" w:hAnsi="ＭＳ Ｐゴシック" w:eastAsia="ＭＳ Ｐゴシック"/>
                <w:color w:val="auto"/>
                <w:sz w:val="20"/>
                <w:highlight w:val="none"/>
                <w:shd w:val="clear" w:color="auto" w:themeFill="background1" w:themeFillTint="FF" w:themeFillShade="FF"/>
              </w:rPr>
              <w:t>21,138</w:t>
            </w:r>
          </w:p>
        </w:tc>
        <w:tc>
          <w:tcPr>
            <w:tcW w:w="1028" w:type="dxa"/>
            <w:tcBorders>
              <w:top w:val="dashSmallGap"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sz w:val="20"/>
                <w:highlight w:val="none"/>
                <w:shd w:val="clear" w:color="auto" w:themeFill="background1" w:themeFillTint="FF" w:themeFillShade="FF"/>
              </w:rPr>
            </w:pPr>
            <w:r>
              <w:rPr>
                <w:rFonts w:hint="eastAsia" w:ascii="ＭＳ Ｐゴシック" w:hAnsi="ＭＳ Ｐゴシック" w:eastAsia="ＭＳ Ｐゴシック"/>
                <w:color w:val="auto"/>
                <w:sz w:val="20"/>
                <w:highlight w:val="none"/>
                <w:shd w:val="clear" w:color="auto" w:themeFill="background1" w:themeFillTint="FF" w:themeFillShade="FF"/>
              </w:rPr>
              <w:t>21,889</w:t>
            </w:r>
          </w:p>
        </w:tc>
        <w:tc>
          <w:tcPr>
            <w:tcW w:w="1028" w:type="dxa"/>
            <w:tcBorders>
              <w:top w:val="dashSmallGap"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sz w:val="20"/>
                <w:highlight w:val="none"/>
                <w:shd w:val="clear" w:color="auto" w:themeFill="background1" w:themeFillTint="FF" w:themeFillShade="FF"/>
              </w:rPr>
            </w:pPr>
            <w:r>
              <w:rPr>
                <w:rFonts w:hint="eastAsia" w:ascii="ＭＳ Ｐゴシック" w:hAnsi="ＭＳ Ｐゴシック" w:eastAsia="ＭＳ Ｐゴシック"/>
                <w:color w:val="auto"/>
                <w:sz w:val="20"/>
                <w:highlight w:val="none"/>
                <w:shd w:val="clear" w:color="auto" w:themeFill="background1" w:themeFillTint="FF" w:themeFillShade="FF"/>
              </w:rPr>
              <w:t>22,086</w:t>
            </w:r>
          </w:p>
        </w:tc>
      </w:tr>
    </w:tbl>
    <w:p>
      <w:pPr>
        <w:pStyle w:val="41"/>
        <w:autoSpaceDE w:val="0"/>
        <w:autoSpaceDN w:val="0"/>
        <w:spacing w:before="74" w:beforeLines="20" w:beforeAutospacing="0"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資料：令和</w:t>
      </w:r>
      <w:r>
        <w:rPr>
          <w:rFonts w:hint="eastAsia" w:ascii="ＭＳ Ｐゴシック" w:hAnsi="ＭＳ Ｐゴシック" w:eastAsia="ＭＳ Ｐゴシック"/>
          <w:color w:val="auto"/>
          <w:sz w:val="18"/>
          <w:highlight w:val="none"/>
        </w:rPr>
        <w:t>3</w:t>
      </w:r>
      <w:r>
        <w:rPr>
          <w:rFonts w:hint="eastAsia" w:ascii="ＭＳ Ｐゴシック" w:hAnsi="ＭＳ Ｐゴシック" w:eastAsia="ＭＳ Ｐゴシック"/>
          <w:color w:val="auto"/>
          <w:sz w:val="18"/>
          <w:highlight w:val="none"/>
        </w:rPr>
        <w:t>度から令和</w:t>
      </w:r>
      <w:r>
        <w:rPr>
          <w:rFonts w:hint="eastAsia" w:ascii="ＭＳ Ｐゴシック" w:hAnsi="ＭＳ Ｐゴシック" w:eastAsia="ＭＳ Ｐゴシック"/>
          <w:color w:val="auto"/>
          <w:sz w:val="18"/>
          <w:highlight w:val="none"/>
        </w:rPr>
        <w:t>5</w:t>
      </w:r>
      <w:r>
        <w:rPr>
          <w:rFonts w:hint="eastAsia" w:ascii="ＭＳ Ｐゴシック" w:hAnsi="ＭＳ Ｐゴシック" w:eastAsia="ＭＳ Ｐゴシック"/>
          <w:color w:val="auto"/>
          <w:sz w:val="18"/>
          <w:highlight w:val="none"/>
        </w:rPr>
        <w:t>年度介護保険事業状況報告</w:t>
      </w:r>
      <w:r>
        <w:rPr>
          <w:rFonts w:hint="eastAsia" w:ascii="ＭＳ Ｐゴシック" w:hAnsi="ＭＳ Ｐゴシック" w:eastAsia="ＭＳ Ｐゴシック"/>
          <w:color w:val="auto"/>
          <w:sz w:val="18"/>
          <w:highlight w:val="none"/>
        </w:rPr>
        <w:t>9</w:t>
      </w:r>
      <w:r>
        <w:rPr>
          <w:rFonts w:hint="eastAsia" w:ascii="ＭＳ Ｐゴシック" w:hAnsi="ＭＳ Ｐゴシック" w:eastAsia="ＭＳ Ｐゴシック"/>
          <w:color w:val="auto"/>
          <w:sz w:val="18"/>
          <w:highlight w:val="none"/>
        </w:rPr>
        <w:t>月月報（各年</w:t>
      </w:r>
      <w:r>
        <w:rPr>
          <w:rFonts w:hint="eastAsia" w:ascii="ＭＳ Ｐゴシック" w:hAnsi="ＭＳ Ｐゴシック" w:eastAsia="ＭＳ Ｐゴシック"/>
          <w:color w:val="auto"/>
          <w:sz w:val="18"/>
          <w:highlight w:val="none"/>
        </w:rPr>
        <w:t>9</w:t>
      </w:r>
      <w:r>
        <w:rPr>
          <w:rFonts w:hint="eastAsia" w:ascii="ＭＳ Ｐゴシック" w:hAnsi="ＭＳ Ｐゴシック" w:eastAsia="ＭＳ Ｐゴシック"/>
          <w:color w:val="auto"/>
          <w:sz w:val="18"/>
          <w:highlight w:val="none"/>
        </w:rPr>
        <w:t>月末現在）・令和</w:t>
      </w:r>
      <w:r>
        <w:rPr>
          <w:rFonts w:hint="eastAsia" w:ascii="ＭＳ Ｐゴシック" w:hAnsi="ＭＳ Ｐゴシック" w:eastAsia="ＭＳ Ｐゴシック"/>
          <w:color w:val="auto"/>
          <w:sz w:val="18"/>
          <w:highlight w:val="none"/>
        </w:rPr>
        <w:t>6</w:t>
      </w:r>
      <w:r>
        <w:rPr>
          <w:rFonts w:hint="eastAsia" w:ascii="ＭＳ Ｐゴシック" w:hAnsi="ＭＳ Ｐゴシック" w:eastAsia="ＭＳ Ｐゴシック"/>
          <w:color w:val="auto"/>
          <w:sz w:val="18"/>
          <w:highlight w:val="none"/>
        </w:rPr>
        <w:t>年度から廿日市市推計</w:t>
      </w:r>
    </w:p>
    <w:p>
      <w:pPr>
        <w:pStyle w:val="0"/>
        <w:widowControl w:val="1"/>
        <w:autoSpaceDE w:val="0"/>
        <w:autoSpaceDN w:val="0"/>
        <w:spacing w:before="185" w:beforeLines="50" w:beforeAutospacing="0" w:line="380" w:lineRule="exact"/>
        <w:ind w:left="565" w:leftChars="257"/>
        <w:jc w:val="center"/>
        <w:rPr>
          <w:rFonts w:hint="default"/>
          <w:color w:val="auto"/>
          <w:kern w:val="24"/>
          <w:sz w:val="21"/>
          <w:highlight w:val="none"/>
        </w:rPr>
      </w:pPr>
      <w:r>
        <w:rPr>
          <w:rFonts w:hint="default"/>
          <w:color w:val="auto"/>
          <w:highlight w:val="none"/>
        </w:rPr>
        <w:drawing>
          <wp:anchor distT="0" distB="0" distL="114300" distR="114300" simplePos="0" relativeHeight="98" behindDoc="1" locked="0" layoutInCell="1" hidden="0" allowOverlap="1">
            <wp:simplePos x="0" y="0"/>
            <wp:positionH relativeFrom="column">
              <wp:posOffset>300355</wp:posOffset>
            </wp:positionH>
            <wp:positionV relativeFrom="paragraph">
              <wp:posOffset>350520</wp:posOffset>
            </wp:positionV>
            <wp:extent cx="5495290" cy="2553335"/>
            <wp:effectExtent l="0" t="0" r="0" b="0"/>
            <wp:wrapNone/>
            <wp:docPr id="1184" name="Picture 1"/>
            <a:graphic xmlns:a="http://schemas.openxmlformats.org/drawingml/2006/main">
              <a:graphicData uri="http://schemas.openxmlformats.org/drawingml/2006/picture">
                <pic:pic xmlns:pic="http://schemas.openxmlformats.org/drawingml/2006/picture">
                  <pic:nvPicPr>
                    <pic:cNvPr id="1184" name="Picture 1"/>
                    <pic:cNvPicPr>
                      <a:picLocks noChangeAspect="1" noChangeArrowheads="1"/>
                    </pic:cNvPicPr>
                  </pic:nvPicPr>
                  <pic:blipFill>
                    <a:blip r:embed="rId98"/>
                    <a:stretch>
                      <a:fillRect/>
                    </a:stretch>
                  </pic:blipFill>
                  <pic:spPr>
                    <a:xfrm>
                      <a:off x="0" y="0"/>
                      <a:ext cx="5495290" cy="2553335"/>
                    </a:xfrm>
                    <a:prstGeom prst="rect">
                      <a:avLst/>
                    </a:prstGeom>
                    <a:noFill/>
                    <a:ln>
                      <a:noFill/>
                    </a:ln>
                  </pic:spPr>
                </pic:pic>
              </a:graphicData>
            </a:graphic>
          </wp:anchor>
        </w:drawing>
      </w:r>
      <w:r>
        <w:rPr>
          <w:rFonts w:hint="eastAsia"/>
          <w:color w:val="auto"/>
          <w:kern w:val="24"/>
          <w:sz w:val="21"/>
          <w:highlight w:val="none"/>
        </w:rPr>
        <w:t xml:space="preserve"> </w:t>
      </w:r>
      <w:r>
        <w:rPr>
          <w:rFonts w:hint="eastAsia"/>
          <w:color w:val="auto"/>
          <w:kern w:val="24"/>
          <w:sz w:val="21"/>
          <w:highlight w:val="none"/>
        </w:rPr>
        <w:t>図表　第</w:t>
      </w:r>
      <w:r>
        <w:rPr>
          <w:rFonts w:hint="eastAsia"/>
          <w:color w:val="auto"/>
          <w:kern w:val="24"/>
          <w:sz w:val="21"/>
          <w:highlight w:val="none"/>
        </w:rPr>
        <w:t>1</w:t>
      </w:r>
      <w:r>
        <w:rPr>
          <w:rFonts w:hint="eastAsia"/>
          <w:color w:val="auto"/>
          <w:kern w:val="24"/>
          <w:sz w:val="21"/>
          <w:highlight w:val="none"/>
        </w:rPr>
        <w:t>号被保険者数の推移・推計</w:t>
      </w:r>
    </w:p>
    <w:p>
      <w:pPr>
        <w:pStyle w:val="41"/>
        <w:autoSpaceDE w:val="0"/>
        <w:autoSpaceDN w:val="0"/>
        <w:rPr>
          <w:rFonts w:hint="default"/>
          <w:color w:val="auto"/>
          <w:highlight w:val="none"/>
          <w:shd w:val="clear" w:color="auto" w:themeFill="background1" w:themeFillTint="FF" w:themeFillShade="FF"/>
        </w:rPr>
      </w:pPr>
    </w:p>
    <w:p>
      <w:pPr>
        <w:pStyle w:val="41"/>
        <w:autoSpaceDE w:val="0"/>
        <w:autoSpaceDN w:val="0"/>
        <w:rPr>
          <w:rFonts w:hint="default"/>
          <w:color w:val="auto"/>
          <w:highlight w:val="none"/>
          <w:shd w:val="clear" w:color="auto" w:themeFill="background1" w:themeFillTint="FF" w:themeFillShade="FF"/>
        </w:rPr>
      </w:pPr>
    </w:p>
    <w:p>
      <w:pPr>
        <w:pStyle w:val="41"/>
        <w:autoSpaceDE w:val="0"/>
        <w:autoSpaceDN w:val="0"/>
        <w:rPr>
          <w:rFonts w:hint="default"/>
          <w:color w:val="auto"/>
          <w:highlight w:val="none"/>
          <w:shd w:val="clear" w:color="auto" w:themeFill="background1" w:themeFillTint="FF" w:themeFillShade="FF"/>
        </w:rPr>
      </w:pPr>
    </w:p>
    <w:p>
      <w:pPr>
        <w:pStyle w:val="41"/>
        <w:autoSpaceDE w:val="0"/>
        <w:autoSpaceDN w:val="0"/>
        <w:rPr>
          <w:rFonts w:hint="default"/>
          <w:color w:val="auto"/>
          <w:highlight w:val="none"/>
          <w:shd w:val="clear" w:color="auto" w:themeFill="background1" w:themeFillTint="FF" w:themeFillShade="FF"/>
        </w:rPr>
      </w:pPr>
    </w:p>
    <w:p>
      <w:pPr>
        <w:pStyle w:val="41"/>
        <w:autoSpaceDE w:val="0"/>
        <w:autoSpaceDN w:val="0"/>
        <w:rPr>
          <w:rFonts w:hint="default"/>
          <w:color w:val="auto"/>
          <w:highlight w:val="none"/>
          <w:shd w:val="clear" w:color="auto" w:themeFill="background1" w:themeFillTint="FF" w:themeFillShade="FF"/>
        </w:rPr>
      </w:pPr>
    </w:p>
    <w:p>
      <w:pPr>
        <w:pStyle w:val="41"/>
        <w:autoSpaceDE w:val="0"/>
        <w:autoSpaceDN w:val="0"/>
        <w:rPr>
          <w:rFonts w:hint="default"/>
          <w:color w:val="auto"/>
          <w:highlight w:val="none"/>
          <w:shd w:val="clear" w:color="auto" w:themeFill="background1" w:themeFillTint="FF" w:themeFillShade="FF"/>
        </w:rPr>
      </w:pPr>
    </w:p>
    <w:p>
      <w:pPr>
        <w:pStyle w:val="41"/>
        <w:autoSpaceDE w:val="0"/>
        <w:autoSpaceDN w:val="0"/>
        <w:rPr>
          <w:rFonts w:hint="default"/>
          <w:color w:val="auto"/>
          <w:highlight w:val="none"/>
          <w:shd w:val="clear" w:color="auto" w:themeFill="background1" w:themeFillTint="FF" w:themeFillShade="FF"/>
        </w:rPr>
      </w:pPr>
    </w:p>
    <w:p>
      <w:pPr>
        <w:pStyle w:val="41"/>
        <w:autoSpaceDE w:val="0"/>
        <w:autoSpaceDN w:val="0"/>
        <w:rPr>
          <w:rFonts w:hint="default"/>
          <w:color w:val="auto"/>
          <w:highlight w:val="none"/>
          <w:shd w:val="clear" w:color="auto" w:themeFill="background1" w:themeFillTint="FF" w:themeFillShade="FF"/>
        </w:rPr>
      </w:pPr>
    </w:p>
    <w:p>
      <w:pPr>
        <w:pStyle w:val="41"/>
        <w:autoSpaceDE w:val="0"/>
        <w:autoSpaceDN w:val="0"/>
        <w:rPr>
          <w:rFonts w:hint="default"/>
          <w:color w:val="auto"/>
          <w:highlight w:val="none"/>
          <w:shd w:val="clear" w:color="auto" w:themeFill="background1" w:themeFillTint="FF" w:themeFillShade="FF"/>
        </w:rPr>
      </w:pPr>
      <w:r>
        <w:rPr>
          <w:rFonts w:hint="default"/>
          <w:color w:val="auto"/>
          <w:highlight w:val="none"/>
        </w:rPr>
        <mc:AlternateContent>
          <mc:Choice Requires="wps">
            <w:drawing>
              <wp:anchor distT="0" distB="0" distL="114300" distR="114300" simplePos="0" relativeHeight="99" behindDoc="1" locked="0" layoutInCell="1" hidden="0" allowOverlap="1">
                <wp:simplePos x="0" y="0"/>
                <wp:positionH relativeFrom="column">
                  <wp:posOffset>4802505</wp:posOffset>
                </wp:positionH>
                <wp:positionV relativeFrom="paragraph">
                  <wp:posOffset>137795</wp:posOffset>
                </wp:positionV>
                <wp:extent cx="179705" cy="100330"/>
                <wp:effectExtent l="0" t="0" r="635" b="635"/>
                <wp:wrapNone/>
                <wp:docPr id="1185" name="正方形/長方形 38"/>
                <a:graphic xmlns:a="http://schemas.openxmlformats.org/drawingml/2006/main">
                  <a:graphicData uri="http://schemas.microsoft.com/office/word/2010/wordprocessingShape">
                    <wps:wsp>
                      <wps:cNvPr id="1185" name="正方形/長方形 38"/>
                      <wps:cNvSpPr/>
                      <wps:spPr>
                        <a:xfrm rot="5400000">
                          <a:off x="0" y="0"/>
                          <a:ext cx="179705" cy="100330"/>
                        </a:xfrm>
                        <a:prstGeom prst="rect">
                          <a:avLst/>
                        </a:prstGeom>
                        <a:solidFill>
                          <a:sysClr val="window" lastClr="FFFFFF"/>
                        </a:solidFill>
                        <a:ln w="25400" cap="flat" cmpd="sng" algn="ctr">
                          <a:noFill/>
                          <a:prstDash val="solid"/>
                        </a:ln>
                        <a:effectLst/>
                      </wps:spPr>
                      <wps:txbx>
                        <w:txbxContent>
                          <w:p>
                            <w:pPr>
                              <w:pStyle w:val="0"/>
                              <w:spacing w:line="80" w:lineRule="exact"/>
                              <w:jc w:val="center"/>
                              <w:rPr>
                                <w:rFonts w:hint="default" w:ascii="ＭＳ Ｐゴシック" w:hAnsi="ＭＳ Ｐゴシック" w:eastAsia="ＭＳ Ｐゴシック"/>
                                <w:color w:val="000000" w:themeColor="text1"/>
                                <w:sz w:val="12"/>
                              </w:rPr>
                            </w:pPr>
                            <w:r>
                              <w:rPr>
                                <w:rFonts w:hint="eastAsia" w:ascii="ＭＳ Ｐゴシック" w:hAnsi="ＭＳ Ｐゴシック" w:eastAsia="ＭＳ Ｐゴシック"/>
                                <w:color w:val="000000" w:themeColor="text1"/>
                                <w:sz w:val="12"/>
                              </w:rPr>
                              <w:t>～</w:t>
                            </w:r>
                          </w:p>
                          <w:p>
                            <w:pPr>
                              <w:pStyle w:val="0"/>
                              <w:spacing w:line="80" w:lineRule="exact"/>
                              <w:jc w:val="center"/>
                              <w:rPr>
                                <w:rFonts w:hint="default" w:ascii="ＭＳ Ｐゴシック" w:hAnsi="ＭＳ Ｐゴシック" w:eastAsia="ＭＳ Ｐゴシック"/>
                                <w:color w:val="000000" w:themeColor="text1"/>
                                <w:sz w:val="12"/>
                              </w:rPr>
                            </w:pPr>
                            <w:r>
                              <w:rPr>
                                <w:rFonts w:hint="eastAsia" w:ascii="ＭＳ Ｐゴシック" w:hAnsi="ＭＳ Ｐゴシック" w:eastAsia="ＭＳ Ｐゴシック"/>
                                <w:color w:val="000000" w:themeColor="text1"/>
                                <w:sz w:val="12"/>
                              </w:rPr>
                              <w:t>～</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38" style="mso-wrap-distance-right:9pt;mso-wrap-distance-bottom:0pt;margin-top:10.85pt;mso-position-vertical-relative:text;mso-position-horizontal-relative:text;v-text-anchor:middle;position:absolute;height:7.9pt;mso-wrap-distance-top:0pt;width:14.15pt;mso-wrap-distance-left:9pt;margin-left:378.15pt;z-index:-503316381;rotation:90;" o:spid="_x0000_s1185" o:allowincell="t" o:allowoverlap="t" filled="t" fillcolor="#ffffff" stroked="f" strokeweight="2pt" o:spt="1">
                <v:fill/>
                <v:stroke linestyle="single" endcap="flat" dashstyle="solid"/>
                <v:textbox style="layout-flow:horizontal;" inset="0mm,0mm,0mm,0mm">
                  <w:txbxContent>
                    <w:p>
                      <w:pPr>
                        <w:pStyle w:val="0"/>
                        <w:spacing w:line="80" w:lineRule="exact"/>
                        <w:jc w:val="center"/>
                        <w:rPr>
                          <w:rFonts w:hint="default" w:ascii="ＭＳ Ｐゴシック" w:hAnsi="ＭＳ Ｐゴシック" w:eastAsia="ＭＳ Ｐゴシック"/>
                          <w:color w:val="000000" w:themeColor="text1"/>
                          <w:sz w:val="12"/>
                        </w:rPr>
                      </w:pPr>
                      <w:r>
                        <w:rPr>
                          <w:rFonts w:hint="eastAsia" w:ascii="ＭＳ Ｐゴシック" w:hAnsi="ＭＳ Ｐゴシック" w:eastAsia="ＭＳ Ｐゴシック"/>
                          <w:color w:val="000000" w:themeColor="text1"/>
                          <w:sz w:val="12"/>
                        </w:rPr>
                        <w:t>～</w:t>
                      </w:r>
                    </w:p>
                    <w:p>
                      <w:pPr>
                        <w:pStyle w:val="0"/>
                        <w:spacing w:line="80" w:lineRule="exact"/>
                        <w:jc w:val="center"/>
                        <w:rPr>
                          <w:rFonts w:hint="default" w:ascii="ＭＳ Ｐゴシック" w:hAnsi="ＭＳ Ｐゴシック" w:eastAsia="ＭＳ Ｐゴシック"/>
                          <w:color w:val="000000" w:themeColor="text1"/>
                          <w:sz w:val="12"/>
                        </w:rPr>
                      </w:pPr>
                      <w:r>
                        <w:rPr>
                          <w:rFonts w:hint="eastAsia" w:ascii="ＭＳ Ｐゴシック" w:hAnsi="ＭＳ Ｐゴシック" w:eastAsia="ＭＳ Ｐゴシック"/>
                          <w:color w:val="000000" w:themeColor="text1"/>
                          <w:sz w:val="12"/>
                        </w:rPr>
                        <w:t>～</w:t>
                      </w:r>
                    </w:p>
                  </w:txbxContent>
                </v:textbox>
                <v:imagedata o:title=""/>
                <w10:wrap type="none" anchorx="text" anchory="text"/>
              </v:rect>
            </w:pict>
          </mc:Fallback>
        </mc:AlternateContent>
      </w:r>
    </w:p>
    <w:p>
      <w:pPr>
        <w:pStyle w:val="41"/>
        <w:autoSpaceDE w:val="0"/>
        <w:autoSpaceDN w:val="0"/>
        <w:rPr>
          <w:rFonts w:hint="default"/>
          <w:color w:val="auto"/>
          <w:highlight w:val="none"/>
          <w:shd w:val="clear" w:color="auto" w:themeFill="background1" w:themeFillTint="FF" w:themeFillShade="FF"/>
        </w:rPr>
      </w:pPr>
    </w:p>
    <w:p>
      <w:pPr>
        <w:pStyle w:val="0"/>
        <w:widowControl w:val="1"/>
        <w:autoSpaceDE w:val="0"/>
        <w:autoSpaceDN w:val="0"/>
        <w:jc w:val="left"/>
        <w:rPr>
          <w:rFonts w:hint="default" w:ascii="メイリオ" w:hAnsi="メイリオ" w:eastAsia="メイリオ"/>
          <w:color w:val="auto"/>
          <w:sz w:val="24"/>
          <w:highlight w:val="none"/>
        </w:rPr>
      </w:pPr>
      <w:r>
        <w:rPr>
          <w:rFonts w:hint="default"/>
          <w:color w:val="auto"/>
          <w:highlight w:val="none"/>
        </w:rPr>
        <w:br w:type="page"/>
      </w:r>
    </w:p>
    <w:p>
      <w:pPr>
        <w:pStyle w:val="26"/>
        <w:spacing w:after="76" w:afterLines="0" w:afterAutospacing="0"/>
        <w:rPr>
          <w:rFonts w:hint="default"/>
          <w:color w:val="auto"/>
          <w:highlight w:val="none"/>
        </w:rPr>
      </w:pPr>
      <w:bookmarkStart w:id="143" w:name="_Toc149639039"/>
      <w:bookmarkStart w:id="144" w:name="_Toc152160683"/>
      <w:r>
        <w:rPr>
          <w:rFonts w:hint="default"/>
          <w:color w:val="auto"/>
          <w:highlight w:val="none"/>
        </w:rPr>
        <w:t>（</w:t>
      </w:r>
      <w:r>
        <w:rPr>
          <w:rFonts w:hint="eastAsia"/>
          <w:color w:val="auto"/>
          <w:highlight w:val="none"/>
        </w:rPr>
        <w:t>２</w:t>
      </w:r>
      <w:r>
        <w:rPr>
          <w:rFonts w:hint="default"/>
          <w:color w:val="auto"/>
          <w:highlight w:val="none"/>
        </w:rPr>
        <w:t>）</w:t>
      </w:r>
      <w:r>
        <w:rPr>
          <w:rFonts w:hint="eastAsia"/>
          <w:color w:val="auto"/>
          <w:highlight w:val="none"/>
        </w:rPr>
        <w:t xml:space="preserve"> </w:t>
      </w:r>
      <w:r>
        <w:rPr>
          <w:rFonts w:hint="eastAsia"/>
          <w:color w:val="auto"/>
          <w:highlight w:val="none"/>
        </w:rPr>
        <w:t>要支援・要介護認定者数の推計</w:t>
      </w:r>
      <w:bookmarkEnd w:id="143"/>
      <w:bookmarkEnd w:id="144"/>
    </w:p>
    <w:p>
      <w:pPr>
        <w:pStyle w:val="46"/>
        <w:rPr>
          <w:rFonts w:hint="default"/>
          <w:color w:val="auto"/>
          <w:highlight w:val="none"/>
        </w:rPr>
      </w:pPr>
      <w:r>
        <w:rPr>
          <w:rFonts w:hint="eastAsia"/>
          <w:color w:val="auto"/>
          <w:highlight w:val="none"/>
          <w:shd w:val="clear" w:color="auto" w:themeFill="background1" w:themeFillTint="FF" w:themeFillShade="FF"/>
        </w:rPr>
        <w:t>本市の第９期計画期間中における要支援・要介護認定者数は増加し、最終年度の令和８（</w:t>
      </w:r>
      <w:r>
        <w:rPr>
          <w:rFonts w:hint="eastAsia"/>
          <w:color w:val="auto"/>
          <w:highlight w:val="none"/>
          <w:shd w:val="clear" w:color="auto" w:themeFill="background1" w:themeFillTint="FF" w:themeFillShade="FF"/>
        </w:rPr>
        <w:t>2026</w:t>
      </w:r>
      <w:r>
        <w:rPr>
          <w:rFonts w:hint="eastAsia"/>
          <w:color w:val="auto"/>
          <w:highlight w:val="none"/>
          <w:shd w:val="clear" w:color="auto" w:themeFill="background1" w:themeFillTint="FF" w:themeFillShade="FF"/>
        </w:rPr>
        <w:t>）年度には</w:t>
      </w:r>
      <w:r>
        <w:rPr>
          <w:rFonts w:hint="eastAsia"/>
          <w:color w:val="auto"/>
          <w:highlight w:val="none"/>
          <w:shd w:val="clear" w:color="auto" w:themeFill="background1" w:themeFillTint="FF" w:themeFillShade="FF"/>
        </w:rPr>
        <w:t>7,148</w:t>
      </w:r>
      <w:r>
        <w:rPr>
          <w:rFonts w:hint="eastAsia"/>
          <w:color w:val="auto"/>
          <w:highlight w:val="none"/>
          <w:shd w:val="clear" w:color="auto" w:themeFill="background1" w:themeFillTint="FF" w:themeFillShade="FF"/>
        </w:rPr>
        <w:t>人となり、令和５（</w:t>
      </w:r>
      <w:r>
        <w:rPr>
          <w:rFonts w:hint="eastAsia"/>
          <w:color w:val="auto"/>
          <w:highlight w:val="none"/>
          <w:shd w:val="clear" w:color="auto" w:themeFill="background1" w:themeFillTint="FF" w:themeFillShade="FF"/>
        </w:rPr>
        <w:t>2023</w:t>
      </w:r>
      <w:r>
        <w:rPr>
          <w:rFonts w:hint="eastAsia"/>
          <w:color w:val="auto"/>
          <w:highlight w:val="none"/>
          <w:shd w:val="clear" w:color="auto" w:themeFill="background1" w:themeFillTint="FF" w:themeFillShade="FF"/>
        </w:rPr>
        <w:t>）年度と比較すると</w:t>
      </w:r>
      <w:r>
        <w:rPr>
          <w:rFonts w:hint="eastAsia"/>
          <w:color w:val="auto"/>
          <w:highlight w:val="none"/>
          <w:shd w:val="clear" w:color="auto" w:themeFill="background1" w:themeFillTint="FF" w:themeFillShade="FF"/>
        </w:rPr>
        <w:t>479</w:t>
      </w:r>
      <w:r>
        <w:rPr>
          <w:rFonts w:hint="eastAsia"/>
          <w:color w:val="auto"/>
          <w:highlight w:val="none"/>
          <w:shd w:val="clear" w:color="auto" w:themeFill="background1" w:themeFillTint="FF" w:themeFillShade="FF"/>
        </w:rPr>
        <w:t>人増加すると見込まれます。</w:t>
      </w:r>
    </w:p>
    <w:p>
      <w:pPr>
        <w:pStyle w:val="46"/>
        <w:rPr>
          <w:rFonts w:hint="default"/>
          <w:color w:val="auto"/>
          <w:highlight w:val="none"/>
        </w:rPr>
      </w:pPr>
      <w:r>
        <w:rPr>
          <w:rFonts w:hint="eastAsia"/>
          <w:color w:val="auto"/>
          <w:highlight w:val="none"/>
          <w:shd w:val="clear" w:color="auto" w:themeFill="background1" w:themeFillTint="FF" w:themeFillShade="FF"/>
        </w:rPr>
        <w:t>第９期計画期間以降については、令和５（</w:t>
      </w:r>
      <w:r>
        <w:rPr>
          <w:rFonts w:hint="eastAsia"/>
          <w:color w:val="auto"/>
          <w:highlight w:val="none"/>
          <w:shd w:val="clear" w:color="auto" w:themeFill="background1" w:themeFillTint="FF" w:themeFillShade="FF"/>
        </w:rPr>
        <w:t>2023</w:t>
      </w:r>
      <w:r>
        <w:rPr>
          <w:rFonts w:hint="eastAsia"/>
          <w:color w:val="auto"/>
          <w:highlight w:val="none"/>
          <w:shd w:val="clear" w:color="auto" w:themeFill="background1" w:themeFillTint="FF" w:themeFillShade="FF"/>
        </w:rPr>
        <w:t>）年度と比較すると令和７（</w:t>
      </w:r>
      <w:r>
        <w:rPr>
          <w:rFonts w:hint="eastAsia"/>
          <w:color w:val="auto"/>
          <w:highlight w:val="none"/>
          <w:shd w:val="clear" w:color="auto" w:themeFill="background1" w:themeFillTint="FF" w:themeFillShade="FF"/>
        </w:rPr>
        <w:t>2025</w:t>
      </w:r>
      <w:r>
        <w:rPr>
          <w:rFonts w:hint="eastAsia"/>
          <w:color w:val="auto"/>
          <w:highlight w:val="none"/>
          <w:shd w:val="clear" w:color="auto" w:themeFill="background1" w:themeFillTint="FF" w:themeFillShade="FF"/>
        </w:rPr>
        <w:t>）年度は</w:t>
      </w:r>
      <w:r>
        <w:rPr>
          <w:rFonts w:hint="eastAsia"/>
          <w:color w:val="auto"/>
          <w:highlight w:val="none"/>
          <w:shd w:val="clear" w:color="auto" w:themeFill="background1" w:themeFillTint="FF" w:themeFillShade="FF"/>
        </w:rPr>
        <w:t>323</w:t>
      </w:r>
      <w:r>
        <w:rPr>
          <w:rFonts w:hint="eastAsia"/>
          <w:color w:val="auto"/>
          <w:highlight w:val="none"/>
          <w:shd w:val="clear" w:color="auto" w:themeFill="background1" w:themeFillTint="FF" w:themeFillShade="FF"/>
        </w:rPr>
        <w:t>人増加、令和</w:t>
      </w:r>
      <w:r>
        <w:rPr>
          <w:rFonts w:hint="eastAsia"/>
          <w:color w:val="auto"/>
          <w:highlight w:val="none"/>
          <w:shd w:val="clear" w:color="auto" w:themeFill="background1" w:themeFillTint="FF" w:themeFillShade="FF"/>
        </w:rPr>
        <w:t>22</w:t>
      </w:r>
      <w:r>
        <w:rPr>
          <w:rFonts w:hint="eastAsia"/>
          <w:color w:val="auto"/>
          <w:highlight w:val="none"/>
          <w:shd w:val="clear" w:color="auto" w:themeFill="background1" w:themeFillTint="FF" w:themeFillShade="FF"/>
        </w:rPr>
        <w:t>（</w:t>
      </w:r>
      <w:r>
        <w:rPr>
          <w:rFonts w:hint="eastAsia"/>
          <w:color w:val="auto"/>
          <w:highlight w:val="none"/>
          <w:shd w:val="clear" w:color="auto" w:themeFill="background1" w:themeFillTint="FF" w:themeFillShade="FF"/>
        </w:rPr>
        <w:t>2040</w:t>
      </w:r>
      <w:r>
        <w:rPr>
          <w:rFonts w:hint="eastAsia"/>
          <w:color w:val="auto"/>
          <w:highlight w:val="none"/>
          <w:shd w:val="clear" w:color="auto" w:themeFill="background1" w:themeFillTint="FF" w:themeFillShade="FF"/>
        </w:rPr>
        <w:t>）年度は</w:t>
      </w:r>
      <w:r>
        <w:rPr>
          <w:rFonts w:hint="eastAsia"/>
          <w:color w:val="auto"/>
          <w:highlight w:val="none"/>
          <w:shd w:val="clear" w:color="auto" w:themeFill="background1" w:themeFillTint="FF" w:themeFillShade="FF"/>
        </w:rPr>
        <w:t>2,289</w:t>
      </w:r>
      <w:r>
        <w:rPr>
          <w:rFonts w:hint="eastAsia"/>
          <w:color w:val="auto"/>
          <w:highlight w:val="none"/>
          <w:shd w:val="clear" w:color="auto" w:themeFill="background1" w:themeFillTint="FF" w:themeFillShade="FF"/>
        </w:rPr>
        <w:t>人増加すると見込まれます。</w:t>
      </w:r>
    </w:p>
    <w:p>
      <w:pPr>
        <w:pStyle w:val="46"/>
        <w:rPr>
          <w:rFonts w:hint="default"/>
          <w:color w:val="auto"/>
          <w:highlight w:val="none"/>
        </w:rPr>
      </w:pPr>
      <w:r>
        <w:rPr>
          <w:rFonts w:hint="eastAsia"/>
          <w:color w:val="auto"/>
          <w:highlight w:val="none"/>
          <w:shd w:val="clear" w:color="auto" w:themeFill="background1" w:themeFillTint="FF" w:themeFillShade="FF"/>
        </w:rPr>
        <w:t>日常生活圏域別では、第９期計画期間の要支援・要介護認定者数は、吉和圏域を除く圏域で増加すると見込まれます。令和５（</w:t>
      </w:r>
      <w:r>
        <w:rPr>
          <w:rFonts w:hint="eastAsia"/>
          <w:color w:val="auto"/>
          <w:highlight w:val="none"/>
          <w:shd w:val="clear" w:color="auto" w:themeFill="background1" w:themeFillTint="FF" w:themeFillShade="FF"/>
        </w:rPr>
        <w:t>2023</w:t>
      </w:r>
      <w:r>
        <w:rPr>
          <w:rFonts w:hint="eastAsia"/>
          <w:color w:val="auto"/>
          <w:highlight w:val="none"/>
          <w:shd w:val="clear" w:color="auto" w:themeFill="background1" w:themeFillTint="FF" w:themeFillShade="FF"/>
        </w:rPr>
        <w:t>）年度と令和８（</w:t>
      </w:r>
      <w:r>
        <w:rPr>
          <w:rFonts w:hint="eastAsia"/>
          <w:color w:val="auto"/>
          <w:highlight w:val="none"/>
          <w:shd w:val="clear" w:color="auto" w:themeFill="background1" w:themeFillTint="FF" w:themeFillShade="FF"/>
        </w:rPr>
        <w:t>2026</w:t>
      </w:r>
      <w:r>
        <w:rPr>
          <w:rFonts w:hint="eastAsia"/>
          <w:color w:val="auto"/>
          <w:highlight w:val="none"/>
          <w:shd w:val="clear" w:color="auto" w:themeFill="background1" w:themeFillTint="FF" w:themeFillShade="FF"/>
        </w:rPr>
        <w:t>）年度を比較すると、廿日市中部では</w:t>
      </w:r>
      <w:r>
        <w:rPr>
          <w:rFonts w:hint="eastAsia"/>
          <w:color w:val="auto"/>
          <w:highlight w:val="none"/>
          <w:shd w:val="clear" w:color="auto" w:themeFill="background1" w:themeFillTint="FF" w:themeFillShade="FF"/>
        </w:rPr>
        <w:t>141</w:t>
      </w:r>
      <w:r>
        <w:rPr>
          <w:rFonts w:hint="eastAsia"/>
          <w:color w:val="auto"/>
          <w:highlight w:val="none"/>
          <w:shd w:val="clear" w:color="auto" w:themeFill="background1" w:themeFillTint="FF" w:themeFillShade="FF"/>
        </w:rPr>
        <w:t>人増加の</w:t>
      </w:r>
      <w:r>
        <w:rPr>
          <w:rFonts w:hint="eastAsia"/>
          <w:color w:val="auto"/>
          <w:highlight w:val="none"/>
          <w:shd w:val="clear" w:color="auto" w:themeFill="background1" w:themeFillTint="FF" w:themeFillShade="FF"/>
        </w:rPr>
        <w:t>12.1</w:t>
      </w:r>
      <w:r>
        <w:rPr>
          <w:rFonts w:hint="eastAsia"/>
          <w:color w:val="auto"/>
          <w:highlight w:val="none"/>
          <w:shd w:val="clear" w:color="auto" w:themeFill="background1" w:themeFillTint="FF" w:themeFillShade="FF"/>
        </w:rPr>
        <w:t>％増、廿日市西部では</w:t>
      </w:r>
      <w:r>
        <w:rPr>
          <w:rFonts w:hint="eastAsia"/>
          <w:color w:val="auto"/>
          <w:highlight w:val="none"/>
          <w:shd w:val="clear" w:color="auto" w:themeFill="background1" w:themeFillTint="FF" w:themeFillShade="FF"/>
        </w:rPr>
        <w:t>133</w:t>
      </w:r>
      <w:r>
        <w:rPr>
          <w:rFonts w:hint="eastAsia"/>
          <w:color w:val="auto"/>
          <w:highlight w:val="none"/>
          <w:shd w:val="clear" w:color="auto" w:themeFill="background1" w:themeFillTint="FF" w:themeFillShade="FF"/>
        </w:rPr>
        <w:t>人増加の</w:t>
      </w:r>
      <w:r>
        <w:rPr>
          <w:rFonts w:hint="eastAsia"/>
          <w:color w:val="auto"/>
          <w:highlight w:val="none"/>
          <w:shd w:val="clear" w:color="auto" w:themeFill="background1" w:themeFillTint="FF" w:themeFillShade="FF"/>
        </w:rPr>
        <w:t>10.2</w:t>
      </w:r>
      <w:r>
        <w:rPr>
          <w:rFonts w:hint="eastAsia"/>
          <w:color w:val="auto"/>
          <w:highlight w:val="none"/>
          <w:shd w:val="clear" w:color="auto" w:themeFill="background1" w:themeFillTint="FF" w:themeFillShade="FF"/>
        </w:rPr>
        <w:t>％増となるなど、他の地域より高くなっています。</w:t>
      </w:r>
    </w:p>
    <w:p>
      <w:pPr>
        <w:pStyle w:val="79"/>
        <w:spacing w:before="190" w:beforeLines="0" w:beforeAutospacing="0"/>
        <w:rPr>
          <w:rFonts w:hint="default"/>
          <w:color w:val="auto"/>
          <w:highlight w:val="none"/>
        </w:rPr>
      </w:pPr>
      <w:r>
        <w:rPr>
          <w:rFonts w:hint="eastAsia"/>
          <w:color w:val="auto"/>
          <w:highlight w:val="none"/>
        </w:rPr>
        <w:t>図表　要支援・要介護認定者数の推移・推計</w:t>
      </w:r>
    </w:p>
    <w:p>
      <w:pPr>
        <w:pStyle w:val="0"/>
        <w:widowControl w:val="1"/>
        <w:autoSpaceDE w:val="0"/>
        <w:autoSpaceDN w:val="0"/>
        <w:spacing w:after="37" w:afterLines="10" w:afterAutospacing="0" w:line="240" w:lineRule="exact"/>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sz w:val="18"/>
          <w:highlight w:val="none"/>
        </w:rPr>
        <w:t>（単位：人）</w:t>
      </w:r>
    </w:p>
    <w:tbl>
      <w:tblPr>
        <w:tblStyle w:val="89"/>
        <w:tblW w:w="8646" w:type="dxa"/>
        <w:tblInd w:w="534" w:type="dxa"/>
        <w:tblLayout w:type="fixed"/>
        <w:tblLook w:firstRow="1" w:lastRow="0" w:firstColumn="1" w:lastColumn="0" w:noHBand="0" w:noVBand="1" w:val="04A0"/>
      </w:tblPr>
      <w:tblGrid>
        <w:gridCol w:w="1205"/>
        <w:gridCol w:w="1063"/>
        <w:gridCol w:w="1063"/>
        <w:gridCol w:w="1063"/>
        <w:gridCol w:w="1063"/>
        <w:gridCol w:w="1063"/>
        <w:gridCol w:w="1063"/>
        <w:gridCol w:w="1063"/>
      </w:tblGrid>
      <w:tr>
        <w:trPr/>
        <w:tc>
          <w:tcPr>
            <w:tcW w:w="1205" w:type="dxa"/>
            <w:vMerge w:val="restart"/>
            <w:shd w:val="clear" w:color="auto" w:fill="CCECFF"/>
            <w:vAlign w:val="center"/>
          </w:tcPr>
          <w:p>
            <w:pPr>
              <w:pStyle w:val="0"/>
              <w:autoSpaceDE w:val="0"/>
              <w:autoSpaceDN w:val="0"/>
              <w:spacing w:line="240" w:lineRule="exact"/>
              <w:jc w:val="center"/>
              <w:rPr>
                <w:rFonts w:hint="default" w:ascii="ＭＳ Ｐゴシック" w:hAnsi="ＭＳ Ｐゴシック" w:eastAsia="ＭＳ Ｐゴシック"/>
                <w:color w:val="auto"/>
                <w:kern w:val="24"/>
                <w:sz w:val="18"/>
                <w:highlight w:val="none"/>
              </w:rPr>
            </w:pPr>
          </w:p>
        </w:tc>
        <w:tc>
          <w:tcPr>
            <w:tcW w:w="3189" w:type="dxa"/>
            <w:gridSpan w:val="3"/>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第</w:t>
            </w:r>
            <w:r>
              <w:rPr>
                <w:rFonts w:hint="eastAsia" w:ascii="ＭＳ Ｐゴシック" w:hAnsi="ＭＳ Ｐゴシック" w:eastAsia="ＭＳ Ｐゴシック"/>
                <w:color w:val="auto"/>
                <w:kern w:val="24"/>
                <w:sz w:val="18"/>
                <w:highlight w:val="none"/>
              </w:rPr>
              <w:t>8</w:t>
            </w:r>
            <w:r>
              <w:rPr>
                <w:rFonts w:hint="eastAsia" w:ascii="ＭＳ Ｐゴシック" w:hAnsi="ＭＳ Ｐゴシック" w:eastAsia="ＭＳ Ｐゴシック"/>
                <w:color w:val="auto"/>
                <w:kern w:val="24"/>
                <w:sz w:val="18"/>
                <w:highlight w:val="none"/>
              </w:rPr>
              <w:t>期</w:t>
            </w:r>
          </w:p>
        </w:tc>
        <w:tc>
          <w:tcPr>
            <w:tcW w:w="3189" w:type="dxa"/>
            <w:gridSpan w:val="3"/>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第</w:t>
            </w:r>
            <w:r>
              <w:rPr>
                <w:rFonts w:hint="eastAsia" w:ascii="ＭＳ Ｐゴシック" w:hAnsi="ＭＳ Ｐゴシック" w:eastAsia="ＭＳ Ｐゴシック"/>
                <w:color w:val="auto"/>
                <w:kern w:val="24"/>
                <w:sz w:val="18"/>
                <w:highlight w:val="none"/>
              </w:rPr>
              <w:t>9</w:t>
            </w:r>
            <w:r>
              <w:rPr>
                <w:rFonts w:hint="eastAsia" w:ascii="ＭＳ Ｐゴシック" w:hAnsi="ＭＳ Ｐゴシック" w:eastAsia="ＭＳ Ｐゴシック"/>
                <w:color w:val="auto"/>
                <w:kern w:val="24"/>
                <w:sz w:val="18"/>
                <w:highlight w:val="none"/>
              </w:rPr>
              <w:t>期</w:t>
            </w:r>
          </w:p>
        </w:tc>
        <w:tc>
          <w:tcPr>
            <w:tcW w:w="1063"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22</w:t>
            </w:r>
            <w:r>
              <w:rPr>
                <w:rFonts w:hint="eastAsia" w:ascii="ＭＳ Ｐゴシック" w:hAnsi="ＭＳ Ｐゴシック" w:eastAsia="ＭＳ Ｐゴシック"/>
                <w:color w:val="auto"/>
                <w:kern w:val="24"/>
                <w:sz w:val="18"/>
                <w:highlight w:val="none"/>
              </w:rPr>
              <w:t>年度</w:t>
            </w:r>
          </w:p>
          <w:p>
            <w:pPr>
              <w:pStyle w:val="0"/>
              <w:autoSpaceDE w:val="0"/>
              <w:autoSpaceDN w:val="0"/>
              <w:spacing w:line="22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2040</w:t>
            </w:r>
            <w:r>
              <w:rPr>
                <w:rFonts w:hint="eastAsia" w:ascii="ＭＳ Ｐゴシック" w:hAnsi="ＭＳ Ｐゴシック" w:eastAsia="ＭＳ Ｐゴシック"/>
                <w:color w:val="auto"/>
                <w:kern w:val="24"/>
                <w:sz w:val="18"/>
                <w:highlight w:val="none"/>
              </w:rPr>
              <w:t>年度）</w:t>
            </w:r>
          </w:p>
        </w:tc>
      </w:tr>
      <w:tr>
        <w:trPr>
          <w:trHeight w:val="567" w:hRule="atLeast"/>
        </w:trPr>
        <w:tc>
          <w:tcPr>
            <w:tcW w:w="1205" w:type="dxa"/>
            <w:vMerge w:val="continue"/>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kern w:val="24"/>
                <w:sz w:val="18"/>
              </w:rPr>
            </w:pPr>
          </w:p>
        </w:tc>
        <w:tc>
          <w:tcPr>
            <w:tcW w:w="1063"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3</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2021</w:t>
            </w:r>
            <w:r>
              <w:rPr>
                <w:rFonts w:hint="eastAsia" w:ascii="ＭＳ Ｐゴシック" w:hAnsi="ＭＳ Ｐゴシック" w:eastAsia="ＭＳ Ｐゴシック"/>
                <w:color w:val="auto"/>
                <w:kern w:val="24"/>
                <w:sz w:val="18"/>
                <w:highlight w:val="none"/>
              </w:rPr>
              <w:t>年度）</w:t>
            </w:r>
          </w:p>
        </w:tc>
        <w:tc>
          <w:tcPr>
            <w:tcW w:w="1063"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4</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2022</w:t>
            </w:r>
            <w:r>
              <w:rPr>
                <w:rFonts w:hint="eastAsia" w:ascii="ＭＳ Ｐゴシック" w:hAnsi="ＭＳ Ｐゴシック" w:eastAsia="ＭＳ Ｐゴシック"/>
                <w:color w:val="auto"/>
                <w:kern w:val="24"/>
                <w:sz w:val="18"/>
                <w:highlight w:val="none"/>
              </w:rPr>
              <w:t>年度）</w:t>
            </w:r>
          </w:p>
        </w:tc>
        <w:tc>
          <w:tcPr>
            <w:tcW w:w="1063"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5</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2023</w:t>
            </w:r>
            <w:r>
              <w:rPr>
                <w:rFonts w:hint="eastAsia" w:ascii="ＭＳ Ｐゴシック" w:hAnsi="ＭＳ Ｐゴシック" w:eastAsia="ＭＳ Ｐゴシック"/>
                <w:color w:val="auto"/>
                <w:kern w:val="24"/>
                <w:sz w:val="18"/>
                <w:highlight w:val="none"/>
              </w:rPr>
              <w:t>年度）</w:t>
            </w:r>
          </w:p>
        </w:tc>
        <w:tc>
          <w:tcPr>
            <w:tcW w:w="1063"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6</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2024</w:t>
            </w:r>
            <w:r>
              <w:rPr>
                <w:rFonts w:hint="eastAsia" w:ascii="ＭＳ Ｐゴシック" w:hAnsi="ＭＳ Ｐゴシック" w:eastAsia="ＭＳ Ｐゴシック"/>
                <w:color w:val="auto"/>
                <w:kern w:val="24"/>
                <w:sz w:val="18"/>
                <w:highlight w:val="none"/>
              </w:rPr>
              <w:t>年度）</w:t>
            </w:r>
          </w:p>
        </w:tc>
        <w:tc>
          <w:tcPr>
            <w:tcW w:w="1063"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7</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2025</w:t>
            </w:r>
            <w:r>
              <w:rPr>
                <w:rFonts w:hint="eastAsia" w:ascii="ＭＳ Ｐゴシック" w:hAnsi="ＭＳ Ｐゴシック" w:eastAsia="ＭＳ Ｐゴシック"/>
                <w:color w:val="auto"/>
                <w:kern w:val="24"/>
                <w:sz w:val="18"/>
                <w:highlight w:val="none"/>
              </w:rPr>
              <w:t>年度）</w:t>
            </w:r>
          </w:p>
        </w:tc>
        <w:tc>
          <w:tcPr>
            <w:tcW w:w="1063" w:type="dxa"/>
            <w:tcBorders>
              <w:top w:val="none" w:color="auto" w:sz="0" w:space="0"/>
              <w:left w:val="none" w:color="auto" w:sz="0" w:space="0"/>
              <w:bottom w:val="single" w:color="auto" w:sz="4" w:space="0"/>
              <w:right w:val="double" w:color="auto" w:sz="4"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8</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2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2026</w:t>
            </w:r>
            <w:r>
              <w:rPr>
                <w:rFonts w:hint="eastAsia" w:ascii="ＭＳ Ｐゴシック" w:hAnsi="ＭＳ Ｐゴシック" w:eastAsia="ＭＳ Ｐゴシック"/>
                <w:color w:val="auto"/>
                <w:kern w:val="24"/>
                <w:sz w:val="18"/>
                <w:highlight w:val="none"/>
              </w:rPr>
              <w:t>年度）</w:t>
            </w:r>
          </w:p>
        </w:tc>
        <w:tc>
          <w:tcPr>
            <w:tcW w:w="1063" w:type="dxa"/>
            <w:vMerge w:val="continue"/>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CCECFF"/>
            <w:vAlign w:val="top"/>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kern w:val="24"/>
                <w:sz w:val="18"/>
              </w:rPr>
            </w:pPr>
          </w:p>
        </w:tc>
      </w:tr>
      <w:tr>
        <w:trPr>
          <w:trHeight w:val="340" w:hRule="atLeast"/>
        </w:trPr>
        <w:tc>
          <w:tcPr>
            <w:tcW w:w="1205" w:type="dxa"/>
            <w:tcBorders>
              <w:top w:val="nil"/>
              <w:left w:val="none" w:color="auto" w:sz="0" w:space="0"/>
              <w:bottom w:val="none" w:color="auto" w:sz="0" w:space="0"/>
              <w:right w:val="single" w:color="auto" w:sz="4" w:space="0"/>
              <w:tl2br w:val="none" w:color="auto" w:sz="0" w:space="0"/>
              <w:tr2bl w:val="none" w:color="auto" w:sz="0" w:space="0"/>
            </w:tcBorders>
            <w:vAlign w:val="center"/>
          </w:tcPr>
          <w:p>
            <w:pPr>
              <w:pStyle w:val="0"/>
              <w:autoSpaceDE w:val="0"/>
              <w:autoSpaceDN w:val="0"/>
              <w:spacing w:line="240" w:lineRule="exact"/>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要支援</w:t>
            </w:r>
            <w:r>
              <w:rPr>
                <w:rFonts w:hint="eastAsia" w:ascii="ＭＳ Ｐゴシック" w:hAnsi="ＭＳ Ｐゴシック" w:eastAsia="ＭＳ Ｐゴシック"/>
                <w:color w:val="auto"/>
                <w:kern w:val="24"/>
                <w:sz w:val="18"/>
                <w:highlight w:val="none"/>
              </w:rPr>
              <w:t>1</w:t>
            </w:r>
          </w:p>
        </w:tc>
        <w:tc>
          <w:tcPr>
            <w:tcW w:w="10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1,150 </w:t>
            </w:r>
          </w:p>
        </w:tc>
        <w:tc>
          <w:tcPr>
            <w:tcW w:w="106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1,179 </w:t>
            </w:r>
          </w:p>
        </w:tc>
        <w:tc>
          <w:tcPr>
            <w:tcW w:w="106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1,187 </w:t>
            </w:r>
          </w:p>
        </w:tc>
        <w:tc>
          <w:tcPr>
            <w:tcW w:w="10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1,218 </w:t>
            </w:r>
          </w:p>
        </w:tc>
        <w:tc>
          <w:tcPr>
            <w:tcW w:w="106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1,244 </w:t>
            </w:r>
          </w:p>
        </w:tc>
        <w:tc>
          <w:tcPr>
            <w:tcW w:w="1063"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1,272 </w:t>
            </w:r>
          </w:p>
        </w:tc>
        <w:tc>
          <w:tcPr>
            <w:tcW w:w="1063"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1,495 </w:t>
            </w:r>
          </w:p>
        </w:tc>
      </w:tr>
      <w:tr>
        <w:trPr>
          <w:trHeight w:val="340" w:hRule="atLeast"/>
        </w:trPr>
        <w:tc>
          <w:tcPr>
            <w:tcW w:w="120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要支援</w:t>
            </w:r>
            <w:r>
              <w:rPr>
                <w:rFonts w:hint="eastAsia" w:ascii="ＭＳ Ｐゴシック" w:hAnsi="ＭＳ Ｐゴシック" w:eastAsia="ＭＳ Ｐゴシック"/>
                <w:color w:val="auto"/>
                <w:kern w:val="24"/>
                <w:sz w:val="18"/>
                <w:highlight w:val="none"/>
              </w:rPr>
              <w:t>2</w:t>
            </w:r>
          </w:p>
        </w:tc>
        <w:tc>
          <w:tcPr>
            <w:tcW w:w="10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922 </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902 </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915 </w:t>
            </w:r>
          </w:p>
        </w:tc>
        <w:tc>
          <w:tcPr>
            <w:tcW w:w="10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937 </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956 </w:t>
            </w:r>
          </w:p>
        </w:tc>
        <w:tc>
          <w:tcPr>
            <w:tcW w:w="1063"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978 </w:t>
            </w:r>
          </w:p>
        </w:tc>
        <w:tc>
          <w:tcPr>
            <w:tcW w:w="1063"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1,180 </w:t>
            </w:r>
          </w:p>
        </w:tc>
      </w:tr>
      <w:tr>
        <w:trPr>
          <w:trHeight w:val="340" w:hRule="atLeast"/>
        </w:trPr>
        <w:tc>
          <w:tcPr>
            <w:tcW w:w="120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要介護</w:t>
            </w:r>
            <w:r>
              <w:rPr>
                <w:rFonts w:hint="eastAsia" w:ascii="ＭＳ Ｐゴシック" w:hAnsi="ＭＳ Ｐゴシック" w:eastAsia="ＭＳ Ｐゴシック"/>
                <w:color w:val="auto"/>
                <w:kern w:val="24"/>
                <w:sz w:val="18"/>
                <w:highlight w:val="none"/>
              </w:rPr>
              <w:t>1</w:t>
            </w:r>
          </w:p>
        </w:tc>
        <w:tc>
          <w:tcPr>
            <w:tcW w:w="10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1,489 </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1,501 </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1,483 </w:t>
            </w:r>
          </w:p>
        </w:tc>
        <w:tc>
          <w:tcPr>
            <w:tcW w:w="10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1,520 </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1,557 </w:t>
            </w:r>
          </w:p>
        </w:tc>
        <w:tc>
          <w:tcPr>
            <w:tcW w:w="1063"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1,590 </w:t>
            </w:r>
          </w:p>
        </w:tc>
        <w:tc>
          <w:tcPr>
            <w:tcW w:w="1063"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2,022 </w:t>
            </w:r>
          </w:p>
        </w:tc>
      </w:tr>
      <w:tr>
        <w:trPr>
          <w:trHeight w:val="340" w:hRule="atLeast"/>
        </w:trPr>
        <w:tc>
          <w:tcPr>
            <w:tcW w:w="120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要介護</w:t>
            </w:r>
            <w:r>
              <w:rPr>
                <w:rFonts w:hint="eastAsia" w:ascii="ＭＳ Ｐゴシック" w:hAnsi="ＭＳ Ｐゴシック" w:eastAsia="ＭＳ Ｐゴシック"/>
                <w:color w:val="auto"/>
                <w:kern w:val="24"/>
                <w:sz w:val="18"/>
                <w:highlight w:val="none"/>
              </w:rPr>
              <w:t>2</w:t>
            </w:r>
          </w:p>
        </w:tc>
        <w:tc>
          <w:tcPr>
            <w:tcW w:w="10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1,041 </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1,087 </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1,071 </w:t>
            </w:r>
          </w:p>
        </w:tc>
        <w:tc>
          <w:tcPr>
            <w:tcW w:w="10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1,096 </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1,122 </w:t>
            </w:r>
          </w:p>
        </w:tc>
        <w:tc>
          <w:tcPr>
            <w:tcW w:w="1063"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1,146 </w:t>
            </w:r>
          </w:p>
        </w:tc>
        <w:tc>
          <w:tcPr>
            <w:tcW w:w="1063"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1,451 </w:t>
            </w:r>
          </w:p>
        </w:tc>
      </w:tr>
      <w:tr>
        <w:trPr>
          <w:trHeight w:val="340" w:hRule="atLeast"/>
        </w:trPr>
        <w:tc>
          <w:tcPr>
            <w:tcW w:w="120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要介護</w:t>
            </w:r>
            <w:r>
              <w:rPr>
                <w:rFonts w:hint="eastAsia" w:ascii="ＭＳ Ｐゴシック" w:hAnsi="ＭＳ Ｐゴシック" w:eastAsia="ＭＳ Ｐゴシック"/>
                <w:color w:val="auto"/>
                <w:kern w:val="24"/>
                <w:sz w:val="18"/>
                <w:highlight w:val="none"/>
              </w:rPr>
              <w:t>3</w:t>
            </w:r>
          </w:p>
        </w:tc>
        <w:tc>
          <w:tcPr>
            <w:tcW w:w="10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795 </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803 </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773 </w:t>
            </w:r>
          </w:p>
        </w:tc>
        <w:tc>
          <w:tcPr>
            <w:tcW w:w="10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794 </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813 </w:t>
            </w:r>
          </w:p>
        </w:tc>
        <w:tc>
          <w:tcPr>
            <w:tcW w:w="1063"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832 </w:t>
            </w:r>
          </w:p>
        </w:tc>
        <w:tc>
          <w:tcPr>
            <w:tcW w:w="1063"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1,068 </w:t>
            </w:r>
          </w:p>
        </w:tc>
      </w:tr>
      <w:tr>
        <w:trPr>
          <w:trHeight w:val="340" w:hRule="atLeast"/>
        </w:trPr>
        <w:tc>
          <w:tcPr>
            <w:tcW w:w="120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要介護</w:t>
            </w:r>
            <w:r>
              <w:rPr>
                <w:rFonts w:hint="eastAsia" w:ascii="ＭＳ Ｐゴシック" w:hAnsi="ＭＳ Ｐゴシック" w:eastAsia="ＭＳ Ｐゴシック"/>
                <w:color w:val="auto"/>
                <w:kern w:val="24"/>
                <w:sz w:val="18"/>
                <w:highlight w:val="none"/>
              </w:rPr>
              <w:t>4</w:t>
            </w:r>
          </w:p>
        </w:tc>
        <w:tc>
          <w:tcPr>
            <w:tcW w:w="10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642 </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655 </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679 </w:t>
            </w:r>
          </w:p>
        </w:tc>
        <w:tc>
          <w:tcPr>
            <w:tcW w:w="10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696 </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713 </w:t>
            </w:r>
          </w:p>
        </w:tc>
        <w:tc>
          <w:tcPr>
            <w:tcW w:w="1063"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731 </w:t>
            </w:r>
          </w:p>
        </w:tc>
        <w:tc>
          <w:tcPr>
            <w:tcW w:w="1063"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962 </w:t>
            </w:r>
          </w:p>
        </w:tc>
      </w:tr>
      <w:tr>
        <w:trPr>
          <w:trHeight w:val="340" w:hRule="atLeast"/>
        </w:trPr>
        <w:tc>
          <w:tcPr>
            <w:tcW w:w="120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要介護</w:t>
            </w:r>
            <w:r>
              <w:rPr>
                <w:rFonts w:hint="eastAsia" w:ascii="ＭＳ Ｐゴシック" w:hAnsi="ＭＳ Ｐゴシック" w:eastAsia="ＭＳ Ｐゴシック"/>
                <w:color w:val="auto"/>
                <w:kern w:val="24"/>
                <w:sz w:val="18"/>
                <w:highlight w:val="none"/>
              </w:rPr>
              <w:t>5</w:t>
            </w:r>
          </w:p>
        </w:tc>
        <w:tc>
          <w:tcPr>
            <w:tcW w:w="10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497 </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513 </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561 </w:t>
            </w:r>
          </w:p>
        </w:tc>
        <w:tc>
          <w:tcPr>
            <w:tcW w:w="10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572 </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587 </w:t>
            </w:r>
          </w:p>
        </w:tc>
        <w:tc>
          <w:tcPr>
            <w:tcW w:w="1063"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599 </w:t>
            </w:r>
          </w:p>
        </w:tc>
        <w:tc>
          <w:tcPr>
            <w:tcW w:w="1063"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780 </w:t>
            </w:r>
          </w:p>
        </w:tc>
      </w:tr>
      <w:tr>
        <w:trPr>
          <w:trHeight w:val="340" w:hRule="atLeast"/>
        </w:trPr>
        <w:tc>
          <w:tcPr>
            <w:tcW w:w="120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計</w:t>
            </w:r>
          </w:p>
        </w:tc>
        <w:tc>
          <w:tcPr>
            <w:tcW w:w="10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6,536 </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6,640 </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6,669 </w:t>
            </w:r>
          </w:p>
        </w:tc>
        <w:tc>
          <w:tcPr>
            <w:tcW w:w="10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6,833 </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6,992 </w:t>
            </w:r>
          </w:p>
        </w:tc>
        <w:tc>
          <w:tcPr>
            <w:tcW w:w="1063"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7,148 </w:t>
            </w:r>
          </w:p>
        </w:tc>
        <w:tc>
          <w:tcPr>
            <w:tcW w:w="1063" w:type="dxa"/>
            <w:tcBorders>
              <w:top w:val="none" w:color="auto" w:sz="0" w:space="0"/>
              <w:left w:val="doub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default" w:ascii="ＭＳ Ｐゴシック" w:hAnsi="ＭＳ Ｐゴシック" w:eastAsia="ＭＳ Ｐゴシック"/>
                <w:color w:val="auto"/>
                <w:kern w:val="24"/>
                <w:sz w:val="18"/>
                <w:highlight w:val="none"/>
              </w:rPr>
              <w:t>8,958</w:t>
            </w:r>
          </w:p>
        </w:tc>
      </w:tr>
    </w:tbl>
    <w:p>
      <w:pPr>
        <w:pStyle w:val="41"/>
        <w:autoSpaceDE w:val="0"/>
        <w:autoSpaceDN w:val="0"/>
        <w:spacing w:before="74" w:beforeLines="20" w:beforeAutospacing="0" w:line="240" w:lineRule="exact"/>
        <w:jc w:val="right"/>
        <w:rPr>
          <w:rFonts w:hint="default" w:ascii="BIZ UDPゴシック" w:hAnsi="BIZ UDPゴシック" w:eastAsia="BIZ UDPゴシック"/>
          <w:color w:val="auto"/>
          <w:sz w:val="18"/>
          <w:highlight w:val="none"/>
        </w:rPr>
      </w:pPr>
      <w:r>
        <w:rPr>
          <w:rFonts w:hint="eastAsia" w:ascii="BIZ UDPゴシック" w:hAnsi="BIZ UDPゴシック" w:eastAsia="BIZ UDPゴシック"/>
          <w:color w:val="auto"/>
          <w:sz w:val="18"/>
          <w:highlight w:val="none"/>
        </w:rPr>
        <w:t>資料：令和</w:t>
      </w:r>
      <w:r>
        <w:rPr>
          <w:rFonts w:hint="eastAsia" w:ascii="BIZ UDPゴシック" w:hAnsi="BIZ UDPゴシック" w:eastAsia="BIZ UDPゴシック"/>
          <w:color w:val="auto"/>
          <w:sz w:val="18"/>
          <w:highlight w:val="none"/>
        </w:rPr>
        <w:t>3</w:t>
      </w:r>
      <w:r>
        <w:rPr>
          <w:rFonts w:hint="eastAsia" w:ascii="BIZ UDPゴシック" w:hAnsi="BIZ UDPゴシック" w:eastAsia="BIZ UDPゴシック"/>
          <w:color w:val="auto"/>
          <w:sz w:val="18"/>
          <w:highlight w:val="none"/>
        </w:rPr>
        <w:t>年度から令和</w:t>
      </w:r>
      <w:r>
        <w:rPr>
          <w:rFonts w:hint="eastAsia" w:ascii="BIZ UDPゴシック" w:hAnsi="BIZ UDPゴシック" w:eastAsia="BIZ UDPゴシック"/>
          <w:color w:val="auto"/>
          <w:sz w:val="18"/>
          <w:highlight w:val="none"/>
        </w:rPr>
        <w:t>5</w:t>
      </w:r>
      <w:r>
        <w:rPr>
          <w:rFonts w:hint="eastAsia" w:ascii="BIZ UDPゴシック" w:hAnsi="BIZ UDPゴシック" w:eastAsia="BIZ UDPゴシック"/>
          <w:color w:val="auto"/>
          <w:sz w:val="18"/>
          <w:highlight w:val="none"/>
        </w:rPr>
        <w:t>年度介護保険事業状況報告</w:t>
      </w:r>
      <w:r>
        <w:rPr>
          <w:rFonts w:hint="eastAsia" w:ascii="BIZ UDPゴシック" w:hAnsi="BIZ UDPゴシック" w:eastAsia="BIZ UDPゴシック"/>
          <w:color w:val="auto"/>
          <w:sz w:val="18"/>
          <w:highlight w:val="none"/>
        </w:rPr>
        <w:t>9</w:t>
      </w:r>
      <w:r>
        <w:rPr>
          <w:rFonts w:hint="eastAsia" w:ascii="BIZ UDPゴシック" w:hAnsi="BIZ UDPゴシック" w:eastAsia="BIZ UDPゴシック"/>
          <w:color w:val="auto"/>
          <w:sz w:val="18"/>
          <w:highlight w:val="none"/>
        </w:rPr>
        <w:t>月月報（各年</w:t>
      </w:r>
      <w:r>
        <w:rPr>
          <w:rFonts w:hint="eastAsia" w:ascii="BIZ UDPゴシック" w:hAnsi="BIZ UDPゴシック" w:eastAsia="BIZ UDPゴシック"/>
          <w:color w:val="auto"/>
          <w:sz w:val="18"/>
          <w:highlight w:val="none"/>
        </w:rPr>
        <w:t>9</w:t>
      </w:r>
      <w:r>
        <w:rPr>
          <w:rFonts w:hint="eastAsia" w:ascii="BIZ UDPゴシック" w:hAnsi="BIZ UDPゴシック" w:eastAsia="BIZ UDPゴシック"/>
          <w:color w:val="auto"/>
          <w:sz w:val="18"/>
          <w:highlight w:val="none"/>
        </w:rPr>
        <w:t>月末現在）・令和</w:t>
      </w:r>
      <w:r>
        <w:rPr>
          <w:rFonts w:hint="eastAsia" w:ascii="BIZ UDPゴシック" w:hAnsi="BIZ UDPゴシック" w:eastAsia="BIZ UDPゴシック"/>
          <w:color w:val="auto"/>
          <w:sz w:val="18"/>
          <w:highlight w:val="none"/>
        </w:rPr>
        <w:t>6</w:t>
      </w:r>
      <w:r>
        <w:rPr>
          <w:rFonts w:hint="eastAsia" w:ascii="BIZ UDPゴシック" w:hAnsi="BIZ UDPゴシック" w:eastAsia="BIZ UDPゴシック"/>
          <w:color w:val="auto"/>
          <w:sz w:val="18"/>
          <w:highlight w:val="none"/>
        </w:rPr>
        <w:t>年度から廿日市市推計</w:t>
      </w:r>
    </w:p>
    <w:p>
      <w:pPr>
        <w:pStyle w:val="79"/>
        <w:spacing w:before="190" w:beforeLines="0" w:beforeAutospacing="0"/>
        <w:rPr>
          <w:rFonts w:hint="default"/>
          <w:color w:val="auto"/>
          <w:highlight w:val="none"/>
        </w:rPr>
      </w:pPr>
      <w:r>
        <w:rPr>
          <w:rFonts w:hint="default"/>
          <w:color w:val="auto"/>
          <w:highlight w:val="none"/>
        </w:rPr>
        <w:drawing>
          <wp:anchor distT="0" distB="0" distL="114300" distR="114300" simplePos="0" relativeHeight="100" behindDoc="1" locked="0" layoutInCell="1" hidden="0" allowOverlap="1">
            <wp:simplePos x="0" y="0"/>
            <wp:positionH relativeFrom="column">
              <wp:posOffset>154940</wp:posOffset>
            </wp:positionH>
            <wp:positionV relativeFrom="paragraph">
              <wp:posOffset>242570</wp:posOffset>
            </wp:positionV>
            <wp:extent cx="6127115" cy="2580005"/>
            <wp:effectExtent l="0" t="0" r="0" b="0"/>
            <wp:wrapNone/>
            <wp:docPr id="1186" name="Picture 2"/>
            <a:graphic xmlns:a="http://schemas.openxmlformats.org/drawingml/2006/main">
              <a:graphicData uri="http://schemas.openxmlformats.org/drawingml/2006/picture">
                <pic:pic xmlns:pic="http://schemas.openxmlformats.org/drawingml/2006/picture">
                  <pic:nvPicPr>
                    <pic:cNvPr id="1186" name="Picture 2"/>
                    <pic:cNvPicPr>
                      <a:picLocks noChangeAspect="1" noChangeArrowheads="1"/>
                    </pic:cNvPicPr>
                  </pic:nvPicPr>
                  <pic:blipFill>
                    <a:blip r:embed="rId99"/>
                    <a:stretch>
                      <a:fillRect/>
                    </a:stretch>
                  </pic:blipFill>
                  <pic:spPr>
                    <a:xfrm>
                      <a:off x="0" y="0"/>
                      <a:ext cx="6127115" cy="2580005"/>
                    </a:xfrm>
                    <a:prstGeom prst="rect">
                      <a:avLst/>
                    </a:prstGeom>
                    <a:noFill/>
                    <a:ln>
                      <a:noFill/>
                    </a:ln>
                  </pic:spPr>
                </pic:pic>
              </a:graphicData>
            </a:graphic>
          </wp:anchor>
        </w:drawing>
      </w:r>
      <w:r>
        <w:rPr>
          <w:rFonts w:hint="eastAsia"/>
          <w:color w:val="auto"/>
          <w:highlight w:val="none"/>
        </w:rPr>
        <w:t>図表　要支援・要介護認定者数の推移・推計</w:t>
      </w:r>
    </w:p>
    <w:p>
      <w:pPr>
        <w:pStyle w:val="41"/>
        <w:autoSpaceDE w:val="0"/>
        <w:autoSpaceDN w:val="0"/>
        <w:rPr>
          <w:rFonts w:hint="default"/>
          <w:color w:val="auto"/>
          <w:highlight w:val="none"/>
          <w:shd w:val="clear" w:color="auto" w:themeFill="background1" w:themeFillTint="FF" w:themeFillShade="FF"/>
        </w:rPr>
      </w:pPr>
    </w:p>
    <w:p>
      <w:pPr>
        <w:pStyle w:val="41"/>
        <w:autoSpaceDE w:val="0"/>
        <w:autoSpaceDN w:val="0"/>
        <w:rPr>
          <w:rFonts w:hint="default"/>
          <w:color w:val="auto"/>
          <w:highlight w:val="none"/>
          <w:shd w:val="clear" w:color="auto" w:themeFill="background1" w:themeFillTint="FF" w:themeFillShade="FF"/>
        </w:rPr>
      </w:pPr>
    </w:p>
    <w:p>
      <w:pPr>
        <w:pStyle w:val="41"/>
        <w:autoSpaceDE w:val="0"/>
        <w:autoSpaceDN w:val="0"/>
        <w:rPr>
          <w:rFonts w:hint="default"/>
          <w:color w:val="auto"/>
          <w:highlight w:val="none"/>
          <w:shd w:val="clear" w:color="auto" w:themeFill="background1" w:themeFillTint="FF" w:themeFillShade="FF"/>
        </w:rPr>
      </w:pPr>
    </w:p>
    <w:p>
      <w:pPr>
        <w:pStyle w:val="41"/>
        <w:autoSpaceDE w:val="0"/>
        <w:autoSpaceDN w:val="0"/>
        <w:rPr>
          <w:rFonts w:hint="default"/>
          <w:color w:val="auto"/>
          <w:highlight w:val="none"/>
          <w:shd w:val="clear" w:color="auto" w:themeFill="background1" w:themeFillTint="FF" w:themeFillShade="FF"/>
        </w:rPr>
      </w:pPr>
    </w:p>
    <w:p>
      <w:pPr>
        <w:pStyle w:val="41"/>
        <w:autoSpaceDE w:val="0"/>
        <w:autoSpaceDN w:val="0"/>
        <w:rPr>
          <w:rFonts w:hint="default"/>
          <w:color w:val="auto"/>
          <w:highlight w:val="none"/>
          <w:shd w:val="clear" w:color="auto" w:themeFill="background1" w:themeFillTint="FF" w:themeFillShade="FF"/>
        </w:rPr>
      </w:pPr>
    </w:p>
    <w:p>
      <w:pPr>
        <w:pStyle w:val="41"/>
        <w:autoSpaceDE w:val="0"/>
        <w:autoSpaceDN w:val="0"/>
        <w:rPr>
          <w:rFonts w:hint="default"/>
          <w:color w:val="auto"/>
          <w:highlight w:val="none"/>
          <w:shd w:val="clear" w:color="auto" w:themeFill="background1" w:themeFillTint="FF" w:themeFillShade="FF"/>
        </w:rPr>
      </w:pPr>
    </w:p>
    <w:p>
      <w:pPr>
        <w:pStyle w:val="41"/>
        <w:autoSpaceDE w:val="0"/>
        <w:autoSpaceDN w:val="0"/>
        <w:rPr>
          <w:rFonts w:hint="default"/>
          <w:color w:val="auto"/>
          <w:highlight w:val="none"/>
          <w:shd w:val="clear" w:color="auto" w:themeFill="background1" w:themeFillTint="FF" w:themeFillShade="FF"/>
        </w:rPr>
      </w:pPr>
    </w:p>
    <w:p>
      <w:pPr>
        <w:pStyle w:val="41"/>
        <w:autoSpaceDE w:val="0"/>
        <w:autoSpaceDN w:val="0"/>
        <w:rPr>
          <w:rFonts w:hint="default"/>
          <w:color w:val="auto"/>
          <w:highlight w:val="none"/>
          <w:shd w:val="clear" w:color="auto" w:themeFill="background1" w:themeFillTint="FF" w:themeFillShade="FF"/>
        </w:rPr>
      </w:pPr>
      <w:r>
        <w:rPr>
          <w:rFonts w:hint="default"/>
          <w:color w:val="auto"/>
          <w:highlight w:val="none"/>
        </w:rPr>
        <mc:AlternateContent>
          <mc:Choice Requires="wps">
            <w:drawing>
              <wp:anchor distT="0" distB="0" distL="114300" distR="114300" simplePos="0" relativeHeight="97" behindDoc="0" locked="0" layoutInCell="1" hidden="0" allowOverlap="1">
                <wp:simplePos x="0" y="0"/>
                <wp:positionH relativeFrom="column">
                  <wp:posOffset>4675505</wp:posOffset>
                </wp:positionH>
                <wp:positionV relativeFrom="paragraph">
                  <wp:posOffset>241300</wp:posOffset>
                </wp:positionV>
                <wp:extent cx="179705" cy="100330"/>
                <wp:effectExtent l="0" t="0" r="635" b="635"/>
                <wp:wrapNone/>
                <wp:docPr id="1187" name="正方形/長方形 7"/>
                <a:graphic xmlns:a="http://schemas.openxmlformats.org/drawingml/2006/main">
                  <a:graphicData uri="http://schemas.microsoft.com/office/word/2010/wordprocessingShape">
                    <wps:wsp>
                      <wps:cNvPr id="1187" name="正方形/長方形 7"/>
                      <wps:cNvSpPr/>
                      <wps:spPr>
                        <a:xfrm rot="5400000">
                          <a:off x="0" y="0"/>
                          <a:ext cx="179705" cy="100330"/>
                        </a:xfrm>
                        <a:prstGeom prst="rect">
                          <a:avLst/>
                        </a:prstGeom>
                        <a:solidFill>
                          <a:sysClr val="window" lastClr="FFFFFF"/>
                        </a:solidFill>
                        <a:ln w="25400" cap="flat" cmpd="sng" algn="ctr">
                          <a:noFill/>
                          <a:prstDash val="solid"/>
                        </a:ln>
                        <a:effectLst/>
                      </wps:spPr>
                      <wps:txbx>
                        <w:txbxContent>
                          <w:p>
                            <w:pPr>
                              <w:pStyle w:val="0"/>
                              <w:spacing w:line="80" w:lineRule="exact"/>
                              <w:jc w:val="center"/>
                              <w:rPr>
                                <w:rFonts w:hint="default" w:ascii="ＭＳ Ｐゴシック" w:hAnsi="ＭＳ Ｐゴシック" w:eastAsia="ＭＳ Ｐゴシック"/>
                                <w:color w:val="000000" w:themeColor="text1"/>
                                <w:sz w:val="12"/>
                              </w:rPr>
                            </w:pPr>
                            <w:r>
                              <w:rPr>
                                <w:rFonts w:hint="eastAsia" w:ascii="ＭＳ Ｐゴシック" w:hAnsi="ＭＳ Ｐゴシック" w:eastAsia="ＭＳ Ｐゴシック"/>
                                <w:color w:val="000000" w:themeColor="text1"/>
                                <w:sz w:val="12"/>
                              </w:rPr>
                              <w:t>～</w:t>
                            </w:r>
                          </w:p>
                          <w:p>
                            <w:pPr>
                              <w:pStyle w:val="0"/>
                              <w:spacing w:line="80" w:lineRule="exact"/>
                              <w:jc w:val="center"/>
                              <w:rPr>
                                <w:rFonts w:hint="default" w:ascii="ＭＳ Ｐゴシック" w:hAnsi="ＭＳ Ｐゴシック" w:eastAsia="ＭＳ Ｐゴシック"/>
                                <w:color w:val="000000" w:themeColor="text1"/>
                                <w:sz w:val="12"/>
                              </w:rPr>
                            </w:pPr>
                            <w:r>
                              <w:rPr>
                                <w:rFonts w:hint="eastAsia" w:ascii="ＭＳ Ｐゴシック" w:hAnsi="ＭＳ Ｐゴシック" w:eastAsia="ＭＳ Ｐゴシック"/>
                                <w:color w:val="000000" w:themeColor="text1"/>
                                <w:sz w:val="12"/>
                              </w:rPr>
                              <w:t>～</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7" style="mso-wrap-distance-right:9pt;mso-wrap-distance-bottom:0pt;margin-top:19pt;mso-position-vertical-relative:text;mso-position-horizontal-relative:text;v-text-anchor:middle;position:absolute;height:7.9pt;mso-wrap-distance-top:0pt;width:14.15pt;mso-wrap-distance-left:9pt;margin-left:368.15pt;z-index:97;rotation:90;" o:spid="_x0000_s1187" o:allowincell="t" o:allowoverlap="t" filled="t" fillcolor="#ffffff" stroked="f" strokeweight="2pt" o:spt="1">
                <v:fill/>
                <v:stroke linestyle="single" endcap="flat" dashstyle="solid"/>
                <v:textbox style="layout-flow:horizontal;" inset="0mm,0mm,0mm,0mm">
                  <w:txbxContent>
                    <w:p>
                      <w:pPr>
                        <w:pStyle w:val="0"/>
                        <w:spacing w:line="80" w:lineRule="exact"/>
                        <w:jc w:val="center"/>
                        <w:rPr>
                          <w:rFonts w:hint="default" w:ascii="ＭＳ Ｐゴシック" w:hAnsi="ＭＳ Ｐゴシック" w:eastAsia="ＭＳ Ｐゴシック"/>
                          <w:color w:val="000000" w:themeColor="text1"/>
                          <w:sz w:val="12"/>
                        </w:rPr>
                      </w:pPr>
                      <w:r>
                        <w:rPr>
                          <w:rFonts w:hint="eastAsia" w:ascii="ＭＳ Ｐゴシック" w:hAnsi="ＭＳ Ｐゴシック" w:eastAsia="ＭＳ Ｐゴシック"/>
                          <w:color w:val="000000" w:themeColor="text1"/>
                          <w:sz w:val="12"/>
                        </w:rPr>
                        <w:t>～</w:t>
                      </w:r>
                    </w:p>
                    <w:p>
                      <w:pPr>
                        <w:pStyle w:val="0"/>
                        <w:spacing w:line="80" w:lineRule="exact"/>
                        <w:jc w:val="center"/>
                        <w:rPr>
                          <w:rFonts w:hint="default" w:ascii="ＭＳ Ｐゴシック" w:hAnsi="ＭＳ Ｐゴシック" w:eastAsia="ＭＳ Ｐゴシック"/>
                          <w:color w:val="000000" w:themeColor="text1"/>
                          <w:sz w:val="12"/>
                        </w:rPr>
                      </w:pPr>
                      <w:r>
                        <w:rPr>
                          <w:rFonts w:hint="eastAsia" w:ascii="ＭＳ Ｐゴシック" w:hAnsi="ＭＳ Ｐゴシック" w:eastAsia="ＭＳ Ｐゴシック"/>
                          <w:color w:val="000000" w:themeColor="text1"/>
                          <w:sz w:val="12"/>
                        </w:rPr>
                        <w:t>～</w:t>
                      </w:r>
                    </w:p>
                  </w:txbxContent>
                </v:textbox>
                <v:imagedata o:title=""/>
                <w10:wrap type="none" anchorx="text" anchory="text"/>
              </v:rect>
            </w:pict>
          </mc:Fallback>
        </mc:AlternateContent>
      </w:r>
    </w:p>
    <w:p>
      <w:pPr>
        <w:pStyle w:val="41"/>
        <w:autoSpaceDE w:val="0"/>
        <w:autoSpaceDN w:val="0"/>
        <w:rPr>
          <w:rFonts w:hint="default"/>
          <w:color w:val="auto"/>
          <w:highlight w:val="none"/>
          <w:shd w:val="clear" w:color="auto" w:themeFill="background1" w:themeFillTint="FF" w:themeFillShade="FF"/>
        </w:rPr>
      </w:pPr>
    </w:p>
    <w:p>
      <w:pPr>
        <w:pStyle w:val="41"/>
        <w:autoSpaceDE w:val="0"/>
        <w:autoSpaceDN w:val="0"/>
        <w:rPr>
          <w:rFonts w:hint="default"/>
          <w:color w:val="auto"/>
          <w:highlight w:val="none"/>
          <w:shd w:val="clear" w:color="auto" w:themeFill="background1" w:themeFillTint="FF" w:themeFillShade="FF"/>
        </w:rPr>
      </w:pPr>
    </w:p>
    <w:p>
      <w:pPr>
        <w:pStyle w:val="0"/>
        <w:widowControl w:val="1"/>
        <w:autoSpaceDE w:val="0"/>
        <w:autoSpaceDN w:val="0"/>
        <w:jc w:val="left"/>
        <w:rPr>
          <w:rFonts w:hint="default" w:ascii="ＭＳ ゴシック" w:hAnsi="ＭＳ ゴシック" w:eastAsia="ＭＳ ゴシック"/>
          <w:color w:val="auto"/>
          <w:sz w:val="21"/>
          <w:highlight w:val="none"/>
          <w:shd w:val="clear" w:color="auto" w:themeFill="background1" w:themeFillTint="FF" w:themeFillShade="FF"/>
        </w:rPr>
      </w:pPr>
      <w:r>
        <w:rPr>
          <w:rFonts w:hint="default"/>
          <w:color w:val="auto"/>
          <w:highlight w:val="none"/>
          <w:shd w:val="clear" w:color="auto" w:themeFill="background1" w:themeFillTint="FF" w:themeFillShade="FF"/>
        </w:rPr>
        <w:br w:type="page"/>
      </w:r>
    </w:p>
    <w:p>
      <w:pPr>
        <w:pStyle w:val="79"/>
        <w:spacing w:before="190" w:beforeLines="0" w:beforeAutospacing="0"/>
        <w:jc w:val="left"/>
        <w:rPr>
          <w:rFonts w:hint="default"/>
          <w:color w:val="auto"/>
          <w:highlight w:val="none"/>
        </w:rPr>
      </w:pPr>
      <w:r>
        <w:rPr>
          <w:rFonts w:hint="eastAsia"/>
          <w:b w:val="1"/>
          <w:color w:val="auto"/>
          <w:sz w:val="24"/>
          <w:highlight w:val="none"/>
        </w:rPr>
        <w:t>（再掲）要支援・要介護認定者数・認定率の推移・推計（第</w:t>
      </w:r>
      <w:r>
        <w:rPr>
          <w:rFonts w:hint="eastAsia"/>
          <w:b w:val="1"/>
          <w:color w:val="auto"/>
          <w:sz w:val="24"/>
          <w:highlight w:val="none"/>
        </w:rPr>
        <w:t>1</w:t>
      </w:r>
      <w:r>
        <w:rPr>
          <w:rFonts w:hint="eastAsia"/>
          <w:b w:val="1"/>
          <w:color w:val="auto"/>
          <w:sz w:val="24"/>
          <w:highlight w:val="none"/>
        </w:rPr>
        <w:t>号被保険者）</w:t>
      </w:r>
    </w:p>
    <w:p>
      <w:pPr>
        <w:pStyle w:val="79"/>
        <w:spacing w:before="190" w:beforeLines="0" w:beforeAutospacing="0"/>
        <w:rPr>
          <w:rFonts w:hint="default"/>
          <w:color w:val="auto"/>
          <w:highlight w:val="none"/>
        </w:rPr>
      </w:pPr>
      <w:r>
        <w:rPr>
          <w:rFonts w:hint="eastAsia"/>
          <w:color w:val="auto"/>
          <w:highlight w:val="none"/>
        </w:rPr>
        <w:t>図表　要支援・要介護認定者数・認定率の推移・推計（第</w:t>
      </w:r>
      <w:r>
        <w:rPr>
          <w:rFonts w:hint="eastAsia"/>
          <w:color w:val="auto"/>
          <w:highlight w:val="none"/>
        </w:rPr>
        <w:t>1</w:t>
      </w:r>
      <w:r>
        <w:rPr>
          <w:rFonts w:hint="eastAsia"/>
          <w:color w:val="auto"/>
          <w:highlight w:val="none"/>
        </w:rPr>
        <w:t>号被保険者）</w:t>
      </w:r>
    </w:p>
    <w:p>
      <w:pPr>
        <w:pStyle w:val="0"/>
        <w:widowControl w:val="1"/>
        <w:autoSpaceDE w:val="0"/>
        <w:autoSpaceDN w:val="0"/>
        <w:spacing w:after="37" w:afterLines="10" w:afterAutospacing="0" w:line="240" w:lineRule="exact"/>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sz w:val="18"/>
          <w:highlight w:val="none"/>
        </w:rPr>
        <w:t>（単位：人）</w:t>
      </w:r>
    </w:p>
    <w:tbl>
      <w:tblPr>
        <w:tblStyle w:val="89"/>
        <w:tblW w:w="8533" w:type="dxa"/>
        <w:tblInd w:w="534" w:type="dxa"/>
        <w:tblLayout w:type="fixed"/>
        <w:tblLook w:firstRow="1" w:lastRow="0" w:firstColumn="1" w:lastColumn="0" w:noHBand="0" w:noVBand="1" w:val="04A0"/>
      </w:tblPr>
      <w:tblGrid>
        <w:gridCol w:w="1453"/>
        <w:gridCol w:w="1011"/>
        <w:gridCol w:w="1011"/>
        <w:gridCol w:w="1012"/>
        <w:gridCol w:w="1011"/>
        <w:gridCol w:w="1012"/>
        <w:gridCol w:w="1011"/>
        <w:gridCol w:w="1012"/>
      </w:tblGrid>
      <w:tr>
        <w:trPr/>
        <w:tc>
          <w:tcPr>
            <w:tcW w:w="1453" w:type="dxa"/>
            <w:vMerge w:val="restart"/>
            <w:shd w:val="clear" w:color="auto" w:fill="CCECFF"/>
            <w:vAlign w:val="center"/>
          </w:tcPr>
          <w:p>
            <w:pPr>
              <w:pStyle w:val="0"/>
              <w:autoSpaceDE w:val="0"/>
              <w:autoSpaceDN w:val="0"/>
              <w:spacing w:line="240" w:lineRule="exact"/>
              <w:jc w:val="center"/>
              <w:rPr>
                <w:rFonts w:hint="default" w:ascii="ＭＳ Ｐゴシック" w:hAnsi="ＭＳ Ｐゴシック" w:eastAsia="ＭＳ Ｐゴシック"/>
                <w:color w:val="auto"/>
                <w:kern w:val="24"/>
                <w:sz w:val="18"/>
                <w:highlight w:val="none"/>
              </w:rPr>
            </w:pPr>
          </w:p>
        </w:tc>
        <w:tc>
          <w:tcPr>
            <w:tcW w:w="3034" w:type="dxa"/>
            <w:gridSpan w:val="3"/>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第</w:t>
            </w:r>
            <w:r>
              <w:rPr>
                <w:rFonts w:hint="eastAsia" w:ascii="ＭＳ Ｐゴシック" w:hAnsi="ＭＳ Ｐゴシック" w:eastAsia="ＭＳ Ｐゴシック"/>
                <w:color w:val="auto"/>
                <w:kern w:val="24"/>
                <w:sz w:val="18"/>
                <w:highlight w:val="none"/>
              </w:rPr>
              <w:t>8</w:t>
            </w:r>
            <w:r>
              <w:rPr>
                <w:rFonts w:hint="eastAsia" w:ascii="ＭＳ Ｐゴシック" w:hAnsi="ＭＳ Ｐゴシック" w:eastAsia="ＭＳ Ｐゴシック"/>
                <w:color w:val="auto"/>
                <w:kern w:val="24"/>
                <w:sz w:val="18"/>
                <w:highlight w:val="none"/>
              </w:rPr>
              <w:t>期</w:t>
            </w:r>
          </w:p>
        </w:tc>
        <w:tc>
          <w:tcPr>
            <w:tcW w:w="3034" w:type="dxa"/>
            <w:gridSpan w:val="3"/>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第</w:t>
            </w:r>
            <w:r>
              <w:rPr>
                <w:rFonts w:hint="eastAsia" w:ascii="ＭＳ Ｐゴシック" w:hAnsi="ＭＳ Ｐゴシック" w:eastAsia="ＭＳ Ｐゴシック"/>
                <w:color w:val="auto"/>
                <w:kern w:val="24"/>
                <w:sz w:val="18"/>
                <w:highlight w:val="none"/>
              </w:rPr>
              <w:t>9</w:t>
            </w:r>
            <w:r>
              <w:rPr>
                <w:rFonts w:hint="eastAsia" w:ascii="ＭＳ Ｐゴシック" w:hAnsi="ＭＳ Ｐゴシック" w:eastAsia="ＭＳ Ｐゴシック"/>
                <w:color w:val="auto"/>
                <w:kern w:val="24"/>
                <w:sz w:val="18"/>
                <w:highlight w:val="none"/>
              </w:rPr>
              <w:t>期</w:t>
            </w:r>
          </w:p>
        </w:tc>
        <w:tc>
          <w:tcPr>
            <w:tcW w:w="1012"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22</w:t>
            </w:r>
            <w:r>
              <w:rPr>
                <w:rFonts w:hint="eastAsia" w:ascii="ＭＳ Ｐゴシック" w:hAnsi="ＭＳ Ｐゴシック" w:eastAsia="ＭＳ Ｐゴシック"/>
                <w:color w:val="auto"/>
                <w:kern w:val="24"/>
                <w:sz w:val="18"/>
                <w:highlight w:val="none"/>
              </w:rPr>
              <w:t>年度</w:t>
            </w:r>
          </w:p>
          <w:p>
            <w:pPr>
              <w:pStyle w:val="0"/>
              <w:autoSpaceDE w:val="0"/>
              <w:autoSpaceDN w:val="0"/>
              <w:spacing w:line="22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2040</w:t>
            </w:r>
            <w:r>
              <w:rPr>
                <w:rFonts w:hint="eastAsia" w:ascii="ＭＳ Ｐゴシック" w:hAnsi="ＭＳ Ｐゴシック" w:eastAsia="ＭＳ Ｐゴシック"/>
                <w:color w:val="auto"/>
                <w:kern w:val="24"/>
                <w:sz w:val="18"/>
                <w:highlight w:val="none"/>
              </w:rPr>
              <w:t>年度）</w:t>
            </w:r>
          </w:p>
        </w:tc>
      </w:tr>
      <w:tr>
        <w:trPr>
          <w:trHeight w:val="567" w:hRule="atLeast"/>
        </w:trPr>
        <w:tc>
          <w:tcPr>
            <w:tcW w:w="1453" w:type="dxa"/>
            <w:vMerge w:val="continue"/>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kern w:val="24"/>
                <w:sz w:val="18"/>
              </w:rPr>
            </w:pPr>
          </w:p>
        </w:tc>
        <w:tc>
          <w:tcPr>
            <w:tcW w:w="101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3</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2021</w:t>
            </w:r>
            <w:r>
              <w:rPr>
                <w:rFonts w:hint="eastAsia" w:ascii="ＭＳ Ｐゴシック" w:hAnsi="ＭＳ Ｐゴシック" w:eastAsia="ＭＳ Ｐゴシック"/>
                <w:color w:val="auto"/>
                <w:kern w:val="24"/>
                <w:sz w:val="18"/>
                <w:highlight w:val="none"/>
              </w:rPr>
              <w:t>年度）</w:t>
            </w:r>
          </w:p>
        </w:tc>
        <w:tc>
          <w:tcPr>
            <w:tcW w:w="1011" w:type="dxa"/>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4</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2022</w:t>
            </w:r>
            <w:r>
              <w:rPr>
                <w:rFonts w:hint="eastAsia" w:ascii="ＭＳ Ｐゴシック" w:hAnsi="ＭＳ Ｐゴシック" w:eastAsia="ＭＳ Ｐゴシック"/>
                <w:color w:val="auto"/>
                <w:kern w:val="24"/>
                <w:sz w:val="18"/>
                <w:highlight w:val="none"/>
              </w:rPr>
              <w:t>年度）</w:t>
            </w:r>
          </w:p>
        </w:tc>
        <w:tc>
          <w:tcPr>
            <w:tcW w:w="1012" w:type="dxa"/>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5</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2023</w:t>
            </w:r>
            <w:r>
              <w:rPr>
                <w:rFonts w:hint="eastAsia" w:ascii="ＭＳ Ｐゴシック" w:hAnsi="ＭＳ Ｐゴシック" w:eastAsia="ＭＳ Ｐゴシック"/>
                <w:color w:val="auto"/>
                <w:kern w:val="24"/>
                <w:sz w:val="18"/>
                <w:highlight w:val="none"/>
              </w:rPr>
              <w:t>年度）</w:t>
            </w:r>
          </w:p>
        </w:tc>
        <w:tc>
          <w:tcPr>
            <w:tcW w:w="101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6</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2024</w:t>
            </w:r>
            <w:r>
              <w:rPr>
                <w:rFonts w:hint="eastAsia" w:ascii="ＭＳ Ｐゴシック" w:hAnsi="ＭＳ Ｐゴシック" w:eastAsia="ＭＳ Ｐゴシック"/>
                <w:color w:val="auto"/>
                <w:kern w:val="24"/>
                <w:sz w:val="18"/>
                <w:highlight w:val="none"/>
              </w:rPr>
              <w:t>年度）</w:t>
            </w:r>
          </w:p>
        </w:tc>
        <w:tc>
          <w:tcPr>
            <w:tcW w:w="1012" w:type="dxa"/>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7</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2025</w:t>
            </w:r>
            <w:r>
              <w:rPr>
                <w:rFonts w:hint="eastAsia" w:ascii="ＭＳ Ｐゴシック" w:hAnsi="ＭＳ Ｐゴシック" w:eastAsia="ＭＳ Ｐゴシック"/>
                <w:color w:val="auto"/>
                <w:kern w:val="24"/>
                <w:sz w:val="18"/>
                <w:highlight w:val="none"/>
              </w:rPr>
              <w:t>年度）</w:t>
            </w:r>
          </w:p>
        </w:tc>
        <w:tc>
          <w:tcPr>
            <w:tcW w:w="1011" w:type="dxa"/>
            <w:tcBorders>
              <w:top w:val="none" w:color="auto" w:sz="0" w:space="0"/>
              <w:left w:val="none" w:color="auto" w:sz="0" w:space="0"/>
              <w:bottom w:val="single" w:color="auto" w:sz="4" w:space="0"/>
              <w:right w:val="double" w:color="auto" w:sz="4"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8</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2026</w:t>
            </w:r>
            <w:r>
              <w:rPr>
                <w:rFonts w:hint="eastAsia" w:ascii="ＭＳ Ｐゴシック" w:hAnsi="ＭＳ Ｐゴシック" w:eastAsia="ＭＳ Ｐゴシック"/>
                <w:color w:val="auto"/>
                <w:kern w:val="24"/>
                <w:sz w:val="18"/>
                <w:highlight w:val="none"/>
              </w:rPr>
              <w:t>年度）</w:t>
            </w:r>
          </w:p>
        </w:tc>
        <w:tc>
          <w:tcPr>
            <w:tcW w:w="1012"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CCECFF"/>
            <w:vAlign w:val="top"/>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kern w:val="24"/>
                <w:sz w:val="18"/>
              </w:rPr>
            </w:pPr>
          </w:p>
        </w:tc>
      </w:tr>
      <w:tr>
        <w:trPr>
          <w:trHeight w:val="397" w:hRule="atLeast"/>
        </w:trPr>
        <w:tc>
          <w:tcPr>
            <w:tcW w:w="1453"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認定者数</w:t>
            </w:r>
          </w:p>
        </w:tc>
        <w:tc>
          <w:tcPr>
            <w:tcW w:w="101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6,425 </w:t>
            </w:r>
          </w:p>
        </w:tc>
        <w:tc>
          <w:tcPr>
            <w:tcW w:w="101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6,521 </w:t>
            </w:r>
          </w:p>
        </w:tc>
        <w:tc>
          <w:tcPr>
            <w:tcW w:w="101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6,552 </w:t>
            </w:r>
          </w:p>
        </w:tc>
        <w:tc>
          <w:tcPr>
            <w:tcW w:w="101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6,716 </w:t>
            </w:r>
          </w:p>
        </w:tc>
        <w:tc>
          <w:tcPr>
            <w:tcW w:w="101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6,875 </w:t>
            </w:r>
          </w:p>
        </w:tc>
        <w:tc>
          <w:tcPr>
            <w:tcW w:w="1011"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7,031 </w:t>
            </w:r>
          </w:p>
        </w:tc>
        <w:tc>
          <w:tcPr>
            <w:tcW w:w="1012" w:type="dxa"/>
            <w:tcBorders>
              <w:top w:val="none" w:color="auto" w:sz="0" w:space="0"/>
              <w:left w:val="double" w:color="auto" w:sz="4" w:space="0"/>
              <w:bottom w:val="single" w:color="auto" w:sz="4" w:space="0"/>
              <w:right w:val="none" w:color="auto" w:sz="0" w:space="0"/>
              <w:tl2br w:val="none" w:color="auto" w:sz="0" w:space="0"/>
              <w:tr2bl w:val="none" w:color="auto" w:sz="0" w:space="0"/>
            </w:tcBorders>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default" w:ascii="ＭＳ Ｐゴシック" w:hAnsi="ＭＳ Ｐゴシック" w:eastAsia="ＭＳ Ｐゴシック"/>
                <w:color w:val="auto"/>
                <w:kern w:val="24"/>
                <w:sz w:val="18"/>
                <w:highlight w:val="none"/>
              </w:rPr>
              <w:t>8,860</w:t>
            </w:r>
          </w:p>
        </w:tc>
      </w:tr>
      <w:tr>
        <w:trPr>
          <w:trHeight w:val="397" w:hRule="atLeast"/>
        </w:trPr>
        <w:tc>
          <w:tcPr>
            <w:tcW w:w="1453"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認定率</w:t>
            </w:r>
          </w:p>
        </w:tc>
        <w:tc>
          <w:tcPr>
            <w:tcW w:w="101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17.9</w:t>
            </w:r>
            <w:r>
              <w:rPr>
                <w:rFonts w:hint="default" w:ascii="ＭＳ Ｐゴシック" w:hAnsi="ＭＳ Ｐゴシック" w:eastAsia="ＭＳ Ｐゴシック"/>
                <w:color w:val="auto"/>
                <w:kern w:val="24"/>
                <w:sz w:val="18"/>
                <w:highlight w:val="none"/>
              </w:rPr>
              <w:t>%</w:t>
            </w:r>
          </w:p>
        </w:tc>
        <w:tc>
          <w:tcPr>
            <w:tcW w:w="101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18.0</w:t>
            </w:r>
            <w:r>
              <w:rPr>
                <w:rFonts w:hint="default" w:ascii="ＭＳ Ｐゴシック" w:hAnsi="ＭＳ Ｐゴシック" w:eastAsia="ＭＳ Ｐゴシック"/>
                <w:color w:val="auto"/>
                <w:kern w:val="24"/>
                <w:sz w:val="18"/>
                <w:highlight w:val="none"/>
              </w:rPr>
              <w:t>%</w:t>
            </w:r>
          </w:p>
        </w:tc>
        <w:tc>
          <w:tcPr>
            <w:tcW w:w="101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18.0</w:t>
            </w:r>
            <w:r>
              <w:rPr>
                <w:rFonts w:hint="default" w:ascii="ＭＳ Ｐゴシック" w:hAnsi="ＭＳ Ｐゴシック" w:eastAsia="ＭＳ Ｐゴシック"/>
                <w:color w:val="auto"/>
                <w:kern w:val="24"/>
                <w:sz w:val="18"/>
                <w:highlight w:val="none"/>
              </w:rPr>
              <w:t>%</w:t>
            </w:r>
          </w:p>
        </w:tc>
        <w:tc>
          <w:tcPr>
            <w:tcW w:w="101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18.3</w:t>
            </w:r>
            <w:r>
              <w:rPr>
                <w:rFonts w:hint="default" w:ascii="ＭＳ Ｐゴシック" w:hAnsi="ＭＳ Ｐゴシック" w:eastAsia="ＭＳ Ｐゴシック"/>
                <w:color w:val="auto"/>
                <w:kern w:val="24"/>
                <w:sz w:val="18"/>
                <w:highlight w:val="none"/>
              </w:rPr>
              <w:t>%</w:t>
            </w:r>
          </w:p>
        </w:tc>
        <w:tc>
          <w:tcPr>
            <w:tcW w:w="101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18.6</w:t>
            </w:r>
            <w:r>
              <w:rPr>
                <w:rFonts w:hint="default" w:ascii="ＭＳ Ｐゴシック" w:hAnsi="ＭＳ Ｐゴシック" w:eastAsia="ＭＳ Ｐゴシック"/>
                <w:color w:val="auto"/>
                <w:kern w:val="24"/>
                <w:sz w:val="18"/>
                <w:highlight w:val="none"/>
              </w:rPr>
              <w:t>%</w:t>
            </w:r>
          </w:p>
        </w:tc>
        <w:tc>
          <w:tcPr>
            <w:tcW w:w="1011"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19.0</w:t>
            </w:r>
            <w:r>
              <w:rPr>
                <w:rFonts w:hint="default" w:ascii="ＭＳ Ｐゴシック" w:hAnsi="ＭＳ Ｐゴシック" w:eastAsia="ＭＳ Ｐゴシック"/>
                <w:color w:val="auto"/>
                <w:kern w:val="24"/>
                <w:sz w:val="18"/>
                <w:highlight w:val="none"/>
              </w:rPr>
              <w:t>%</w:t>
            </w:r>
          </w:p>
        </w:tc>
        <w:tc>
          <w:tcPr>
            <w:tcW w:w="1012"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24.0</w:t>
            </w:r>
            <w:r>
              <w:rPr>
                <w:rFonts w:hint="default" w:ascii="ＭＳ Ｐゴシック" w:hAnsi="ＭＳ Ｐゴシック" w:eastAsia="ＭＳ Ｐゴシック"/>
                <w:color w:val="auto"/>
                <w:kern w:val="24"/>
                <w:sz w:val="18"/>
                <w:highlight w:val="none"/>
              </w:rPr>
              <w:t>%</w:t>
            </w:r>
          </w:p>
        </w:tc>
      </w:tr>
    </w:tbl>
    <w:p>
      <w:pPr>
        <w:pStyle w:val="41"/>
        <w:autoSpaceDE w:val="0"/>
        <w:autoSpaceDN w:val="0"/>
        <w:spacing w:before="74" w:beforeLines="20" w:beforeAutospacing="0" w:line="240" w:lineRule="exact"/>
        <w:jc w:val="right"/>
        <w:rPr>
          <w:rFonts w:hint="default" w:ascii="BIZ UDPゴシック" w:hAnsi="BIZ UDPゴシック" w:eastAsia="BIZ UDPゴシック"/>
          <w:color w:val="auto"/>
          <w:sz w:val="18"/>
          <w:highlight w:val="none"/>
        </w:rPr>
      </w:pPr>
      <w:r>
        <w:rPr>
          <w:rFonts w:hint="eastAsia" w:ascii="BIZ UDPゴシック" w:hAnsi="BIZ UDPゴシック" w:eastAsia="BIZ UDPゴシック"/>
          <w:color w:val="auto"/>
          <w:sz w:val="18"/>
          <w:highlight w:val="none"/>
        </w:rPr>
        <w:t>資料：令和</w:t>
      </w:r>
      <w:r>
        <w:rPr>
          <w:rFonts w:hint="eastAsia" w:ascii="BIZ UDPゴシック" w:hAnsi="BIZ UDPゴシック" w:eastAsia="BIZ UDPゴシック"/>
          <w:color w:val="auto"/>
          <w:sz w:val="18"/>
          <w:highlight w:val="none"/>
        </w:rPr>
        <w:t>3</w:t>
      </w:r>
      <w:r>
        <w:rPr>
          <w:rFonts w:hint="eastAsia" w:ascii="BIZ UDPゴシック" w:hAnsi="BIZ UDPゴシック" w:eastAsia="BIZ UDPゴシック"/>
          <w:color w:val="auto"/>
          <w:sz w:val="18"/>
          <w:highlight w:val="none"/>
        </w:rPr>
        <w:t>年度から令和</w:t>
      </w:r>
      <w:r>
        <w:rPr>
          <w:rFonts w:hint="eastAsia" w:ascii="BIZ UDPゴシック" w:hAnsi="BIZ UDPゴシック" w:eastAsia="BIZ UDPゴシック"/>
          <w:color w:val="auto"/>
          <w:sz w:val="18"/>
          <w:highlight w:val="none"/>
        </w:rPr>
        <w:t>5</w:t>
      </w:r>
      <w:r>
        <w:rPr>
          <w:rFonts w:hint="eastAsia" w:ascii="BIZ UDPゴシック" w:hAnsi="BIZ UDPゴシック" w:eastAsia="BIZ UDPゴシック"/>
          <w:color w:val="auto"/>
          <w:sz w:val="18"/>
          <w:highlight w:val="none"/>
        </w:rPr>
        <w:t>年度介護保険事業状況報告</w:t>
      </w:r>
      <w:r>
        <w:rPr>
          <w:rFonts w:hint="eastAsia" w:ascii="BIZ UDPゴシック" w:hAnsi="BIZ UDPゴシック" w:eastAsia="BIZ UDPゴシック"/>
          <w:color w:val="auto"/>
          <w:sz w:val="18"/>
          <w:highlight w:val="none"/>
        </w:rPr>
        <w:t>9</w:t>
      </w:r>
      <w:r>
        <w:rPr>
          <w:rFonts w:hint="eastAsia" w:ascii="BIZ UDPゴシック" w:hAnsi="BIZ UDPゴシック" w:eastAsia="BIZ UDPゴシック"/>
          <w:color w:val="auto"/>
          <w:sz w:val="18"/>
          <w:highlight w:val="none"/>
        </w:rPr>
        <w:t>月月報（各年</w:t>
      </w:r>
      <w:r>
        <w:rPr>
          <w:rFonts w:hint="eastAsia" w:ascii="BIZ UDPゴシック" w:hAnsi="BIZ UDPゴシック" w:eastAsia="BIZ UDPゴシック"/>
          <w:color w:val="auto"/>
          <w:sz w:val="18"/>
          <w:highlight w:val="none"/>
        </w:rPr>
        <w:t>9</w:t>
      </w:r>
      <w:r>
        <w:rPr>
          <w:rFonts w:hint="eastAsia" w:ascii="BIZ UDPゴシック" w:hAnsi="BIZ UDPゴシック" w:eastAsia="BIZ UDPゴシック"/>
          <w:color w:val="auto"/>
          <w:sz w:val="18"/>
          <w:highlight w:val="none"/>
        </w:rPr>
        <w:t>月末現在）・令和</w:t>
      </w:r>
      <w:r>
        <w:rPr>
          <w:rFonts w:hint="eastAsia" w:ascii="BIZ UDPゴシック" w:hAnsi="BIZ UDPゴシック" w:eastAsia="BIZ UDPゴシック"/>
          <w:color w:val="auto"/>
          <w:sz w:val="18"/>
          <w:highlight w:val="none"/>
        </w:rPr>
        <w:t>6</w:t>
      </w:r>
      <w:r>
        <w:rPr>
          <w:rFonts w:hint="eastAsia" w:ascii="BIZ UDPゴシック" w:hAnsi="BIZ UDPゴシック" w:eastAsia="BIZ UDPゴシック"/>
          <w:color w:val="auto"/>
          <w:sz w:val="18"/>
          <w:highlight w:val="none"/>
        </w:rPr>
        <w:t>年度から廿日市市推計</w:t>
      </w:r>
    </w:p>
    <w:p>
      <w:pPr>
        <w:pStyle w:val="79"/>
        <w:spacing w:before="190" w:beforeLines="0" w:beforeAutospacing="0"/>
        <w:rPr>
          <w:rFonts w:hint="default"/>
          <w:color w:val="auto"/>
          <w:highlight w:val="none"/>
        </w:rPr>
      </w:pPr>
      <w:r>
        <w:rPr>
          <w:rFonts w:hint="eastAsia"/>
          <w:color w:val="auto"/>
          <w:highlight w:val="none"/>
        </w:rPr>
        <w:t xml:space="preserve"> </w:t>
      </w:r>
      <w:r>
        <w:rPr>
          <w:rFonts w:hint="eastAsia"/>
          <w:color w:val="auto"/>
          <w:highlight w:val="none"/>
        </w:rPr>
        <w:t>図表　要支援・要介護認定者数・認定率の推移・推計（第</w:t>
      </w:r>
      <w:r>
        <w:rPr>
          <w:rFonts w:hint="eastAsia"/>
          <w:color w:val="auto"/>
          <w:highlight w:val="none"/>
        </w:rPr>
        <w:t>1</w:t>
      </w:r>
      <w:r>
        <w:rPr>
          <w:rFonts w:hint="eastAsia"/>
          <w:color w:val="auto"/>
          <w:highlight w:val="none"/>
        </w:rPr>
        <w:t>号被保険者）</w:t>
      </w:r>
    </w:p>
    <w:p>
      <w:pPr>
        <w:pStyle w:val="41"/>
        <w:autoSpaceDE w:val="0"/>
        <w:autoSpaceDN w:val="0"/>
        <w:rPr>
          <w:rFonts w:hint="default"/>
          <w:color w:val="auto"/>
          <w:highlight w:val="none"/>
          <w:shd w:val="clear" w:color="auto" w:themeFill="background1" w:themeFillTint="FF" w:themeFillShade="FF"/>
        </w:rPr>
      </w:pPr>
      <w:r>
        <w:rPr>
          <w:rFonts w:hint="default"/>
          <w:color w:val="auto"/>
          <w:highlight w:val="none"/>
        </w:rPr>
        <w:drawing>
          <wp:anchor distT="0" distB="0" distL="114300" distR="114300" simplePos="0" relativeHeight="101" behindDoc="1" locked="0" layoutInCell="1" hidden="0" allowOverlap="1">
            <wp:simplePos x="0" y="0"/>
            <wp:positionH relativeFrom="column">
              <wp:posOffset>202565</wp:posOffset>
            </wp:positionH>
            <wp:positionV relativeFrom="paragraph">
              <wp:posOffset>97155</wp:posOffset>
            </wp:positionV>
            <wp:extent cx="6127115" cy="2691765"/>
            <wp:effectExtent l="0" t="0" r="0" b="0"/>
            <wp:wrapNone/>
            <wp:docPr id="1188" name="Picture 3"/>
            <a:graphic xmlns:a="http://schemas.openxmlformats.org/drawingml/2006/main">
              <a:graphicData uri="http://schemas.openxmlformats.org/drawingml/2006/picture">
                <pic:pic xmlns:pic="http://schemas.openxmlformats.org/drawingml/2006/picture">
                  <pic:nvPicPr>
                    <pic:cNvPr id="1188" name="Picture 3"/>
                    <pic:cNvPicPr>
                      <a:picLocks noChangeAspect="1" noChangeArrowheads="1"/>
                    </pic:cNvPicPr>
                  </pic:nvPicPr>
                  <pic:blipFill>
                    <a:blip r:embed="rId100"/>
                    <a:stretch>
                      <a:fillRect/>
                    </a:stretch>
                  </pic:blipFill>
                  <pic:spPr>
                    <a:xfrm>
                      <a:off x="0" y="0"/>
                      <a:ext cx="6127115" cy="2691765"/>
                    </a:xfrm>
                    <a:prstGeom prst="rect">
                      <a:avLst/>
                    </a:prstGeom>
                    <a:noFill/>
                    <a:ln>
                      <a:noFill/>
                    </a:ln>
                  </pic:spPr>
                </pic:pic>
              </a:graphicData>
            </a:graphic>
          </wp:anchor>
        </w:drawing>
      </w:r>
    </w:p>
    <w:p>
      <w:pPr>
        <w:pStyle w:val="41"/>
        <w:autoSpaceDE w:val="0"/>
        <w:autoSpaceDN w:val="0"/>
        <w:rPr>
          <w:rFonts w:hint="default"/>
          <w:color w:val="auto"/>
          <w:highlight w:val="none"/>
          <w:shd w:val="clear" w:color="auto" w:themeFill="background1" w:themeFillTint="FF" w:themeFillShade="FF"/>
        </w:rPr>
      </w:pPr>
    </w:p>
    <w:p>
      <w:pPr>
        <w:pStyle w:val="41"/>
        <w:autoSpaceDE w:val="0"/>
        <w:autoSpaceDN w:val="0"/>
        <w:rPr>
          <w:rFonts w:hint="default"/>
          <w:color w:val="auto"/>
          <w:highlight w:val="none"/>
          <w:shd w:val="clear" w:color="auto" w:themeFill="background1" w:themeFillTint="FF" w:themeFillShade="FF"/>
        </w:rPr>
      </w:pPr>
      <w:r>
        <w:rPr>
          <w:rFonts w:hint="default"/>
          <w:color w:val="auto"/>
          <w:highlight w:val="none"/>
        </w:rPr>
        <mc:AlternateContent>
          <mc:Choice Requires="wps">
            <w:drawing>
              <wp:anchor distT="0" distB="0" distL="114300" distR="114300" simplePos="0" relativeHeight="95" behindDoc="0" locked="0" layoutInCell="1" hidden="0" allowOverlap="1">
                <wp:simplePos x="0" y="0"/>
                <wp:positionH relativeFrom="column">
                  <wp:posOffset>4655820</wp:posOffset>
                </wp:positionH>
                <wp:positionV relativeFrom="paragraph">
                  <wp:posOffset>169545</wp:posOffset>
                </wp:positionV>
                <wp:extent cx="179705" cy="100330"/>
                <wp:effectExtent l="0" t="0" r="635" b="635"/>
                <wp:wrapNone/>
                <wp:docPr id="1189" name="正方形/長方形 38"/>
                <a:graphic xmlns:a="http://schemas.openxmlformats.org/drawingml/2006/main">
                  <a:graphicData uri="http://schemas.microsoft.com/office/word/2010/wordprocessingShape">
                    <wps:wsp>
                      <wps:cNvPr id="1189" name="正方形/長方形 38"/>
                      <wps:cNvSpPr/>
                      <wps:spPr>
                        <a:xfrm rot="5400000">
                          <a:off x="0" y="0"/>
                          <a:ext cx="179705" cy="100330"/>
                        </a:xfrm>
                        <a:prstGeom prst="rect">
                          <a:avLst/>
                        </a:prstGeom>
                        <a:solidFill>
                          <a:sysClr val="window" lastClr="FFFFFF"/>
                        </a:solidFill>
                        <a:ln w="25400" cap="flat" cmpd="sng" algn="ctr">
                          <a:noFill/>
                          <a:prstDash val="solid"/>
                        </a:ln>
                        <a:effectLst/>
                      </wps:spPr>
                      <wps:txbx>
                        <w:txbxContent>
                          <w:p>
                            <w:pPr>
                              <w:pStyle w:val="0"/>
                              <w:spacing w:line="80" w:lineRule="exact"/>
                              <w:jc w:val="center"/>
                              <w:rPr>
                                <w:rFonts w:hint="default" w:ascii="ＭＳ Ｐゴシック" w:hAnsi="ＭＳ Ｐゴシック" w:eastAsia="ＭＳ Ｐゴシック"/>
                                <w:color w:val="000000" w:themeColor="text1"/>
                                <w:sz w:val="12"/>
                              </w:rPr>
                            </w:pPr>
                            <w:r>
                              <w:rPr>
                                <w:rFonts w:hint="eastAsia" w:ascii="ＭＳ Ｐゴシック" w:hAnsi="ＭＳ Ｐゴシック" w:eastAsia="ＭＳ Ｐゴシック"/>
                                <w:color w:val="000000" w:themeColor="text1"/>
                                <w:sz w:val="12"/>
                              </w:rPr>
                              <w:t>～</w:t>
                            </w:r>
                          </w:p>
                          <w:p>
                            <w:pPr>
                              <w:pStyle w:val="0"/>
                              <w:spacing w:line="80" w:lineRule="exact"/>
                              <w:jc w:val="center"/>
                              <w:rPr>
                                <w:rFonts w:hint="default" w:ascii="ＭＳ Ｐゴシック" w:hAnsi="ＭＳ Ｐゴシック" w:eastAsia="ＭＳ Ｐゴシック"/>
                                <w:color w:val="000000" w:themeColor="text1"/>
                                <w:sz w:val="12"/>
                              </w:rPr>
                            </w:pPr>
                            <w:r>
                              <w:rPr>
                                <w:rFonts w:hint="eastAsia" w:ascii="ＭＳ Ｐゴシック" w:hAnsi="ＭＳ Ｐゴシック" w:eastAsia="ＭＳ Ｐゴシック"/>
                                <w:color w:val="000000" w:themeColor="text1"/>
                                <w:sz w:val="12"/>
                              </w:rPr>
                              <w:t>～</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38" style="mso-wrap-distance-right:9pt;mso-wrap-distance-bottom:0pt;margin-top:13.35pt;mso-position-vertical-relative:text;mso-position-horizontal-relative:text;v-text-anchor:middle;position:absolute;height:7.9pt;mso-wrap-distance-top:0pt;width:14.15pt;mso-wrap-distance-left:9pt;margin-left:366.6pt;z-index:95;rotation:90;" o:spid="_x0000_s1189" o:allowincell="t" o:allowoverlap="t" filled="t" fillcolor="#ffffff" stroked="f" strokeweight="2pt" o:spt="1">
                <v:fill/>
                <v:stroke linestyle="single" endcap="flat" dashstyle="solid"/>
                <v:textbox style="layout-flow:horizontal;" inset="0mm,0mm,0mm,0mm">
                  <w:txbxContent>
                    <w:p>
                      <w:pPr>
                        <w:pStyle w:val="0"/>
                        <w:spacing w:line="80" w:lineRule="exact"/>
                        <w:jc w:val="center"/>
                        <w:rPr>
                          <w:rFonts w:hint="default" w:ascii="ＭＳ Ｐゴシック" w:hAnsi="ＭＳ Ｐゴシック" w:eastAsia="ＭＳ Ｐゴシック"/>
                          <w:color w:val="000000" w:themeColor="text1"/>
                          <w:sz w:val="12"/>
                        </w:rPr>
                      </w:pPr>
                      <w:r>
                        <w:rPr>
                          <w:rFonts w:hint="eastAsia" w:ascii="ＭＳ Ｐゴシック" w:hAnsi="ＭＳ Ｐゴシック" w:eastAsia="ＭＳ Ｐゴシック"/>
                          <w:color w:val="000000" w:themeColor="text1"/>
                          <w:sz w:val="12"/>
                        </w:rPr>
                        <w:t>～</w:t>
                      </w:r>
                    </w:p>
                    <w:p>
                      <w:pPr>
                        <w:pStyle w:val="0"/>
                        <w:spacing w:line="80" w:lineRule="exact"/>
                        <w:jc w:val="center"/>
                        <w:rPr>
                          <w:rFonts w:hint="default" w:ascii="ＭＳ Ｐゴシック" w:hAnsi="ＭＳ Ｐゴシック" w:eastAsia="ＭＳ Ｐゴシック"/>
                          <w:color w:val="000000" w:themeColor="text1"/>
                          <w:sz w:val="12"/>
                        </w:rPr>
                      </w:pPr>
                      <w:r>
                        <w:rPr>
                          <w:rFonts w:hint="eastAsia" w:ascii="ＭＳ Ｐゴシック" w:hAnsi="ＭＳ Ｐゴシック" w:eastAsia="ＭＳ Ｐゴシック"/>
                          <w:color w:val="000000" w:themeColor="text1"/>
                          <w:sz w:val="12"/>
                        </w:rPr>
                        <w:t>～</w:t>
                      </w:r>
                    </w:p>
                  </w:txbxContent>
                </v:textbox>
                <v:imagedata o:title=""/>
                <w10:wrap type="none" anchorx="text" anchory="text"/>
              </v:rect>
            </w:pict>
          </mc:Fallback>
        </mc:AlternateContent>
      </w:r>
    </w:p>
    <w:p>
      <w:pPr>
        <w:pStyle w:val="41"/>
        <w:autoSpaceDE w:val="0"/>
        <w:autoSpaceDN w:val="0"/>
        <w:rPr>
          <w:rFonts w:hint="default"/>
          <w:color w:val="auto"/>
          <w:highlight w:val="none"/>
          <w:shd w:val="clear" w:color="auto" w:themeFill="background1" w:themeFillTint="FF" w:themeFillShade="FF"/>
        </w:rPr>
      </w:pPr>
    </w:p>
    <w:p>
      <w:pPr>
        <w:pStyle w:val="41"/>
        <w:autoSpaceDE w:val="0"/>
        <w:autoSpaceDN w:val="0"/>
        <w:rPr>
          <w:rFonts w:hint="default"/>
          <w:color w:val="auto"/>
          <w:highlight w:val="none"/>
          <w:shd w:val="clear" w:color="auto" w:themeFill="background1" w:themeFillTint="FF" w:themeFillShade="FF"/>
        </w:rPr>
      </w:pPr>
    </w:p>
    <w:p>
      <w:pPr>
        <w:pStyle w:val="41"/>
        <w:autoSpaceDE w:val="0"/>
        <w:autoSpaceDN w:val="0"/>
        <w:rPr>
          <w:rFonts w:hint="default"/>
          <w:color w:val="auto"/>
          <w:highlight w:val="none"/>
          <w:shd w:val="clear" w:color="auto" w:themeFill="background1" w:themeFillTint="FF" w:themeFillShade="FF"/>
        </w:rPr>
      </w:pPr>
    </w:p>
    <w:p>
      <w:pPr>
        <w:pStyle w:val="41"/>
        <w:autoSpaceDE w:val="0"/>
        <w:autoSpaceDN w:val="0"/>
        <w:rPr>
          <w:rFonts w:hint="default"/>
          <w:color w:val="auto"/>
          <w:highlight w:val="none"/>
          <w:shd w:val="clear" w:color="auto" w:themeFill="background1" w:themeFillTint="FF" w:themeFillShade="FF"/>
        </w:rPr>
      </w:pPr>
    </w:p>
    <w:p>
      <w:pPr>
        <w:pStyle w:val="41"/>
        <w:autoSpaceDE w:val="0"/>
        <w:autoSpaceDN w:val="0"/>
        <w:rPr>
          <w:rFonts w:hint="default"/>
          <w:color w:val="auto"/>
          <w:highlight w:val="none"/>
          <w:shd w:val="clear" w:color="auto" w:themeFill="background1" w:themeFillTint="FF" w:themeFillShade="FF"/>
        </w:rPr>
      </w:pPr>
    </w:p>
    <w:p>
      <w:pPr>
        <w:pStyle w:val="41"/>
        <w:autoSpaceDE w:val="0"/>
        <w:autoSpaceDN w:val="0"/>
        <w:rPr>
          <w:rFonts w:hint="default"/>
          <w:color w:val="auto"/>
          <w:highlight w:val="none"/>
          <w:shd w:val="clear" w:color="auto" w:themeFill="background1" w:themeFillTint="FF" w:themeFillShade="FF"/>
        </w:rPr>
      </w:pPr>
    </w:p>
    <w:p>
      <w:pPr>
        <w:pStyle w:val="41"/>
        <w:autoSpaceDE w:val="0"/>
        <w:autoSpaceDN w:val="0"/>
        <w:rPr>
          <w:rFonts w:hint="default"/>
          <w:color w:val="auto"/>
          <w:highlight w:val="none"/>
          <w:shd w:val="clear" w:color="auto" w:themeFill="background1" w:themeFillTint="FF" w:themeFillShade="FF"/>
        </w:rPr>
      </w:pPr>
      <w:r>
        <w:rPr>
          <w:rFonts w:hint="default"/>
          <w:color w:val="auto"/>
          <w:highlight w:val="none"/>
        </w:rPr>
        <mc:AlternateContent>
          <mc:Choice Requires="wps">
            <w:drawing>
              <wp:anchor distT="0" distB="0" distL="114300" distR="114300" simplePos="0" relativeHeight="96" behindDoc="0" locked="0" layoutInCell="1" hidden="0" allowOverlap="1">
                <wp:simplePos x="0" y="0"/>
                <wp:positionH relativeFrom="column">
                  <wp:posOffset>4695825</wp:posOffset>
                </wp:positionH>
                <wp:positionV relativeFrom="paragraph">
                  <wp:posOffset>93980</wp:posOffset>
                </wp:positionV>
                <wp:extent cx="179705" cy="100330"/>
                <wp:effectExtent l="0" t="0" r="635" b="635"/>
                <wp:wrapNone/>
                <wp:docPr id="1190" name="正方形/長方形 38"/>
                <a:graphic xmlns:a="http://schemas.openxmlformats.org/drawingml/2006/main">
                  <a:graphicData uri="http://schemas.microsoft.com/office/word/2010/wordprocessingShape">
                    <wps:wsp>
                      <wps:cNvPr id="1190" name="正方形/長方形 38"/>
                      <wps:cNvSpPr/>
                      <wps:spPr>
                        <a:xfrm rot="5400000">
                          <a:off x="0" y="0"/>
                          <a:ext cx="179705" cy="100330"/>
                        </a:xfrm>
                        <a:prstGeom prst="rect">
                          <a:avLst/>
                        </a:prstGeom>
                        <a:solidFill>
                          <a:sysClr val="window" lastClr="FFFFFF"/>
                        </a:solidFill>
                        <a:ln w="25400" cap="flat" cmpd="sng" algn="ctr">
                          <a:noFill/>
                          <a:prstDash val="solid"/>
                        </a:ln>
                        <a:effectLst/>
                      </wps:spPr>
                      <wps:txbx>
                        <w:txbxContent>
                          <w:p>
                            <w:pPr>
                              <w:pStyle w:val="0"/>
                              <w:spacing w:line="80" w:lineRule="exact"/>
                              <w:jc w:val="center"/>
                              <w:rPr>
                                <w:rFonts w:hint="default" w:ascii="ＭＳ Ｐゴシック" w:hAnsi="ＭＳ Ｐゴシック" w:eastAsia="ＭＳ Ｐゴシック"/>
                                <w:color w:val="000000" w:themeColor="text1"/>
                                <w:sz w:val="12"/>
                              </w:rPr>
                            </w:pPr>
                            <w:r>
                              <w:rPr>
                                <w:rFonts w:hint="eastAsia" w:ascii="ＭＳ Ｐゴシック" w:hAnsi="ＭＳ Ｐゴシック" w:eastAsia="ＭＳ Ｐゴシック"/>
                                <w:color w:val="000000" w:themeColor="text1"/>
                                <w:sz w:val="12"/>
                              </w:rPr>
                              <w:t>～</w:t>
                            </w:r>
                          </w:p>
                          <w:p>
                            <w:pPr>
                              <w:pStyle w:val="0"/>
                              <w:spacing w:line="80" w:lineRule="exact"/>
                              <w:jc w:val="center"/>
                              <w:rPr>
                                <w:rFonts w:hint="default" w:ascii="ＭＳ Ｐゴシック" w:hAnsi="ＭＳ Ｐゴシック" w:eastAsia="ＭＳ Ｐゴシック"/>
                                <w:color w:val="000000" w:themeColor="text1"/>
                                <w:sz w:val="12"/>
                              </w:rPr>
                            </w:pPr>
                            <w:r>
                              <w:rPr>
                                <w:rFonts w:hint="eastAsia" w:ascii="ＭＳ Ｐゴシック" w:hAnsi="ＭＳ Ｐゴシック" w:eastAsia="ＭＳ Ｐゴシック"/>
                                <w:color w:val="000000" w:themeColor="text1"/>
                                <w:sz w:val="12"/>
                              </w:rPr>
                              <w:t>～</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38" style="mso-wrap-distance-right:9pt;mso-wrap-distance-bottom:0pt;margin-top:7.4pt;mso-position-vertical-relative:text;mso-position-horizontal-relative:text;v-text-anchor:middle;position:absolute;height:7.9pt;mso-wrap-distance-top:0pt;width:14.15pt;mso-wrap-distance-left:9pt;margin-left:369.75pt;z-index:96;rotation:90;" o:spid="_x0000_s1190" o:allowincell="t" o:allowoverlap="t" filled="t" fillcolor="#ffffff" stroked="f" strokeweight="2pt" o:spt="1">
                <v:fill/>
                <v:stroke linestyle="single" endcap="flat" dashstyle="solid"/>
                <v:textbox style="layout-flow:horizontal;" inset="0mm,0mm,0mm,0mm">
                  <w:txbxContent>
                    <w:p>
                      <w:pPr>
                        <w:pStyle w:val="0"/>
                        <w:spacing w:line="80" w:lineRule="exact"/>
                        <w:jc w:val="center"/>
                        <w:rPr>
                          <w:rFonts w:hint="default" w:ascii="ＭＳ Ｐゴシック" w:hAnsi="ＭＳ Ｐゴシック" w:eastAsia="ＭＳ Ｐゴシック"/>
                          <w:color w:val="000000" w:themeColor="text1"/>
                          <w:sz w:val="12"/>
                        </w:rPr>
                      </w:pPr>
                      <w:r>
                        <w:rPr>
                          <w:rFonts w:hint="eastAsia" w:ascii="ＭＳ Ｐゴシック" w:hAnsi="ＭＳ Ｐゴシック" w:eastAsia="ＭＳ Ｐゴシック"/>
                          <w:color w:val="000000" w:themeColor="text1"/>
                          <w:sz w:val="12"/>
                        </w:rPr>
                        <w:t>～</w:t>
                      </w:r>
                    </w:p>
                    <w:p>
                      <w:pPr>
                        <w:pStyle w:val="0"/>
                        <w:spacing w:line="80" w:lineRule="exact"/>
                        <w:jc w:val="center"/>
                        <w:rPr>
                          <w:rFonts w:hint="default" w:ascii="ＭＳ Ｐゴシック" w:hAnsi="ＭＳ Ｐゴシック" w:eastAsia="ＭＳ Ｐゴシック"/>
                          <w:color w:val="000000" w:themeColor="text1"/>
                          <w:sz w:val="12"/>
                        </w:rPr>
                      </w:pPr>
                      <w:r>
                        <w:rPr>
                          <w:rFonts w:hint="eastAsia" w:ascii="ＭＳ Ｐゴシック" w:hAnsi="ＭＳ Ｐゴシック" w:eastAsia="ＭＳ Ｐゴシック"/>
                          <w:color w:val="000000" w:themeColor="text1"/>
                          <w:sz w:val="12"/>
                        </w:rPr>
                        <w:t>～</w:t>
                      </w:r>
                    </w:p>
                  </w:txbxContent>
                </v:textbox>
                <v:imagedata o:title=""/>
                <w10:wrap type="none" anchorx="text" anchory="text"/>
              </v:rect>
            </w:pict>
          </mc:Fallback>
        </mc:AlternateContent>
      </w:r>
    </w:p>
    <w:p>
      <w:pPr>
        <w:pStyle w:val="41"/>
        <w:autoSpaceDE w:val="0"/>
        <w:autoSpaceDN w:val="0"/>
        <w:rPr>
          <w:rFonts w:hint="default"/>
          <w:color w:val="auto"/>
          <w:highlight w:val="none"/>
          <w:shd w:val="clear" w:color="auto" w:themeFill="background1" w:themeFillTint="FF" w:themeFillShade="FF"/>
        </w:rPr>
      </w:pPr>
    </w:p>
    <w:p>
      <w:pPr>
        <w:pStyle w:val="79"/>
        <w:spacing w:before="190" w:beforeLines="0" w:beforeAutospacing="0"/>
        <w:rPr>
          <w:rFonts w:hint="default"/>
          <w:color w:val="auto"/>
          <w:highlight w:val="none"/>
        </w:rPr>
      </w:pPr>
      <w:bookmarkStart w:id="145" w:name="_Toc149639040"/>
      <w:r>
        <w:rPr>
          <w:rFonts w:hint="eastAsia"/>
          <w:color w:val="auto"/>
          <w:highlight w:val="none"/>
        </w:rPr>
        <w:t>図表　日常生活圏域別要支援・要介護認定者数・認定率の推移・推計（第</w:t>
      </w:r>
      <w:r>
        <w:rPr>
          <w:rFonts w:hint="eastAsia"/>
          <w:color w:val="auto"/>
          <w:highlight w:val="none"/>
        </w:rPr>
        <w:t>1</w:t>
      </w:r>
      <w:r>
        <w:rPr>
          <w:rFonts w:hint="eastAsia"/>
          <w:color w:val="auto"/>
          <w:highlight w:val="none"/>
        </w:rPr>
        <w:t>号被保険者）</w:t>
      </w:r>
    </w:p>
    <w:p>
      <w:pPr>
        <w:pStyle w:val="0"/>
        <w:widowControl w:val="1"/>
        <w:autoSpaceDE w:val="0"/>
        <w:autoSpaceDN w:val="0"/>
        <w:spacing w:after="37" w:afterLines="10" w:afterAutospacing="0" w:line="240" w:lineRule="exact"/>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sz w:val="18"/>
          <w:highlight w:val="none"/>
        </w:rPr>
        <w:t>（単位：人）</w:t>
      </w:r>
    </w:p>
    <w:tbl>
      <w:tblPr>
        <w:tblStyle w:val="89"/>
        <w:tblW w:w="8533" w:type="dxa"/>
        <w:tblInd w:w="534" w:type="dxa"/>
        <w:tblLayout w:type="fixed"/>
        <w:tblLook w:firstRow="1" w:lastRow="0" w:firstColumn="1" w:lastColumn="0" w:noHBand="0" w:noVBand="1" w:val="04A0"/>
      </w:tblPr>
      <w:tblGrid>
        <w:gridCol w:w="878"/>
        <w:gridCol w:w="992"/>
        <w:gridCol w:w="951"/>
        <w:gridCol w:w="952"/>
        <w:gridCol w:w="952"/>
        <w:gridCol w:w="952"/>
        <w:gridCol w:w="952"/>
        <w:gridCol w:w="952"/>
        <w:gridCol w:w="952"/>
      </w:tblGrid>
      <w:tr>
        <w:trPr/>
        <w:tc>
          <w:tcPr>
            <w:tcW w:w="1870" w:type="dxa"/>
            <w:gridSpan w:val="2"/>
            <w:vMerge w:val="restart"/>
            <w:shd w:val="clear" w:color="auto" w:fill="CCECFF"/>
            <w:vAlign w:val="center"/>
          </w:tcPr>
          <w:p>
            <w:pPr>
              <w:pStyle w:val="0"/>
              <w:autoSpaceDE w:val="0"/>
              <w:autoSpaceDN w:val="0"/>
              <w:spacing w:line="240" w:lineRule="exact"/>
              <w:jc w:val="center"/>
              <w:rPr>
                <w:rFonts w:hint="default" w:ascii="ＭＳ Ｐゴシック" w:hAnsi="ＭＳ Ｐゴシック" w:eastAsia="ＭＳ Ｐゴシック"/>
                <w:color w:val="auto"/>
                <w:kern w:val="24"/>
                <w:sz w:val="18"/>
                <w:highlight w:val="none"/>
              </w:rPr>
            </w:pPr>
          </w:p>
        </w:tc>
        <w:tc>
          <w:tcPr>
            <w:tcW w:w="2855" w:type="dxa"/>
            <w:gridSpan w:val="3"/>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第</w:t>
            </w:r>
            <w:r>
              <w:rPr>
                <w:rFonts w:hint="eastAsia" w:ascii="ＭＳ Ｐゴシック" w:hAnsi="ＭＳ Ｐゴシック" w:eastAsia="ＭＳ Ｐゴシック"/>
                <w:color w:val="auto"/>
                <w:kern w:val="24"/>
                <w:sz w:val="18"/>
                <w:highlight w:val="none"/>
              </w:rPr>
              <w:t>8</w:t>
            </w:r>
            <w:r>
              <w:rPr>
                <w:rFonts w:hint="eastAsia" w:ascii="ＭＳ Ｐゴシック" w:hAnsi="ＭＳ Ｐゴシック" w:eastAsia="ＭＳ Ｐゴシック"/>
                <w:color w:val="auto"/>
                <w:kern w:val="24"/>
                <w:sz w:val="18"/>
                <w:highlight w:val="none"/>
              </w:rPr>
              <w:t>期</w:t>
            </w:r>
          </w:p>
        </w:tc>
        <w:tc>
          <w:tcPr>
            <w:tcW w:w="2856" w:type="dxa"/>
            <w:gridSpan w:val="3"/>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第</w:t>
            </w:r>
            <w:r>
              <w:rPr>
                <w:rFonts w:hint="eastAsia" w:ascii="ＭＳ Ｐゴシック" w:hAnsi="ＭＳ Ｐゴシック" w:eastAsia="ＭＳ Ｐゴシック"/>
                <w:color w:val="auto"/>
                <w:kern w:val="24"/>
                <w:sz w:val="18"/>
                <w:highlight w:val="none"/>
              </w:rPr>
              <w:t>9</w:t>
            </w:r>
            <w:r>
              <w:rPr>
                <w:rFonts w:hint="eastAsia" w:ascii="ＭＳ Ｐゴシック" w:hAnsi="ＭＳ Ｐゴシック" w:eastAsia="ＭＳ Ｐゴシック"/>
                <w:color w:val="auto"/>
                <w:kern w:val="24"/>
                <w:sz w:val="18"/>
                <w:highlight w:val="none"/>
              </w:rPr>
              <w:t>期</w:t>
            </w:r>
          </w:p>
        </w:tc>
        <w:tc>
          <w:tcPr>
            <w:tcW w:w="952"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22</w:t>
            </w:r>
            <w:r>
              <w:rPr>
                <w:rFonts w:hint="eastAsia" w:ascii="ＭＳ Ｐゴシック" w:hAnsi="ＭＳ Ｐゴシック" w:eastAsia="ＭＳ Ｐゴシック"/>
                <w:color w:val="auto"/>
                <w:kern w:val="24"/>
                <w:sz w:val="18"/>
                <w:highlight w:val="none"/>
              </w:rPr>
              <w:t>年度</w:t>
            </w:r>
          </w:p>
          <w:p>
            <w:pPr>
              <w:pStyle w:val="0"/>
              <w:autoSpaceDE w:val="0"/>
              <w:autoSpaceDN w:val="0"/>
              <w:spacing w:line="24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2040</w:t>
            </w:r>
            <w:r>
              <w:rPr>
                <w:rFonts w:hint="eastAsia" w:ascii="ＭＳ Ｐゴシック" w:hAnsi="ＭＳ Ｐゴシック" w:eastAsia="ＭＳ Ｐゴシック"/>
                <w:color w:val="auto"/>
                <w:kern w:val="24"/>
                <w:sz w:val="18"/>
                <w:highlight w:val="none"/>
              </w:rPr>
              <w:t>年度）</w:t>
            </w:r>
          </w:p>
        </w:tc>
      </w:tr>
      <w:tr>
        <w:trPr/>
        <w:tc>
          <w:tcPr>
            <w:tcW w:w="1870" w:type="dxa"/>
            <w:gridSpan w:val="2"/>
            <w:vMerge w:val="continue"/>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kern w:val="24"/>
                <w:sz w:val="18"/>
              </w:rPr>
            </w:pPr>
          </w:p>
        </w:tc>
        <w:tc>
          <w:tcPr>
            <w:tcW w:w="95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3</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4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2021</w:t>
            </w:r>
            <w:r>
              <w:rPr>
                <w:rFonts w:hint="eastAsia" w:ascii="ＭＳ Ｐゴシック" w:hAnsi="ＭＳ Ｐゴシック" w:eastAsia="ＭＳ Ｐゴシック"/>
                <w:color w:val="auto"/>
                <w:kern w:val="24"/>
                <w:sz w:val="18"/>
                <w:highlight w:val="none"/>
              </w:rPr>
              <w:t>年度）</w:t>
            </w:r>
          </w:p>
        </w:tc>
        <w:tc>
          <w:tcPr>
            <w:tcW w:w="95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4</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4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2022</w:t>
            </w:r>
            <w:r>
              <w:rPr>
                <w:rFonts w:hint="eastAsia" w:ascii="ＭＳ Ｐゴシック" w:hAnsi="ＭＳ Ｐゴシック" w:eastAsia="ＭＳ Ｐゴシック"/>
                <w:color w:val="auto"/>
                <w:kern w:val="24"/>
                <w:sz w:val="18"/>
                <w:highlight w:val="none"/>
              </w:rPr>
              <w:t>年度）</w:t>
            </w:r>
          </w:p>
        </w:tc>
        <w:tc>
          <w:tcPr>
            <w:tcW w:w="95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5</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4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2023</w:t>
            </w:r>
            <w:r>
              <w:rPr>
                <w:rFonts w:hint="eastAsia" w:ascii="ＭＳ Ｐゴシック" w:hAnsi="ＭＳ Ｐゴシック" w:eastAsia="ＭＳ Ｐゴシック"/>
                <w:color w:val="auto"/>
                <w:kern w:val="24"/>
                <w:sz w:val="18"/>
                <w:highlight w:val="none"/>
              </w:rPr>
              <w:t>年度）</w:t>
            </w:r>
          </w:p>
        </w:tc>
        <w:tc>
          <w:tcPr>
            <w:tcW w:w="952" w:type="dxa"/>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6</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4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2024</w:t>
            </w:r>
            <w:r>
              <w:rPr>
                <w:rFonts w:hint="eastAsia" w:ascii="ＭＳ Ｐゴシック" w:hAnsi="ＭＳ Ｐゴシック" w:eastAsia="ＭＳ Ｐゴシック"/>
                <w:color w:val="auto"/>
                <w:kern w:val="24"/>
                <w:sz w:val="18"/>
                <w:highlight w:val="none"/>
              </w:rPr>
              <w:t>年度）</w:t>
            </w:r>
          </w:p>
        </w:tc>
        <w:tc>
          <w:tcPr>
            <w:tcW w:w="952" w:type="dxa"/>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7</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4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2025</w:t>
            </w:r>
            <w:r>
              <w:rPr>
                <w:rFonts w:hint="eastAsia" w:ascii="ＭＳ Ｐゴシック" w:hAnsi="ＭＳ Ｐゴシック" w:eastAsia="ＭＳ Ｐゴシック"/>
                <w:color w:val="auto"/>
                <w:kern w:val="24"/>
                <w:sz w:val="18"/>
                <w:highlight w:val="none"/>
              </w:rPr>
              <w:t>年度）</w:t>
            </w:r>
          </w:p>
        </w:tc>
        <w:tc>
          <w:tcPr>
            <w:tcW w:w="952" w:type="dxa"/>
            <w:tcBorders>
              <w:top w:val="none" w:color="auto" w:sz="0" w:space="0"/>
              <w:left w:val="none" w:color="auto" w:sz="0" w:space="0"/>
              <w:bottom w:val="single" w:color="auto" w:sz="4" w:space="0"/>
              <w:right w:val="double" w:color="auto" w:sz="4"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8</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4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2026</w:t>
            </w:r>
            <w:r>
              <w:rPr>
                <w:rFonts w:hint="eastAsia" w:ascii="ＭＳ Ｐゴシック" w:hAnsi="ＭＳ Ｐゴシック" w:eastAsia="ＭＳ Ｐゴシック"/>
                <w:color w:val="auto"/>
                <w:kern w:val="24"/>
                <w:sz w:val="18"/>
                <w:highlight w:val="none"/>
              </w:rPr>
              <w:t>年度）</w:t>
            </w:r>
          </w:p>
        </w:tc>
        <w:tc>
          <w:tcPr>
            <w:tcW w:w="952"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CCECFF"/>
            <w:vAlign w:val="top"/>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kern w:val="24"/>
                <w:sz w:val="18"/>
              </w:rPr>
            </w:pPr>
          </w:p>
        </w:tc>
      </w:tr>
      <w:tr>
        <w:trPr>
          <w:trHeight w:val="283" w:hRule="atLeast"/>
        </w:trPr>
        <w:tc>
          <w:tcPr>
            <w:tcW w:w="878" w:type="dxa"/>
            <w:vMerge w:val="restart"/>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廿日市</w:t>
            </w:r>
          </w:p>
          <w:p>
            <w:pPr>
              <w:pStyle w:val="0"/>
              <w:widowControl w:val="1"/>
              <w:autoSpaceDE w:val="0"/>
              <w:autoSpaceDN w:val="0"/>
              <w:spacing w:line="240" w:lineRule="exact"/>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東部</w:t>
            </w:r>
          </w:p>
        </w:tc>
        <w:tc>
          <w:tcPr>
            <w:tcW w:w="992"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認定者数</w:t>
            </w:r>
          </w:p>
        </w:tc>
        <w:tc>
          <w:tcPr>
            <w:tcW w:w="951"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1,424</w:t>
            </w:r>
          </w:p>
        </w:tc>
        <w:tc>
          <w:tcPr>
            <w:tcW w:w="952"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1,447</w:t>
            </w:r>
          </w:p>
        </w:tc>
        <w:tc>
          <w:tcPr>
            <w:tcW w:w="952"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1,425</w:t>
            </w:r>
          </w:p>
        </w:tc>
        <w:tc>
          <w:tcPr>
            <w:tcW w:w="952"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1,477</w:t>
            </w:r>
          </w:p>
        </w:tc>
        <w:tc>
          <w:tcPr>
            <w:tcW w:w="952"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1,511</w:t>
            </w:r>
          </w:p>
        </w:tc>
        <w:tc>
          <w:tcPr>
            <w:tcW w:w="952" w:type="dxa"/>
            <w:tcBorders>
              <w:top w:val="single" w:color="auto" w:sz="4" w:space="0"/>
              <w:left w:val="nil"/>
              <w:bottom w:val="dashSmallGap" w:color="auto" w:sz="4" w:space="0"/>
              <w:right w:val="doub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1,540</w:t>
            </w:r>
          </w:p>
        </w:tc>
        <w:tc>
          <w:tcPr>
            <w:tcW w:w="952" w:type="dxa"/>
            <w:tcBorders>
              <w:top w:val="single" w:color="auto" w:sz="4" w:space="0"/>
              <w:left w:val="doub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1,857</w:t>
            </w:r>
          </w:p>
        </w:tc>
      </w:tr>
      <w:tr>
        <w:trPr>
          <w:trHeight w:val="283" w:hRule="atLeast"/>
        </w:trPr>
        <w:tc>
          <w:tcPr>
            <w:tcW w:w="878" w:type="dxa"/>
            <w:vMerge w:val="continue"/>
            <w:vAlign w:val="center"/>
          </w:tcPr>
          <w:p>
            <w:pPr>
              <w:pStyle w:val="0"/>
              <w:widowControl w:val="1"/>
              <w:autoSpaceDE w:val="0"/>
              <w:autoSpaceDN w:val="0"/>
              <w:spacing w:line="240" w:lineRule="exact"/>
              <w:jc w:val="center"/>
              <w:rPr>
                <w:rFonts w:hint="default" w:ascii="ＭＳ Ｐゴシック" w:hAnsi="ＭＳ Ｐゴシック" w:eastAsia="ＭＳ Ｐゴシック"/>
                <w:kern w:val="24"/>
                <w:sz w:val="18"/>
              </w:rPr>
            </w:pPr>
          </w:p>
        </w:tc>
        <w:tc>
          <w:tcPr>
            <w:tcW w:w="992"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認定率</w:t>
            </w:r>
          </w:p>
        </w:tc>
        <w:tc>
          <w:tcPr>
            <w:tcW w:w="95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18.6%</w:t>
            </w:r>
          </w:p>
        </w:tc>
        <w:tc>
          <w:tcPr>
            <w:tcW w:w="952"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18.8%</w:t>
            </w:r>
          </w:p>
        </w:tc>
        <w:tc>
          <w:tcPr>
            <w:tcW w:w="952"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18.5%</w:t>
            </w:r>
          </w:p>
        </w:tc>
        <w:tc>
          <w:tcPr>
            <w:tcW w:w="952"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19.0%</w:t>
            </w:r>
          </w:p>
        </w:tc>
        <w:tc>
          <w:tcPr>
            <w:tcW w:w="952"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19.4%</w:t>
            </w:r>
          </w:p>
        </w:tc>
        <w:tc>
          <w:tcPr>
            <w:tcW w:w="952" w:type="dxa"/>
            <w:tcBorders>
              <w:top w:val="dashSmallGap"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19.7%</w:t>
            </w:r>
          </w:p>
        </w:tc>
        <w:tc>
          <w:tcPr>
            <w:tcW w:w="952" w:type="dxa"/>
            <w:tcBorders>
              <w:top w:val="dashSmallGap"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20.3%</w:t>
            </w:r>
          </w:p>
        </w:tc>
      </w:tr>
      <w:tr>
        <w:trPr>
          <w:trHeight w:val="283" w:hRule="atLeast"/>
        </w:trPr>
        <w:tc>
          <w:tcPr>
            <w:tcW w:w="878" w:type="dxa"/>
            <w:vMerge w:val="restart"/>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廿日市</w:t>
            </w:r>
          </w:p>
          <w:p>
            <w:pPr>
              <w:pStyle w:val="0"/>
              <w:widowControl w:val="1"/>
              <w:autoSpaceDE w:val="0"/>
              <w:autoSpaceDN w:val="0"/>
              <w:spacing w:line="240" w:lineRule="exact"/>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中部</w:t>
            </w:r>
          </w:p>
        </w:tc>
        <w:tc>
          <w:tcPr>
            <w:tcW w:w="992"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認定者数</w:t>
            </w:r>
          </w:p>
        </w:tc>
        <w:tc>
          <w:tcPr>
            <w:tcW w:w="951"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1,123</w:t>
            </w:r>
          </w:p>
        </w:tc>
        <w:tc>
          <w:tcPr>
            <w:tcW w:w="952"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1,147</w:t>
            </w:r>
          </w:p>
        </w:tc>
        <w:tc>
          <w:tcPr>
            <w:tcW w:w="952"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1,143</w:t>
            </w:r>
          </w:p>
        </w:tc>
        <w:tc>
          <w:tcPr>
            <w:tcW w:w="952" w:type="dxa"/>
            <w:tcBorders>
              <w:top w:val="nil"/>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1,212</w:t>
            </w:r>
          </w:p>
        </w:tc>
        <w:tc>
          <w:tcPr>
            <w:tcW w:w="952"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1,255</w:t>
            </w:r>
          </w:p>
        </w:tc>
        <w:tc>
          <w:tcPr>
            <w:tcW w:w="952" w:type="dxa"/>
            <w:tcBorders>
              <w:top w:val="nil"/>
              <w:left w:val="nil"/>
              <w:bottom w:val="dashSmallGap" w:color="auto" w:sz="4" w:space="0"/>
              <w:right w:val="doub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1,309</w:t>
            </w:r>
          </w:p>
        </w:tc>
        <w:tc>
          <w:tcPr>
            <w:tcW w:w="952" w:type="dxa"/>
            <w:tcBorders>
              <w:top w:val="nil"/>
              <w:left w:val="doub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2,063</w:t>
            </w:r>
          </w:p>
        </w:tc>
      </w:tr>
      <w:tr>
        <w:trPr>
          <w:trHeight w:val="283" w:hRule="atLeast"/>
        </w:trPr>
        <w:tc>
          <w:tcPr>
            <w:tcW w:w="878" w:type="dxa"/>
            <w:vMerge w:val="continue"/>
            <w:vAlign w:val="center"/>
          </w:tcPr>
          <w:p>
            <w:pPr>
              <w:pStyle w:val="0"/>
              <w:widowControl w:val="1"/>
              <w:autoSpaceDE w:val="0"/>
              <w:autoSpaceDN w:val="0"/>
              <w:spacing w:line="240" w:lineRule="exact"/>
              <w:jc w:val="center"/>
              <w:rPr>
                <w:rFonts w:hint="default" w:ascii="ＭＳ Ｐゴシック" w:hAnsi="ＭＳ Ｐゴシック" w:eastAsia="ＭＳ Ｐゴシック"/>
                <w:kern w:val="24"/>
                <w:sz w:val="18"/>
              </w:rPr>
            </w:pPr>
          </w:p>
        </w:tc>
        <w:tc>
          <w:tcPr>
            <w:tcW w:w="992"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認定率</w:t>
            </w:r>
          </w:p>
        </w:tc>
        <w:tc>
          <w:tcPr>
            <w:tcW w:w="95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15.4%</w:t>
            </w:r>
          </w:p>
        </w:tc>
        <w:tc>
          <w:tcPr>
            <w:tcW w:w="952"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15.3%</w:t>
            </w:r>
          </w:p>
        </w:tc>
        <w:tc>
          <w:tcPr>
            <w:tcW w:w="952"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14.8%</w:t>
            </w:r>
          </w:p>
        </w:tc>
        <w:tc>
          <w:tcPr>
            <w:tcW w:w="952"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15.3%</w:t>
            </w:r>
          </w:p>
        </w:tc>
        <w:tc>
          <w:tcPr>
            <w:tcW w:w="952"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15.5%</w:t>
            </w:r>
          </w:p>
        </w:tc>
        <w:tc>
          <w:tcPr>
            <w:tcW w:w="952" w:type="dxa"/>
            <w:tcBorders>
              <w:top w:val="dashSmallGap"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15.9%</w:t>
            </w:r>
          </w:p>
        </w:tc>
        <w:tc>
          <w:tcPr>
            <w:tcW w:w="952" w:type="dxa"/>
            <w:tcBorders>
              <w:top w:val="dashSmallGap"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25.5%</w:t>
            </w:r>
          </w:p>
        </w:tc>
      </w:tr>
      <w:tr>
        <w:trPr>
          <w:trHeight w:val="283" w:hRule="atLeast"/>
        </w:trPr>
        <w:tc>
          <w:tcPr>
            <w:tcW w:w="878" w:type="dxa"/>
            <w:vMerge w:val="restart"/>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廿日市</w:t>
            </w:r>
          </w:p>
          <w:p>
            <w:pPr>
              <w:pStyle w:val="0"/>
              <w:widowControl w:val="1"/>
              <w:autoSpaceDE w:val="0"/>
              <w:autoSpaceDN w:val="0"/>
              <w:spacing w:line="240" w:lineRule="exact"/>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西部</w:t>
            </w:r>
          </w:p>
        </w:tc>
        <w:tc>
          <w:tcPr>
            <w:tcW w:w="992"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認定者数</w:t>
            </w:r>
          </w:p>
        </w:tc>
        <w:tc>
          <w:tcPr>
            <w:tcW w:w="951"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1,225</w:t>
            </w:r>
          </w:p>
        </w:tc>
        <w:tc>
          <w:tcPr>
            <w:tcW w:w="952"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1,269</w:t>
            </w:r>
          </w:p>
        </w:tc>
        <w:tc>
          <w:tcPr>
            <w:tcW w:w="952"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1,290</w:t>
            </w:r>
          </w:p>
        </w:tc>
        <w:tc>
          <w:tcPr>
            <w:tcW w:w="952" w:type="dxa"/>
            <w:tcBorders>
              <w:top w:val="nil"/>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1,354</w:t>
            </w:r>
          </w:p>
        </w:tc>
        <w:tc>
          <w:tcPr>
            <w:tcW w:w="952"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1,397</w:t>
            </w:r>
          </w:p>
        </w:tc>
        <w:tc>
          <w:tcPr>
            <w:tcW w:w="952" w:type="dxa"/>
            <w:tcBorders>
              <w:top w:val="nil"/>
              <w:left w:val="nil"/>
              <w:bottom w:val="dashSmallGap" w:color="auto" w:sz="4" w:space="0"/>
              <w:right w:val="doub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1,436</w:t>
            </w:r>
          </w:p>
        </w:tc>
        <w:tc>
          <w:tcPr>
            <w:tcW w:w="952" w:type="dxa"/>
            <w:tcBorders>
              <w:top w:val="nil"/>
              <w:left w:val="doub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1,847</w:t>
            </w:r>
          </w:p>
        </w:tc>
      </w:tr>
      <w:tr>
        <w:trPr>
          <w:trHeight w:val="283" w:hRule="atLeast"/>
        </w:trPr>
        <w:tc>
          <w:tcPr>
            <w:tcW w:w="878" w:type="dxa"/>
            <w:vMerge w:val="continue"/>
            <w:vAlign w:val="center"/>
          </w:tcPr>
          <w:p>
            <w:pPr>
              <w:pStyle w:val="0"/>
              <w:widowControl w:val="1"/>
              <w:autoSpaceDE w:val="0"/>
              <w:autoSpaceDN w:val="0"/>
              <w:spacing w:line="240" w:lineRule="exact"/>
              <w:jc w:val="center"/>
              <w:rPr>
                <w:rFonts w:hint="default" w:ascii="ＭＳ Ｐゴシック" w:hAnsi="ＭＳ Ｐゴシック" w:eastAsia="ＭＳ Ｐゴシック"/>
                <w:kern w:val="24"/>
                <w:sz w:val="18"/>
              </w:rPr>
            </w:pPr>
          </w:p>
        </w:tc>
        <w:tc>
          <w:tcPr>
            <w:tcW w:w="992"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認定率</w:t>
            </w:r>
          </w:p>
        </w:tc>
        <w:tc>
          <w:tcPr>
            <w:tcW w:w="95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17.5%</w:t>
            </w:r>
          </w:p>
        </w:tc>
        <w:tc>
          <w:tcPr>
            <w:tcW w:w="952"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17.9%</w:t>
            </w:r>
          </w:p>
        </w:tc>
        <w:tc>
          <w:tcPr>
            <w:tcW w:w="952"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18.1%</w:t>
            </w:r>
          </w:p>
        </w:tc>
        <w:tc>
          <w:tcPr>
            <w:tcW w:w="952"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18.9%</w:t>
            </w:r>
          </w:p>
        </w:tc>
        <w:tc>
          <w:tcPr>
            <w:tcW w:w="952"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19.5%</w:t>
            </w:r>
          </w:p>
        </w:tc>
        <w:tc>
          <w:tcPr>
            <w:tcW w:w="952" w:type="dxa"/>
            <w:tcBorders>
              <w:top w:val="dashSmallGap"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20.0%</w:t>
            </w:r>
          </w:p>
        </w:tc>
        <w:tc>
          <w:tcPr>
            <w:tcW w:w="952" w:type="dxa"/>
            <w:tcBorders>
              <w:top w:val="dashSmallGap"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27.6%</w:t>
            </w:r>
          </w:p>
        </w:tc>
      </w:tr>
      <w:tr>
        <w:trPr>
          <w:trHeight w:val="283" w:hRule="atLeast"/>
        </w:trPr>
        <w:tc>
          <w:tcPr>
            <w:tcW w:w="878" w:type="dxa"/>
            <w:vMerge w:val="restart"/>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佐伯</w:t>
            </w:r>
          </w:p>
        </w:tc>
        <w:tc>
          <w:tcPr>
            <w:tcW w:w="992"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認定者数</w:t>
            </w:r>
          </w:p>
        </w:tc>
        <w:tc>
          <w:tcPr>
            <w:tcW w:w="951"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698</w:t>
            </w:r>
          </w:p>
        </w:tc>
        <w:tc>
          <w:tcPr>
            <w:tcW w:w="952"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700</w:t>
            </w:r>
          </w:p>
        </w:tc>
        <w:tc>
          <w:tcPr>
            <w:tcW w:w="952"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705</w:t>
            </w:r>
          </w:p>
        </w:tc>
        <w:tc>
          <w:tcPr>
            <w:tcW w:w="952" w:type="dxa"/>
            <w:tcBorders>
              <w:top w:val="nil"/>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722</w:t>
            </w:r>
          </w:p>
        </w:tc>
        <w:tc>
          <w:tcPr>
            <w:tcW w:w="952"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723</w:t>
            </w:r>
          </w:p>
        </w:tc>
        <w:tc>
          <w:tcPr>
            <w:tcW w:w="952" w:type="dxa"/>
            <w:tcBorders>
              <w:top w:val="nil"/>
              <w:left w:val="nil"/>
              <w:bottom w:val="dashSmallGap" w:color="auto" w:sz="4" w:space="0"/>
              <w:right w:val="doub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725</w:t>
            </w:r>
          </w:p>
        </w:tc>
        <w:tc>
          <w:tcPr>
            <w:tcW w:w="952" w:type="dxa"/>
            <w:tcBorders>
              <w:top w:val="nil"/>
              <w:left w:val="doub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769</w:t>
            </w:r>
          </w:p>
        </w:tc>
      </w:tr>
      <w:tr>
        <w:trPr>
          <w:trHeight w:val="283" w:hRule="atLeast"/>
        </w:trPr>
        <w:tc>
          <w:tcPr>
            <w:tcW w:w="878" w:type="dxa"/>
            <w:vMerge w:val="continue"/>
            <w:vAlign w:val="center"/>
          </w:tcPr>
          <w:p>
            <w:pPr>
              <w:pStyle w:val="0"/>
              <w:widowControl w:val="1"/>
              <w:autoSpaceDE w:val="0"/>
              <w:autoSpaceDN w:val="0"/>
              <w:spacing w:line="240" w:lineRule="exact"/>
              <w:jc w:val="center"/>
              <w:rPr>
                <w:rFonts w:hint="default" w:ascii="ＭＳ Ｐゴシック" w:hAnsi="ＭＳ Ｐゴシック" w:eastAsia="ＭＳ Ｐゴシック"/>
                <w:kern w:val="24"/>
                <w:sz w:val="18"/>
              </w:rPr>
            </w:pPr>
          </w:p>
        </w:tc>
        <w:tc>
          <w:tcPr>
            <w:tcW w:w="992"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認定率</w:t>
            </w:r>
          </w:p>
        </w:tc>
        <w:tc>
          <w:tcPr>
            <w:tcW w:w="95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17.7%</w:t>
            </w:r>
          </w:p>
        </w:tc>
        <w:tc>
          <w:tcPr>
            <w:tcW w:w="952"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17.7%</w:t>
            </w:r>
          </w:p>
        </w:tc>
        <w:tc>
          <w:tcPr>
            <w:tcW w:w="952"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17.9%</w:t>
            </w:r>
          </w:p>
        </w:tc>
        <w:tc>
          <w:tcPr>
            <w:tcW w:w="952"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18.4%</w:t>
            </w:r>
          </w:p>
        </w:tc>
        <w:tc>
          <w:tcPr>
            <w:tcW w:w="952"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18.6%</w:t>
            </w:r>
          </w:p>
        </w:tc>
        <w:tc>
          <w:tcPr>
            <w:tcW w:w="952" w:type="dxa"/>
            <w:tcBorders>
              <w:top w:val="dashSmallGap"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18.8%</w:t>
            </w:r>
          </w:p>
        </w:tc>
        <w:tc>
          <w:tcPr>
            <w:tcW w:w="952" w:type="dxa"/>
            <w:tcBorders>
              <w:top w:val="dashSmallGap"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25.0%</w:t>
            </w:r>
          </w:p>
        </w:tc>
      </w:tr>
      <w:tr>
        <w:trPr>
          <w:trHeight w:val="283" w:hRule="atLeast"/>
        </w:trPr>
        <w:tc>
          <w:tcPr>
            <w:tcW w:w="878" w:type="dxa"/>
            <w:vMerge w:val="restart"/>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吉和</w:t>
            </w:r>
          </w:p>
        </w:tc>
        <w:tc>
          <w:tcPr>
            <w:tcW w:w="992"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認定者数</w:t>
            </w:r>
          </w:p>
        </w:tc>
        <w:tc>
          <w:tcPr>
            <w:tcW w:w="951"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91</w:t>
            </w:r>
          </w:p>
        </w:tc>
        <w:tc>
          <w:tcPr>
            <w:tcW w:w="952"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80</w:t>
            </w:r>
          </w:p>
        </w:tc>
        <w:tc>
          <w:tcPr>
            <w:tcW w:w="952"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77</w:t>
            </w:r>
          </w:p>
        </w:tc>
        <w:tc>
          <w:tcPr>
            <w:tcW w:w="952" w:type="dxa"/>
            <w:tcBorders>
              <w:top w:val="nil"/>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80</w:t>
            </w:r>
          </w:p>
        </w:tc>
        <w:tc>
          <w:tcPr>
            <w:tcW w:w="952"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79</w:t>
            </w:r>
          </w:p>
        </w:tc>
        <w:tc>
          <w:tcPr>
            <w:tcW w:w="952" w:type="dxa"/>
            <w:tcBorders>
              <w:top w:val="nil"/>
              <w:left w:val="nil"/>
              <w:bottom w:val="dashSmallGap" w:color="auto" w:sz="4" w:space="0"/>
              <w:right w:val="doub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77</w:t>
            </w:r>
          </w:p>
        </w:tc>
        <w:tc>
          <w:tcPr>
            <w:tcW w:w="952" w:type="dxa"/>
            <w:tcBorders>
              <w:top w:val="nil"/>
              <w:left w:val="doub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61</w:t>
            </w:r>
          </w:p>
        </w:tc>
      </w:tr>
      <w:tr>
        <w:trPr>
          <w:trHeight w:val="283" w:hRule="atLeast"/>
        </w:trPr>
        <w:tc>
          <w:tcPr>
            <w:tcW w:w="878" w:type="dxa"/>
            <w:vMerge w:val="continue"/>
            <w:vAlign w:val="center"/>
          </w:tcPr>
          <w:p>
            <w:pPr>
              <w:pStyle w:val="0"/>
              <w:widowControl w:val="1"/>
              <w:autoSpaceDE w:val="0"/>
              <w:autoSpaceDN w:val="0"/>
              <w:spacing w:line="240" w:lineRule="exact"/>
              <w:jc w:val="center"/>
              <w:rPr>
                <w:rFonts w:hint="default" w:ascii="ＭＳ Ｐゴシック" w:hAnsi="ＭＳ Ｐゴシック" w:eastAsia="ＭＳ Ｐゴシック"/>
                <w:kern w:val="24"/>
                <w:sz w:val="18"/>
              </w:rPr>
            </w:pPr>
          </w:p>
        </w:tc>
        <w:tc>
          <w:tcPr>
            <w:tcW w:w="992"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認定率</w:t>
            </w:r>
          </w:p>
        </w:tc>
        <w:tc>
          <w:tcPr>
            <w:tcW w:w="95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29.1%</w:t>
            </w:r>
          </w:p>
        </w:tc>
        <w:tc>
          <w:tcPr>
            <w:tcW w:w="952"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26.1%</w:t>
            </w:r>
          </w:p>
        </w:tc>
        <w:tc>
          <w:tcPr>
            <w:tcW w:w="952"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25.8%</w:t>
            </w:r>
          </w:p>
        </w:tc>
        <w:tc>
          <w:tcPr>
            <w:tcW w:w="952"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26.6%</w:t>
            </w:r>
          </w:p>
        </w:tc>
        <w:tc>
          <w:tcPr>
            <w:tcW w:w="952"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26.5%</w:t>
            </w:r>
          </w:p>
        </w:tc>
        <w:tc>
          <w:tcPr>
            <w:tcW w:w="952" w:type="dxa"/>
            <w:tcBorders>
              <w:top w:val="dashSmallGap"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26.2%</w:t>
            </w:r>
          </w:p>
        </w:tc>
        <w:tc>
          <w:tcPr>
            <w:tcW w:w="952" w:type="dxa"/>
            <w:tcBorders>
              <w:top w:val="dashSmallGap"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24.1%</w:t>
            </w:r>
          </w:p>
        </w:tc>
      </w:tr>
      <w:tr>
        <w:trPr>
          <w:trHeight w:val="283" w:hRule="atLeast"/>
        </w:trPr>
        <w:tc>
          <w:tcPr>
            <w:tcW w:w="878" w:type="dxa"/>
            <w:vMerge w:val="restart"/>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大野</w:t>
            </w:r>
          </w:p>
        </w:tc>
        <w:tc>
          <w:tcPr>
            <w:tcW w:w="992"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認定者数</w:t>
            </w:r>
          </w:p>
        </w:tc>
        <w:tc>
          <w:tcPr>
            <w:tcW w:w="951"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1,617</w:t>
            </w:r>
          </w:p>
        </w:tc>
        <w:tc>
          <w:tcPr>
            <w:tcW w:w="952"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1,624</w:t>
            </w:r>
          </w:p>
        </w:tc>
        <w:tc>
          <w:tcPr>
            <w:tcW w:w="952"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1,655</w:t>
            </w:r>
          </w:p>
        </w:tc>
        <w:tc>
          <w:tcPr>
            <w:tcW w:w="952" w:type="dxa"/>
            <w:tcBorders>
              <w:top w:val="nil"/>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1,715</w:t>
            </w:r>
          </w:p>
        </w:tc>
        <w:tc>
          <w:tcPr>
            <w:tcW w:w="952"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1,749</w:t>
            </w:r>
          </w:p>
        </w:tc>
        <w:tc>
          <w:tcPr>
            <w:tcW w:w="952" w:type="dxa"/>
            <w:tcBorders>
              <w:top w:val="nil"/>
              <w:left w:val="nil"/>
              <w:bottom w:val="dashSmallGap" w:color="auto" w:sz="4" w:space="0"/>
              <w:right w:val="doub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1,783</w:t>
            </w:r>
          </w:p>
        </w:tc>
        <w:tc>
          <w:tcPr>
            <w:tcW w:w="952" w:type="dxa"/>
            <w:tcBorders>
              <w:top w:val="nil"/>
              <w:left w:val="doub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2,133</w:t>
            </w:r>
          </w:p>
        </w:tc>
      </w:tr>
      <w:tr>
        <w:trPr>
          <w:trHeight w:val="283" w:hRule="atLeast"/>
        </w:trPr>
        <w:tc>
          <w:tcPr>
            <w:tcW w:w="878" w:type="dxa"/>
            <w:vMerge w:val="continue"/>
            <w:vAlign w:val="center"/>
          </w:tcPr>
          <w:p>
            <w:pPr>
              <w:pStyle w:val="0"/>
              <w:widowControl w:val="1"/>
              <w:autoSpaceDE w:val="0"/>
              <w:autoSpaceDN w:val="0"/>
              <w:spacing w:line="240" w:lineRule="exact"/>
              <w:jc w:val="center"/>
              <w:rPr>
                <w:rFonts w:hint="default" w:ascii="ＭＳ Ｐゴシック" w:hAnsi="ＭＳ Ｐゴシック" w:eastAsia="ＭＳ Ｐゴシック"/>
                <w:kern w:val="24"/>
                <w:sz w:val="18"/>
              </w:rPr>
            </w:pPr>
          </w:p>
        </w:tc>
        <w:tc>
          <w:tcPr>
            <w:tcW w:w="992"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認定率</w:t>
            </w:r>
          </w:p>
        </w:tc>
        <w:tc>
          <w:tcPr>
            <w:tcW w:w="95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18.1%</w:t>
            </w:r>
          </w:p>
        </w:tc>
        <w:tc>
          <w:tcPr>
            <w:tcW w:w="952"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18.1%</w:t>
            </w:r>
          </w:p>
        </w:tc>
        <w:tc>
          <w:tcPr>
            <w:tcW w:w="952"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18.4%</w:t>
            </w:r>
          </w:p>
        </w:tc>
        <w:tc>
          <w:tcPr>
            <w:tcW w:w="952"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19.1%</w:t>
            </w:r>
          </w:p>
        </w:tc>
        <w:tc>
          <w:tcPr>
            <w:tcW w:w="952"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19.4%</w:t>
            </w:r>
          </w:p>
        </w:tc>
        <w:tc>
          <w:tcPr>
            <w:tcW w:w="952" w:type="dxa"/>
            <w:tcBorders>
              <w:top w:val="dashSmallGap"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19.8%</w:t>
            </w:r>
          </w:p>
        </w:tc>
        <w:tc>
          <w:tcPr>
            <w:tcW w:w="952" w:type="dxa"/>
            <w:tcBorders>
              <w:top w:val="dashSmallGap"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22.9%</w:t>
            </w:r>
          </w:p>
        </w:tc>
      </w:tr>
      <w:tr>
        <w:trPr>
          <w:trHeight w:val="283" w:hRule="atLeast"/>
        </w:trPr>
        <w:tc>
          <w:tcPr>
            <w:tcW w:w="878" w:type="dxa"/>
            <w:vMerge w:val="restart"/>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宮島</w:t>
            </w:r>
          </w:p>
        </w:tc>
        <w:tc>
          <w:tcPr>
            <w:tcW w:w="992"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認定者数</w:t>
            </w:r>
          </w:p>
        </w:tc>
        <w:tc>
          <w:tcPr>
            <w:tcW w:w="951"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137</w:t>
            </w:r>
          </w:p>
        </w:tc>
        <w:tc>
          <w:tcPr>
            <w:tcW w:w="952"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145</w:t>
            </w:r>
          </w:p>
        </w:tc>
        <w:tc>
          <w:tcPr>
            <w:tcW w:w="952"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153</w:t>
            </w:r>
          </w:p>
        </w:tc>
        <w:tc>
          <w:tcPr>
            <w:tcW w:w="952"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156</w:t>
            </w:r>
          </w:p>
        </w:tc>
        <w:tc>
          <w:tcPr>
            <w:tcW w:w="952"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161</w:t>
            </w:r>
          </w:p>
        </w:tc>
        <w:tc>
          <w:tcPr>
            <w:tcW w:w="952" w:type="dxa"/>
            <w:tcBorders>
              <w:top w:val="single" w:color="auto" w:sz="4" w:space="0"/>
              <w:left w:val="nil"/>
              <w:bottom w:val="dashSmallGap" w:color="auto" w:sz="4" w:space="0"/>
              <w:right w:val="doub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161</w:t>
            </w:r>
          </w:p>
        </w:tc>
        <w:tc>
          <w:tcPr>
            <w:tcW w:w="952" w:type="dxa"/>
            <w:tcBorders>
              <w:top w:val="single" w:color="auto" w:sz="4" w:space="0"/>
              <w:left w:val="doub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130</w:t>
            </w:r>
          </w:p>
        </w:tc>
      </w:tr>
      <w:tr>
        <w:trPr>
          <w:trHeight w:val="283" w:hRule="atLeast"/>
        </w:trPr>
        <w:tc>
          <w:tcPr>
            <w:tcW w:w="878" w:type="dxa"/>
            <w:vMerge w:val="continue"/>
            <w:vAlign w:val="top"/>
          </w:tcPr>
          <w:p>
            <w:pPr>
              <w:pStyle w:val="0"/>
              <w:widowControl w:val="1"/>
              <w:autoSpaceDE w:val="0"/>
              <w:autoSpaceDN w:val="0"/>
              <w:spacing w:line="240" w:lineRule="exact"/>
              <w:jc w:val="center"/>
              <w:rPr>
                <w:rFonts w:hint="default" w:ascii="ＭＳ Ｐゴシック" w:hAnsi="ＭＳ Ｐゴシック" w:eastAsia="ＭＳ Ｐゴシック"/>
                <w:kern w:val="24"/>
                <w:sz w:val="18"/>
              </w:rPr>
            </w:pPr>
          </w:p>
        </w:tc>
        <w:tc>
          <w:tcPr>
            <w:tcW w:w="992"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認定率</w:t>
            </w:r>
          </w:p>
        </w:tc>
        <w:tc>
          <w:tcPr>
            <w:tcW w:w="95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19.5%</w:t>
            </w:r>
          </w:p>
        </w:tc>
        <w:tc>
          <w:tcPr>
            <w:tcW w:w="952"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20.9%</w:t>
            </w:r>
          </w:p>
        </w:tc>
        <w:tc>
          <w:tcPr>
            <w:tcW w:w="952"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22.6%</w:t>
            </w:r>
          </w:p>
        </w:tc>
        <w:tc>
          <w:tcPr>
            <w:tcW w:w="952"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23.2%</w:t>
            </w:r>
          </w:p>
        </w:tc>
        <w:tc>
          <w:tcPr>
            <w:tcW w:w="952"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24.4%</w:t>
            </w:r>
          </w:p>
        </w:tc>
        <w:tc>
          <w:tcPr>
            <w:tcW w:w="952" w:type="dxa"/>
            <w:tcBorders>
              <w:top w:val="dashSmallGap"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25.4%</w:t>
            </w:r>
          </w:p>
        </w:tc>
        <w:tc>
          <w:tcPr>
            <w:tcW w:w="952" w:type="dxa"/>
            <w:tcBorders>
              <w:top w:val="dashSmallGap"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28.1%</w:t>
            </w:r>
          </w:p>
        </w:tc>
      </w:tr>
    </w:tbl>
    <w:p>
      <w:pPr>
        <w:pStyle w:val="0"/>
        <w:widowControl w:val="1"/>
        <w:autoSpaceDE w:val="0"/>
        <w:autoSpaceDN w:val="0"/>
        <w:jc w:val="left"/>
        <w:rPr>
          <w:rFonts w:hint="default" w:ascii="ＭＳ Ｐゴシック" w:hAnsi="ＭＳ Ｐゴシック" w:eastAsia="ＭＳ Ｐゴシック"/>
          <w:color w:val="auto"/>
          <w:sz w:val="24"/>
          <w:highlight w:val="none"/>
        </w:rPr>
      </w:pPr>
      <w:r>
        <w:rPr>
          <w:rFonts w:hint="default" w:ascii="ＭＳ Ｐゴシック" w:hAnsi="ＭＳ Ｐゴシック" w:eastAsia="ＭＳ Ｐゴシック"/>
          <w:color w:val="auto"/>
          <w:highlight w:val="none"/>
        </w:rPr>
        <w:br w:type="page"/>
      </w:r>
    </w:p>
    <w:p>
      <w:pPr>
        <w:pStyle w:val="26"/>
        <w:spacing w:after="76" w:afterLines="0" w:afterAutospacing="0"/>
        <w:rPr>
          <w:rFonts w:hint="default"/>
          <w:color w:val="auto"/>
          <w:highlight w:val="none"/>
        </w:rPr>
      </w:pPr>
      <w:bookmarkStart w:id="146" w:name="_Toc152160684"/>
      <w:r>
        <w:rPr>
          <w:rFonts w:hint="default"/>
          <w:color w:val="auto"/>
          <w:highlight w:val="none"/>
        </w:rPr>
        <w:t>（</w:t>
      </w:r>
      <w:r>
        <w:rPr>
          <w:rFonts w:hint="eastAsia"/>
          <w:color w:val="auto"/>
          <w:highlight w:val="none"/>
        </w:rPr>
        <w:t>３</w:t>
      </w:r>
      <w:r>
        <w:rPr>
          <w:rFonts w:hint="default"/>
          <w:color w:val="auto"/>
          <w:highlight w:val="none"/>
        </w:rPr>
        <w:t>）</w:t>
      </w:r>
      <w:r>
        <w:rPr>
          <w:rFonts w:hint="eastAsia"/>
          <w:color w:val="auto"/>
          <w:highlight w:val="none"/>
        </w:rPr>
        <w:t xml:space="preserve"> </w:t>
      </w:r>
      <w:r>
        <w:rPr>
          <w:rFonts w:hint="eastAsia"/>
          <w:color w:val="auto"/>
          <w:highlight w:val="none"/>
        </w:rPr>
        <w:t>認知症高齢者数の推計</w:t>
      </w:r>
      <w:bookmarkEnd w:id="145"/>
      <w:bookmarkEnd w:id="146"/>
    </w:p>
    <w:p>
      <w:pPr>
        <w:pStyle w:val="46"/>
        <w:rPr>
          <w:rFonts w:hint="default"/>
          <w:color w:val="auto"/>
          <w:highlight w:val="none"/>
        </w:rPr>
      </w:pPr>
      <w:r>
        <w:rPr>
          <w:rFonts w:hint="eastAsia"/>
          <w:color w:val="auto"/>
          <w:highlight w:val="none"/>
        </w:rPr>
        <w:t>本市の令和５（</w:t>
      </w:r>
      <w:r>
        <w:rPr>
          <w:rFonts w:hint="eastAsia"/>
          <w:color w:val="auto"/>
          <w:highlight w:val="none"/>
        </w:rPr>
        <w:t>2023</w:t>
      </w:r>
      <w:r>
        <w:rPr>
          <w:rFonts w:hint="eastAsia"/>
          <w:color w:val="auto"/>
          <w:highlight w:val="none"/>
        </w:rPr>
        <w:t>）年度の要支援・要介護認定者のうち認知症高齢者の日常生活自立度Ⅱ</w:t>
      </w:r>
      <w:r>
        <w:rPr>
          <w:rFonts w:hint="eastAsia"/>
          <w:color w:val="auto"/>
          <w:highlight w:val="none"/>
        </w:rPr>
        <w:t>a</w:t>
      </w:r>
      <w:r>
        <w:rPr>
          <w:rFonts w:hint="eastAsia"/>
          <w:color w:val="auto"/>
          <w:highlight w:val="none"/>
        </w:rPr>
        <w:t>以上の人は</w:t>
      </w:r>
      <w:r>
        <w:rPr>
          <w:rFonts w:hint="eastAsia"/>
          <w:color w:val="auto"/>
          <w:highlight w:val="none"/>
        </w:rPr>
        <w:t>3,928</w:t>
      </w:r>
      <w:r>
        <w:rPr>
          <w:rFonts w:hint="eastAsia"/>
          <w:color w:val="auto"/>
          <w:highlight w:val="none"/>
        </w:rPr>
        <w:t>人であり、要介護度別の割合から今後を推計すると、要支援・要介護認定者の増加に伴い、増加し続ける見込みです。</w:t>
      </w:r>
    </w:p>
    <w:p>
      <w:pPr>
        <w:pStyle w:val="46"/>
        <w:rPr>
          <w:rFonts w:hint="default"/>
          <w:color w:val="auto"/>
          <w:highlight w:val="none"/>
        </w:rPr>
      </w:pPr>
      <w:r>
        <w:rPr>
          <w:rFonts w:hint="eastAsia"/>
          <w:color w:val="auto"/>
          <w:highlight w:val="none"/>
        </w:rPr>
        <w:t>高齢者人口に占める割合は、令和５（</w:t>
      </w:r>
      <w:r>
        <w:rPr>
          <w:rFonts w:hint="eastAsia"/>
          <w:color w:val="auto"/>
          <w:highlight w:val="none"/>
        </w:rPr>
        <w:t>2023</w:t>
      </w:r>
      <w:r>
        <w:rPr>
          <w:rFonts w:hint="eastAsia"/>
          <w:color w:val="auto"/>
          <w:highlight w:val="none"/>
        </w:rPr>
        <w:t>）年度は</w:t>
      </w:r>
      <w:r>
        <w:rPr>
          <w:rFonts w:hint="eastAsia"/>
          <w:color w:val="auto"/>
          <w:highlight w:val="none"/>
        </w:rPr>
        <w:t>10.8</w:t>
      </w:r>
      <w:r>
        <w:rPr>
          <w:rFonts w:hint="eastAsia"/>
          <w:color w:val="auto"/>
          <w:highlight w:val="none"/>
        </w:rPr>
        <w:t>％、令和</w:t>
      </w:r>
      <w:r>
        <w:rPr>
          <w:rFonts w:hint="eastAsia"/>
          <w:color w:val="auto"/>
          <w:highlight w:val="none"/>
        </w:rPr>
        <w:t>22</w:t>
      </w:r>
      <w:r>
        <w:rPr>
          <w:rFonts w:hint="eastAsia"/>
          <w:color w:val="auto"/>
          <w:highlight w:val="none"/>
        </w:rPr>
        <w:t>（</w:t>
      </w:r>
      <w:r>
        <w:rPr>
          <w:rFonts w:hint="eastAsia"/>
          <w:color w:val="auto"/>
          <w:highlight w:val="none"/>
        </w:rPr>
        <w:t>2040</w:t>
      </w:r>
      <w:r>
        <w:rPr>
          <w:rFonts w:hint="eastAsia"/>
          <w:color w:val="auto"/>
          <w:highlight w:val="none"/>
        </w:rPr>
        <w:t>）年度は</w:t>
      </w:r>
      <w:r>
        <w:rPr>
          <w:rFonts w:hint="eastAsia"/>
          <w:color w:val="auto"/>
          <w:highlight w:val="none"/>
        </w:rPr>
        <w:t>14.5</w:t>
      </w:r>
      <w:r>
        <w:rPr>
          <w:rFonts w:hint="eastAsia"/>
          <w:color w:val="auto"/>
          <w:highlight w:val="none"/>
        </w:rPr>
        <w:t>％と上昇する見込みです。</w:t>
      </w:r>
    </w:p>
    <w:p>
      <w:pPr>
        <w:pStyle w:val="46"/>
        <w:rPr>
          <w:rFonts w:hint="default"/>
          <w:color w:val="auto"/>
          <w:highlight w:val="none"/>
        </w:rPr>
      </w:pPr>
      <w:r>
        <w:rPr>
          <w:rFonts w:hint="eastAsia"/>
          <w:color w:val="auto"/>
          <w:highlight w:val="none"/>
          <w:shd w:val="clear" w:color="auto" w:themeFill="background1" w:themeFillTint="FF" w:themeFillShade="FF"/>
        </w:rPr>
        <w:t>日常生活圏域別では、第９期計画期間は、吉和圏域を除く圏域で増加すると見込まれます。</w:t>
      </w:r>
      <w:r>
        <w:rPr>
          <w:rFonts w:hint="eastAsia"/>
          <w:color w:val="auto"/>
          <w:highlight w:val="none"/>
        </w:rPr>
        <w:t>令和５（</w:t>
      </w:r>
      <w:r>
        <w:rPr>
          <w:rFonts w:hint="eastAsia"/>
          <w:color w:val="auto"/>
          <w:highlight w:val="none"/>
        </w:rPr>
        <w:t>2023</w:t>
      </w:r>
      <w:r>
        <w:rPr>
          <w:rFonts w:hint="eastAsia"/>
          <w:color w:val="auto"/>
          <w:highlight w:val="none"/>
        </w:rPr>
        <w:t>）</w:t>
      </w:r>
      <w:r>
        <w:rPr>
          <w:rFonts w:hint="eastAsia"/>
          <w:color w:val="auto"/>
          <w:highlight w:val="none"/>
          <w:shd w:val="clear" w:color="auto" w:themeFill="background1" w:themeFillTint="FF" w:themeFillShade="FF"/>
        </w:rPr>
        <w:t>年度と令和８（</w:t>
      </w:r>
      <w:r>
        <w:rPr>
          <w:rFonts w:hint="eastAsia"/>
          <w:color w:val="auto"/>
          <w:highlight w:val="none"/>
          <w:shd w:val="clear" w:color="auto" w:themeFill="background1" w:themeFillTint="FF" w:themeFillShade="FF"/>
        </w:rPr>
        <w:t>2026</w:t>
      </w:r>
      <w:r>
        <w:rPr>
          <w:rFonts w:hint="eastAsia"/>
          <w:color w:val="auto"/>
          <w:highlight w:val="none"/>
          <w:shd w:val="clear" w:color="auto" w:themeFill="background1" w:themeFillTint="FF" w:themeFillShade="FF"/>
        </w:rPr>
        <w:t>）年度を比較すると、廿日市中部では</w:t>
      </w:r>
      <w:r>
        <w:rPr>
          <w:rFonts w:hint="eastAsia"/>
          <w:color w:val="auto"/>
          <w:highlight w:val="none"/>
          <w:shd w:val="clear" w:color="auto" w:themeFill="background1" w:themeFillTint="FF" w:themeFillShade="FF"/>
        </w:rPr>
        <w:t>96</w:t>
      </w:r>
      <w:r>
        <w:rPr>
          <w:rFonts w:hint="eastAsia"/>
          <w:color w:val="auto"/>
          <w:highlight w:val="none"/>
          <w:shd w:val="clear" w:color="auto" w:themeFill="background1" w:themeFillTint="FF" w:themeFillShade="FF"/>
        </w:rPr>
        <w:t>人増加の</w:t>
      </w:r>
      <w:r>
        <w:rPr>
          <w:rFonts w:hint="eastAsia"/>
          <w:color w:val="auto"/>
          <w:highlight w:val="none"/>
          <w:shd w:val="clear" w:color="auto" w:themeFill="background1" w:themeFillTint="FF" w:themeFillShade="FF"/>
        </w:rPr>
        <w:t>14.4</w:t>
      </w:r>
      <w:r>
        <w:rPr>
          <w:rFonts w:hint="eastAsia"/>
          <w:color w:val="auto"/>
          <w:highlight w:val="none"/>
          <w:shd w:val="clear" w:color="auto" w:themeFill="background1" w:themeFillTint="FF" w:themeFillShade="FF"/>
        </w:rPr>
        <w:t>％増、廿日市西部では</w:t>
      </w:r>
      <w:r>
        <w:rPr>
          <w:rFonts w:hint="eastAsia"/>
          <w:color w:val="auto"/>
          <w:highlight w:val="none"/>
          <w:shd w:val="clear" w:color="auto" w:themeFill="background1" w:themeFillTint="FF" w:themeFillShade="FF"/>
        </w:rPr>
        <w:t>99</w:t>
      </w:r>
      <w:r>
        <w:rPr>
          <w:rFonts w:hint="eastAsia"/>
          <w:color w:val="auto"/>
          <w:highlight w:val="none"/>
          <w:shd w:val="clear" w:color="auto" w:themeFill="background1" w:themeFillTint="FF" w:themeFillShade="FF"/>
        </w:rPr>
        <w:t>人増加の</w:t>
      </w:r>
      <w:r>
        <w:rPr>
          <w:rFonts w:hint="eastAsia"/>
          <w:color w:val="auto"/>
          <w:highlight w:val="none"/>
          <w:shd w:val="clear" w:color="auto" w:themeFill="background1" w:themeFillTint="FF" w:themeFillShade="FF"/>
        </w:rPr>
        <w:t>12.8</w:t>
      </w:r>
      <w:r>
        <w:rPr>
          <w:rFonts w:hint="eastAsia"/>
          <w:color w:val="auto"/>
          <w:highlight w:val="none"/>
          <w:shd w:val="clear" w:color="auto" w:themeFill="background1" w:themeFillTint="FF" w:themeFillShade="FF"/>
        </w:rPr>
        <w:t>％増となるなど、他の地域と比べ高くなっています。</w:t>
      </w:r>
    </w:p>
    <w:p>
      <w:pPr>
        <w:pStyle w:val="79"/>
        <w:spacing w:before="190" w:beforeLines="0" w:beforeAutospacing="0"/>
        <w:rPr>
          <w:rFonts w:hint="default"/>
          <w:color w:val="auto"/>
          <w:highlight w:val="none"/>
        </w:rPr>
      </w:pPr>
      <w:r>
        <w:rPr>
          <w:rFonts w:hint="eastAsia"/>
          <w:color w:val="auto"/>
          <w:highlight w:val="none"/>
        </w:rPr>
        <w:t xml:space="preserve"> </w:t>
      </w:r>
      <w:r>
        <w:rPr>
          <w:rFonts w:hint="eastAsia"/>
          <w:color w:val="auto"/>
          <w:highlight w:val="none"/>
        </w:rPr>
        <w:t>図表　認知症高齢者数等の推移・推計</w:t>
      </w:r>
    </w:p>
    <w:p>
      <w:pPr>
        <w:pStyle w:val="0"/>
        <w:autoSpaceDE w:val="0"/>
        <w:autoSpaceDN w:val="0"/>
        <w:ind w:left="425" w:leftChars="193"/>
        <w:jc w:val="center"/>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（要支援・要介護認定者のうち認知症高齢者の日常生活自立度Ⅱ</w:t>
      </w:r>
      <w:r>
        <w:rPr>
          <w:rFonts w:hint="eastAsia" w:ascii="BIZ UDPゴシック" w:hAnsi="BIZ UDPゴシック" w:eastAsia="BIZ UDPゴシック"/>
          <w:color w:val="auto"/>
          <w:sz w:val="21"/>
          <w:highlight w:val="none"/>
        </w:rPr>
        <w:t>a</w:t>
      </w:r>
      <w:r>
        <w:rPr>
          <w:rFonts w:hint="eastAsia" w:ascii="BIZ UDPゴシック" w:hAnsi="BIZ UDPゴシック" w:eastAsia="BIZ UDPゴシック"/>
          <w:color w:val="auto"/>
          <w:sz w:val="21"/>
          <w:highlight w:val="none"/>
        </w:rPr>
        <w:t>以上の人）</w:t>
      </w:r>
    </w:p>
    <w:p>
      <w:pPr>
        <w:pStyle w:val="0"/>
        <w:widowControl w:val="1"/>
        <w:autoSpaceDE w:val="0"/>
        <w:autoSpaceDN w:val="0"/>
        <w:spacing w:after="37" w:afterLines="10" w:afterAutospacing="0" w:line="240" w:lineRule="exact"/>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sz w:val="18"/>
          <w:highlight w:val="none"/>
        </w:rPr>
        <w:t>（単位：人）</w:t>
      </w:r>
    </w:p>
    <w:tbl>
      <w:tblPr>
        <w:tblStyle w:val="89"/>
        <w:tblW w:w="8533" w:type="dxa"/>
        <w:tblInd w:w="534" w:type="dxa"/>
        <w:tblLayout w:type="fixed"/>
        <w:tblLook w:firstRow="1" w:lastRow="0" w:firstColumn="1" w:lastColumn="0" w:noHBand="0" w:noVBand="1" w:val="04A0"/>
      </w:tblPr>
      <w:tblGrid>
        <w:gridCol w:w="1870"/>
        <w:gridCol w:w="951"/>
        <w:gridCol w:w="952"/>
        <w:gridCol w:w="952"/>
        <w:gridCol w:w="952"/>
        <w:gridCol w:w="952"/>
        <w:gridCol w:w="952"/>
        <w:gridCol w:w="952"/>
      </w:tblGrid>
      <w:tr>
        <w:trPr/>
        <w:tc>
          <w:tcPr>
            <w:tcW w:w="1870" w:type="dxa"/>
            <w:vMerge w:val="restart"/>
            <w:shd w:val="clear" w:color="auto" w:fill="CCECFF"/>
            <w:vAlign w:val="center"/>
          </w:tcPr>
          <w:p>
            <w:pPr>
              <w:pStyle w:val="0"/>
              <w:autoSpaceDE w:val="0"/>
              <w:autoSpaceDN w:val="0"/>
              <w:spacing w:line="240" w:lineRule="exact"/>
              <w:jc w:val="center"/>
              <w:rPr>
                <w:rFonts w:hint="default" w:ascii="ＭＳ Ｐゴシック" w:hAnsi="ＭＳ Ｐゴシック" w:eastAsia="ＭＳ Ｐゴシック"/>
                <w:color w:val="auto"/>
                <w:kern w:val="24"/>
                <w:sz w:val="18"/>
                <w:highlight w:val="none"/>
              </w:rPr>
            </w:pPr>
          </w:p>
        </w:tc>
        <w:tc>
          <w:tcPr>
            <w:tcW w:w="2855" w:type="dxa"/>
            <w:gridSpan w:val="3"/>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第</w:t>
            </w:r>
            <w:r>
              <w:rPr>
                <w:rFonts w:hint="eastAsia" w:ascii="ＭＳ Ｐゴシック" w:hAnsi="ＭＳ Ｐゴシック" w:eastAsia="ＭＳ Ｐゴシック"/>
                <w:color w:val="auto"/>
                <w:kern w:val="24"/>
                <w:sz w:val="18"/>
                <w:highlight w:val="none"/>
              </w:rPr>
              <w:t>8</w:t>
            </w:r>
            <w:r>
              <w:rPr>
                <w:rFonts w:hint="eastAsia" w:ascii="ＭＳ Ｐゴシック" w:hAnsi="ＭＳ Ｐゴシック" w:eastAsia="ＭＳ Ｐゴシック"/>
                <w:color w:val="auto"/>
                <w:kern w:val="24"/>
                <w:sz w:val="18"/>
                <w:highlight w:val="none"/>
              </w:rPr>
              <w:t>期</w:t>
            </w:r>
          </w:p>
        </w:tc>
        <w:tc>
          <w:tcPr>
            <w:tcW w:w="2856" w:type="dxa"/>
            <w:gridSpan w:val="3"/>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第</w:t>
            </w:r>
            <w:r>
              <w:rPr>
                <w:rFonts w:hint="eastAsia" w:ascii="ＭＳ Ｐゴシック" w:hAnsi="ＭＳ Ｐゴシック" w:eastAsia="ＭＳ Ｐゴシック"/>
                <w:color w:val="auto"/>
                <w:kern w:val="24"/>
                <w:sz w:val="18"/>
                <w:highlight w:val="none"/>
              </w:rPr>
              <w:t>9</w:t>
            </w:r>
            <w:r>
              <w:rPr>
                <w:rFonts w:hint="eastAsia" w:ascii="ＭＳ Ｐゴシック" w:hAnsi="ＭＳ Ｐゴシック" w:eastAsia="ＭＳ Ｐゴシック"/>
                <w:color w:val="auto"/>
                <w:kern w:val="24"/>
                <w:sz w:val="18"/>
                <w:highlight w:val="none"/>
              </w:rPr>
              <w:t>期</w:t>
            </w:r>
          </w:p>
        </w:tc>
        <w:tc>
          <w:tcPr>
            <w:tcW w:w="952"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22</w:t>
            </w:r>
            <w:r>
              <w:rPr>
                <w:rFonts w:hint="eastAsia" w:ascii="ＭＳ Ｐゴシック" w:hAnsi="ＭＳ Ｐゴシック" w:eastAsia="ＭＳ Ｐゴシック"/>
                <w:color w:val="auto"/>
                <w:kern w:val="24"/>
                <w:sz w:val="18"/>
                <w:highlight w:val="none"/>
              </w:rPr>
              <w:t>年度</w:t>
            </w:r>
          </w:p>
          <w:p>
            <w:pPr>
              <w:pStyle w:val="0"/>
              <w:autoSpaceDE w:val="0"/>
              <w:autoSpaceDN w:val="0"/>
              <w:spacing w:line="20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2040</w:t>
            </w:r>
            <w:r>
              <w:rPr>
                <w:rFonts w:hint="eastAsia" w:ascii="ＭＳ Ｐゴシック" w:hAnsi="ＭＳ Ｐゴシック" w:eastAsia="ＭＳ Ｐゴシック"/>
                <w:color w:val="auto"/>
                <w:kern w:val="24"/>
                <w:sz w:val="18"/>
                <w:highlight w:val="none"/>
              </w:rPr>
              <w:t>年度）</w:t>
            </w:r>
          </w:p>
        </w:tc>
      </w:tr>
      <w:tr>
        <w:trPr>
          <w:trHeight w:val="510" w:hRule="atLeast"/>
        </w:trPr>
        <w:tc>
          <w:tcPr>
            <w:tcW w:w="1870"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kern w:val="24"/>
                <w:sz w:val="18"/>
              </w:rPr>
            </w:pPr>
          </w:p>
        </w:tc>
        <w:tc>
          <w:tcPr>
            <w:tcW w:w="951" w:type="dxa"/>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3</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0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2021</w:t>
            </w:r>
            <w:r>
              <w:rPr>
                <w:rFonts w:hint="eastAsia" w:ascii="ＭＳ Ｐゴシック" w:hAnsi="ＭＳ Ｐゴシック" w:eastAsia="ＭＳ Ｐゴシック"/>
                <w:color w:val="auto"/>
                <w:kern w:val="24"/>
                <w:sz w:val="18"/>
                <w:highlight w:val="none"/>
              </w:rPr>
              <w:t>年度）</w:t>
            </w:r>
          </w:p>
        </w:tc>
        <w:tc>
          <w:tcPr>
            <w:tcW w:w="952" w:type="dxa"/>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4</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0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2022</w:t>
            </w:r>
            <w:r>
              <w:rPr>
                <w:rFonts w:hint="eastAsia" w:ascii="ＭＳ Ｐゴシック" w:hAnsi="ＭＳ Ｐゴシック" w:eastAsia="ＭＳ Ｐゴシック"/>
                <w:color w:val="auto"/>
                <w:kern w:val="24"/>
                <w:sz w:val="18"/>
                <w:highlight w:val="none"/>
              </w:rPr>
              <w:t>年度）</w:t>
            </w:r>
          </w:p>
        </w:tc>
        <w:tc>
          <w:tcPr>
            <w:tcW w:w="952" w:type="dxa"/>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5</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0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2023</w:t>
            </w:r>
            <w:r>
              <w:rPr>
                <w:rFonts w:hint="eastAsia" w:ascii="ＭＳ Ｐゴシック" w:hAnsi="ＭＳ Ｐゴシック" w:eastAsia="ＭＳ Ｐゴシック"/>
                <w:color w:val="auto"/>
                <w:kern w:val="24"/>
                <w:sz w:val="18"/>
                <w:highlight w:val="none"/>
              </w:rPr>
              <w:t>年度）</w:t>
            </w:r>
          </w:p>
        </w:tc>
        <w:tc>
          <w:tcPr>
            <w:tcW w:w="95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6</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0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2024</w:t>
            </w:r>
            <w:r>
              <w:rPr>
                <w:rFonts w:hint="eastAsia" w:ascii="ＭＳ Ｐゴシック" w:hAnsi="ＭＳ Ｐゴシック" w:eastAsia="ＭＳ Ｐゴシック"/>
                <w:color w:val="auto"/>
                <w:kern w:val="24"/>
                <w:sz w:val="18"/>
                <w:highlight w:val="none"/>
              </w:rPr>
              <w:t>年度）</w:t>
            </w:r>
          </w:p>
        </w:tc>
        <w:tc>
          <w:tcPr>
            <w:tcW w:w="95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7</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0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2025</w:t>
            </w:r>
            <w:r>
              <w:rPr>
                <w:rFonts w:hint="eastAsia" w:ascii="ＭＳ Ｐゴシック" w:hAnsi="ＭＳ Ｐゴシック" w:eastAsia="ＭＳ Ｐゴシック"/>
                <w:color w:val="auto"/>
                <w:kern w:val="24"/>
                <w:sz w:val="18"/>
                <w:highlight w:val="none"/>
              </w:rPr>
              <w:t>年度）</w:t>
            </w:r>
          </w:p>
        </w:tc>
        <w:tc>
          <w:tcPr>
            <w:tcW w:w="952" w:type="dxa"/>
            <w:tcBorders>
              <w:top w:val="none" w:color="auto" w:sz="0" w:space="0"/>
              <w:left w:val="none" w:color="auto" w:sz="0" w:space="0"/>
              <w:bottom w:val="single" w:color="auto" w:sz="4" w:space="0"/>
              <w:right w:val="double" w:color="auto" w:sz="4"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8</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0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2026</w:t>
            </w:r>
            <w:r>
              <w:rPr>
                <w:rFonts w:hint="eastAsia" w:ascii="ＭＳ Ｐゴシック" w:hAnsi="ＭＳ Ｐゴシック" w:eastAsia="ＭＳ Ｐゴシック"/>
                <w:color w:val="auto"/>
                <w:kern w:val="24"/>
                <w:sz w:val="18"/>
                <w:highlight w:val="none"/>
              </w:rPr>
              <w:t>年度）</w:t>
            </w:r>
          </w:p>
        </w:tc>
        <w:tc>
          <w:tcPr>
            <w:tcW w:w="952" w:type="dxa"/>
            <w:vMerge w:val="continue"/>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CCECFF"/>
            <w:vAlign w:val="top"/>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kern w:val="24"/>
                <w:sz w:val="18"/>
              </w:rPr>
            </w:pPr>
          </w:p>
        </w:tc>
      </w:tr>
      <w:tr>
        <w:trPr>
          <w:trHeight w:val="340" w:hRule="atLeast"/>
        </w:trPr>
        <w:tc>
          <w:tcPr>
            <w:tcW w:w="1870"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sz w:val="18"/>
                <w:highlight w:val="none"/>
              </w:rPr>
              <w:t>認知症高齢者数</w:t>
            </w:r>
          </w:p>
        </w:tc>
        <w:tc>
          <w:tcPr>
            <w:tcW w:w="951"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3,819 </w:t>
            </w:r>
          </w:p>
        </w:tc>
        <w:tc>
          <w:tcPr>
            <w:tcW w:w="952"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3,917 </w:t>
            </w:r>
          </w:p>
        </w:tc>
        <w:tc>
          <w:tcPr>
            <w:tcW w:w="952"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3,928 </w:t>
            </w:r>
          </w:p>
        </w:tc>
        <w:tc>
          <w:tcPr>
            <w:tcW w:w="952"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4,018 </w:t>
            </w:r>
          </w:p>
        </w:tc>
        <w:tc>
          <w:tcPr>
            <w:tcW w:w="952"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4,116 </w:t>
            </w:r>
          </w:p>
        </w:tc>
        <w:tc>
          <w:tcPr>
            <w:tcW w:w="952" w:type="dxa"/>
            <w:tcBorders>
              <w:top w:val="single" w:color="auto" w:sz="4" w:space="0"/>
              <w:left w:val="nil"/>
              <w:bottom w:val="dashSmallGap" w:color="auto" w:sz="4" w:space="0"/>
              <w:right w:val="doub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4,208 </w:t>
            </w:r>
          </w:p>
        </w:tc>
        <w:tc>
          <w:tcPr>
            <w:tcW w:w="952" w:type="dxa"/>
            <w:tcBorders>
              <w:top w:val="single" w:color="auto" w:sz="4" w:space="0"/>
              <w:left w:val="doub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5,366 </w:t>
            </w:r>
          </w:p>
        </w:tc>
      </w:tr>
      <w:tr>
        <w:trPr>
          <w:trHeight w:val="340" w:hRule="atLeast"/>
        </w:trPr>
        <w:tc>
          <w:tcPr>
            <w:tcW w:w="1870"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sz w:val="18"/>
                <w:highlight w:val="none"/>
              </w:rPr>
              <w:t>認定者数に占める割合</w:t>
            </w:r>
          </w:p>
        </w:tc>
        <w:tc>
          <w:tcPr>
            <w:tcW w:w="951"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58.4</w:t>
            </w:r>
            <w:r>
              <w:rPr>
                <w:rFonts w:hint="default"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 xml:space="preserve"> </w:t>
            </w:r>
          </w:p>
        </w:tc>
        <w:tc>
          <w:tcPr>
            <w:tcW w:w="952"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59.0</w:t>
            </w:r>
            <w:r>
              <w:rPr>
                <w:rFonts w:hint="default"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 xml:space="preserve"> </w:t>
            </w:r>
          </w:p>
        </w:tc>
        <w:tc>
          <w:tcPr>
            <w:tcW w:w="952"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58.9</w:t>
            </w:r>
            <w:r>
              <w:rPr>
                <w:rFonts w:hint="default"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 xml:space="preserve"> </w:t>
            </w:r>
          </w:p>
        </w:tc>
        <w:tc>
          <w:tcPr>
            <w:tcW w:w="952"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58.8</w:t>
            </w:r>
            <w:r>
              <w:rPr>
                <w:rFonts w:hint="default"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 xml:space="preserve"> </w:t>
            </w:r>
          </w:p>
        </w:tc>
        <w:tc>
          <w:tcPr>
            <w:tcW w:w="952"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58.9</w:t>
            </w:r>
            <w:r>
              <w:rPr>
                <w:rFonts w:hint="default"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 xml:space="preserve"> </w:t>
            </w:r>
          </w:p>
        </w:tc>
        <w:tc>
          <w:tcPr>
            <w:tcW w:w="952" w:type="dxa"/>
            <w:tcBorders>
              <w:top w:val="dashSmallGap"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58.9</w:t>
            </w:r>
            <w:r>
              <w:rPr>
                <w:rFonts w:hint="default"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 xml:space="preserve"> </w:t>
            </w:r>
          </w:p>
        </w:tc>
        <w:tc>
          <w:tcPr>
            <w:tcW w:w="952" w:type="dxa"/>
            <w:tcBorders>
              <w:top w:val="dashSmallGap"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59.9</w:t>
            </w:r>
            <w:r>
              <w:rPr>
                <w:rFonts w:hint="default"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 xml:space="preserve"> </w:t>
            </w:r>
          </w:p>
        </w:tc>
      </w:tr>
      <w:tr>
        <w:trPr>
          <w:trHeight w:val="340" w:hRule="atLeast"/>
        </w:trPr>
        <w:tc>
          <w:tcPr>
            <w:tcW w:w="1870"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center"/>
          </w:tcPr>
          <w:p>
            <w:pPr>
              <w:pStyle w:val="0"/>
              <w:autoSpaceDE w:val="0"/>
              <w:autoSpaceDN w:val="0"/>
              <w:spacing w:line="240" w:lineRule="exact"/>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高齢者数</w:t>
            </w:r>
          </w:p>
        </w:tc>
        <w:tc>
          <w:tcPr>
            <w:tcW w:w="951" w:type="dxa"/>
            <w:tcBorders>
              <w:top w:val="nil"/>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35,863 </w:t>
            </w:r>
          </w:p>
        </w:tc>
        <w:tc>
          <w:tcPr>
            <w:tcW w:w="952"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36,208 </w:t>
            </w:r>
          </w:p>
        </w:tc>
        <w:tc>
          <w:tcPr>
            <w:tcW w:w="952"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36,453 </w:t>
            </w:r>
          </w:p>
        </w:tc>
        <w:tc>
          <w:tcPr>
            <w:tcW w:w="952"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36,761 </w:t>
            </w:r>
          </w:p>
        </w:tc>
        <w:tc>
          <w:tcPr>
            <w:tcW w:w="952"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36,908 </w:t>
            </w:r>
          </w:p>
        </w:tc>
        <w:tc>
          <w:tcPr>
            <w:tcW w:w="952" w:type="dxa"/>
            <w:tcBorders>
              <w:top w:val="nil"/>
              <w:left w:val="nil"/>
              <w:bottom w:val="dashSmallGap" w:color="auto" w:sz="4" w:space="0"/>
              <w:right w:val="doub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37,036 </w:t>
            </w:r>
          </w:p>
        </w:tc>
        <w:tc>
          <w:tcPr>
            <w:tcW w:w="952" w:type="dxa"/>
            <w:tcBorders>
              <w:top w:val="single" w:color="auto" w:sz="4" w:space="0"/>
              <w:left w:val="doub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 xml:space="preserve">36,993 </w:t>
            </w:r>
          </w:p>
        </w:tc>
      </w:tr>
      <w:tr>
        <w:trPr>
          <w:trHeight w:val="340" w:hRule="atLeast"/>
        </w:trPr>
        <w:tc>
          <w:tcPr>
            <w:tcW w:w="187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autoSpaceDE w:val="0"/>
              <w:autoSpaceDN w:val="0"/>
              <w:spacing w:line="240" w:lineRule="exact"/>
              <w:ind w:left="-110" w:leftChars="-50" w:right="-110" w:rightChars="-50"/>
              <w:jc w:val="center"/>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高齢者数に占める割合</w:t>
            </w:r>
          </w:p>
        </w:tc>
        <w:tc>
          <w:tcPr>
            <w:tcW w:w="951"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10.6</w:t>
            </w:r>
            <w:r>
              <w:rPr>
                <w:rFonts w:hint="default"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 xml:space="preserve"> </w:t>
            </w:r>
          </w:p>
        </w:tc>
        <w:tc>
          <w:tcPr>
            <w:tcW w:w="952"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10.8</w:t>
            </w:r>
            <w:r>
              <w:rPr>
                <w:rFonts w:hint="default"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 xml:space="preserve"> </w:t>
            </w:r>
          </w:p>
        </w:tc>
        <w:tc>
          <w:tcPr>
            <w:tcW w:w="952"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10.8</w:t>
            </w:r>
            <w:r>
              <w:rPr>
                <w:rFonts w:hint="default"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 xml:space="preserve"> </w:t>
            </w:r>
          </w:p>
        </w:tc>
        <w:tc>
          <w:tcPr>
            <w:tcW w:w="952"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10.9</w:t>
            </w:r>
            <w:r>
              <w:rPr>
                <w:rFonts w:hint="default"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 xml:space="preserve"> </w:t>
            </w:r>
          </w:p>
        </w:tc>
        <w:tc>
          <w:tcPr>
            <w:tcW w:w="952"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11.2</w:t>
            </w:r>
            <w:r>
              <w:rPr>
                <w:rFonts w:hint="default"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 xml:space="preserve"> </w:t>
            </w:r>
          </w:p>
        </w:tc>
        <w:tc>
          <w:tcPr>
            <w:tcW w:w="952" w:type="dxa"/>
            <w:tcBorders>
              <w:top w:val="dashSmallGap"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11.4</w:t>
            </w:r>
            <w:r>
              <w:rPr>
                <w:rFonts w:hint="default"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 xml:space="preserve"> </w:t>
            </w:r>
          </w:p>
        </w:tc>
        <w:tc>
          <w:tcPr>
            <w:tcW w:w="952" w:type="dxa"/>
            <w:tcBorders>
              <w:top w:val="dashSmallGap"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autoSpaceDE w:val="0"/>
              <w:autoSpaceDN w:val="0"/>
              <w:spacing w:line="240" w:lineRule="exact"/>
              <w:ind w:right="-44" w:rightChars="-20"/>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14.5</w:t>
            </w:r>
            <w:r>
              <w:rPr>
                <w:rFonts w:hint="default"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 xml:space="preserve"> </w:t>
            </w:r>
          </w:p>
        </w:tc>
      </w:tr>
    </w:tbl>
    <w:p>
      <w:pPr>
        <w:pStyle w:val="79"/>
        <w:spacing w:before="190" w:beforeLines="0" w:beforeAutospacing="0"/>
        <w:rPr>
          <w:rFonts w:hint="default"/>
          <w:color w:val="auto"/>
          <w:highlight w:val="none"/>
        </w:rPr>
      </w:pPr>
      <w:r>
        <w:rPr>
          <w:rFonts w:hint="eastAsia"/>
          <w:color w:val="auto"/>
          <w:highlight w:val="none"/>
        </w:rPr>
        <w:t>図表　日常生活圏域別認知症高齢者数等の推移・推計</w:t>
      </w:r>
    </w:p>
    <w:p>
      <w:pPr>
        <w:pStyle w:val="79"/>
        <w:spacing w:before="0" w:beforeLines="0" w:beforeAutospacing="0"/>
        <w:rPr>
          <w:rFonts w:hint="default"/>
          <w:color w:val="auto"/>
          <w:highlight w:val="none"/>
        </w:rPr>
      </w:pPr>
      <w:r>
        <w:rPr>
          <w:rFonts w:hint="eastAsia"/>
          <w:color w:val="auto"/>
          <w:highlight w:val="none"/>
        </w:rPr>
        <w:t>（要支援・要介護認定者のうち認知症高齢者の日常生活自立度Ⅱ</w:t>
      </w:r>
      <w:r>
        <w:rPr>
          <w:rFonts w:hint="eastAsia"/>
          <w:color w:val="auto"/>
          <w:highlight w:val="none"/>
        </w:rPr>
        <w:t>a</w:t>
      </w:r>
      <w:r>
        <w:rPr>
          <w:rFonts w:hint="eastAsia"/>
          <w:color w:val="auto"/>
          <w:highlight w:val="none"/>
        </w:rPr>
        <w:t>以上の人）</w:t>
      </w:r>
    </w:p>
    <w:p>
      <w:pPr>
        <w:pStyle w:val="0"/>
        <w:widowControl w:val="1"/>
        <w:autoSpaceDE w:val="0"/>
        <w:autoSpaceDN w:val="0"/>
        <w:spacing w:after="37" w:afterLines="10" w:afterAutospacing="0" w:line="240" w:lineRule="exact"/>
        <w:jc w:val="right"/>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sz w:val="18"/>
          <w:highlight w:val="none"/>
        </w:rPr>
        <w:t>（単位：人）</w:t>
      </w:r>
    </w:p>
    <w:tbl>
      <w:tblPr>
        <w:tblStyle w:val="89"/>
        <w:tblW w:w="8533" w:type="dxa"/>
        <w:tblInd w:w="534" w:type="dxa"/>
        <w:tblLayout w:type="fixed"/>
        <w:tblLook w:firstRow="1" w:lastRow="0" w:firstColumn="1" w:lastColumn="0" w:noHBand="0" w:noVBand="1" w:val="04A0"/>
      </w:tblPr>
      <w:tblGrid>
        <w:gridCol w:w="737"/>
        <w:gridCol w:w="1559"/>
        <w:gridCol w:w="891"/>
        <w:gridCol w:w="891"/>
        <w:gridCol w:w="891"/>
        <w:gridCol w:w="891"/>
        <w:gridCol w:w="891"/>
        <w:gridCol w:w="891"/>
        <w:gridCol w:w="891"/>
      </w:tblGrid>
      <w:tr>
        <w:trPr/>
        <w:tc>
          <w:tcPr>
            <w:tcW w:w="2296" w:type="dxa"/>
            <w:gridSpan w:val="2"/>
            <w:vMerge w:val="restart"/>
            <w:shd w:val="clear" w:color="auto" w:fill="CCECFF"/>
            <w:vAlign w:val="center"/>
          </w:tcPr>
          <w:p>
            <w:pPr>
              <w:pStyle w:val="0"/>
              <w:autoSpaceDE w:val="0"/>
              <w:autoSpaceDN w:val="0"/>
              <w:spacing w:line="240" w:lineRule="exact"/>
              <w:jc w:val="center"/>
              <w:rPr>
                <w:rFonts w:hint="default" w:ascii="ＭＳ Ｐゴシック" w:hAnsi="ＭＳ Ｐゴシック" w:eastAsia="ＭＳ Ｐゴシック"/>
                <w:color w:val="auto"/>
                <w:kern w:val="24"/>
                <w:sz w:val="18"/>
                <w:highlight w:val="none"/>
              </w:rPr>
            </w:pPr>
          </w:p>
        </w:tc>
        <w:tc>
          <w:tcPr>
            <w:tcW w:w="2673" w:type="dxa"/>
            <w:gridSpan w:val="3"/>
            <w:shd w:val="clear" w:color="auto" w:fill="CCECFF"/>
            <w:vAlign w:val="center"/>
          </w:tcPr>
          <w:p>
            <w:pPr>
              <w:pStyle w:val="0"/>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第</w:t>
            </w:r>
            <w:r>
              <w:rPr>
                <w:rFonts w:hint="eastAsia" w:ascii="ＭＳ Ｐゴシック" w:hAnsi="ＭＳ Ｐゴシック" w:eastAsia="ＭＳ Ｐゴシック"/>
                <w:color w:val="auto"/>
                <w:kern w:val="24"/>
                <w:sz w:val="18"/>
                <w:highlight w:val="none"/>
              </w:rPr>
              <w:t>8</w:t>
            </w:r>
            <w:r>
              <w:rPr>
                <w:rFonts w:hint="eastAsia" w:ascii="ＭＳ Ｐゴシック" w:hAnsi="ＭＳ Ｐゴシック" w:eastAsia="ＭＳ Ｐゴシック"/>
                <w:color w:val="auto"/>
                <w:kern w:val="24"/>
                <w:sz w:val="18"/>
                <w:highlight w:val="none"/>
              </w:rPr>
              <w:t>期</w:t>
            </w:r>
          </w:p>
        </w:tc>
        <w:tc>
          <w:tcPr>
            <w:tcW w:w="2673" w:type="dxa"/>
            <w:gridSpan w:val="3"/>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第</w:t>
            </w:r>
            <w:r>
              <w:rPr>
                <w:rFonts w:hint="eastAsia" w:ascii="ＭＳ Ｐゴシック" w:hAnsi="ＭＳ Ｐゴシック" w:eastAsia="ＭＳ Ｐゴシック"/>
                <w:color w:val="auto"/>
                <w:kern w:val="24"/>
                <w:sz w:val="18"/>
                <w:highlight w:val="none"/>
              </w:rPr>
              <w:t>9</w:t>
            </w:r>
            <w:r>
              <w:rPr>
                <w:rFonts w:hint="eastAsia" w:ascii="ＭＳ Ｐゴシック" w:hAnsi="ＭＳ Ｐゴシック" w:eastAsia="ＭＳ Ｐゴシック"/>
                <w:color w:val="auto"/>
                <w:kern w:val="24"/>
                <w:sz w:val="18"/>
                <w:highlight w:val="none"/>
              </w:rPr>
              <w:t>期</w:t>
            </w:r>
          </w:p>
        </w:tc>
        <w:tc>
          <w:tcPr>
            <w:tcW w:w="891"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w w:val="95"/>
                <w:kern w:val="24"/>
                <w:sz w:val="18"/>
                <w:highlight w:val="none"/>
              </w:rPr>
            </w:pPr>
            <w:r>
              <w:rPr>
                <w:rFonts w:hint="eastAsia" w:ascii="ＭＳ Ｐゴシック" w:hAnsi="ＭＳ Ｐゴシック" w:eastAsia="ＭＳ Ｐゴシック"/>
                <w:color w:val="auto"/>
                <w:w w:val="95"/>
                <w:kern w:val="24"/>
                <w:sz w:val="18"/>
                <w:highlight w:val="none"/>
              </w:rPr>
              <w:t>令和</w:t>
            </w:r>
            <w:r>
              <w:rPr>
                <w:rFonts w:hint="eastAsia" w:ascii="ＭＳ Ｐゴシック" w:hAnsi="ＭＳ Ｐゴシック" w:eastAsia="ＭＳ Ｐゴシック"/>
                <w:color w:val="auto"/>
                <w:w w:val="95"/>
                <w:kern w:val="24"/>
                <w:sz w:val="18"/>
                <w:highlight w:val="none"/>
              </w:rPr>
              <w:t>22</w:t>
            </w:r>
            <w:r>
              <w:rPr>
                <w:rFonts w:hint="eastAsia" w:ascii="ＭＳ Ｐゴシック" w:hAnsi="ＭＳ Ｐゴシック" w:eastAsia="ＭＳ Ｐゴシック"/>
                <w:color w:val="auto"/>
                <w:w w:val="95"/>
                <w:kern w:val="24"/>
                <w:sz w:val="18"/>
                <w:highlight w:val="none"/>
              </w:rPr>
              <w:t>年度</w:t>
            </w:r>
          </w:p>
          <w:p>
            <w:pPr>
              <w:pStyle w:val="0"/>
              <w:autoSpaceDE w:val="0"/>
              <w:autoSpaceDN w:val="0"/>
              <w:spacing w:line="240" w:lineRule="exact"/>
              <w:ind w:left="-220" w:leftChars="-100" w:right="-220" w:rightChars="-100"/>
              <w:jc w:val="center"/>
              <w:rPr>
                <w:rFonts w:hint="default" w:ascii="ＭＳ Ｐゴシック" w:hAnsi="ＭＳ Ｐゴシック" w:eastAsia="ＭＳ Ｐゴシック"/>
                <w:color w:val="auto"/>
                <w:w w:val="95"/>
                <w:kern w:val="24"/>
                <w:sz w:val="18"/>
                <w:highlight w:val="none"/>
              </w:rPr>
            </w:pPr>
            <w:r>
              <w:rPr>
                <w:rFonts w:hint="eastAsia" w:ascii="ＭＳ Ｐゴシック" w:hAnsi="ＭＳ Ｐゴシック" w:eastAsia="ＭＳ Ｐゴシック"/>
                <w:color w:val="auto"/>
                <w:w w:val="95"/>
                <w:kern w:val="24"/>
                <w:sz w:val="18"/>
                <w:highlight w:val="none"/>
              </w:rPr>
              <w:t>（</w:t>
            </w:r>
            <w:r>
              <w:rPr>
                <w:rFonts w:hint="eastAsia" w:ascii="ＭＳ Ｐゴシック" w:hAnsi="ＭＳ Ｐゴシック" w:eastAsia="ＭＳ Ｐゴシック"/>
                <w:color w:val="auto"/>
                <w:w w:val="95"/>
                <w:kern w:val="24"/>
                <w:sz w:val="18"/>
                <w:highlight w:val="none"/>
              </w:rPr>
              <w:t>2040</w:t>
            </w:r>
            <w:r>
              <w:rPr>
                <w:rFonts w:hint="eastAsia" w:ascii="ＭＳ Ｐゴシック" w:hAnsi="ＭＳ Ｐゴシック" w:eastAsia="ＭＳ Ｐゴシック"/>
                <w:color w:val="auto"/>
                <w:w w:val="95"/>
                <w:kern w:val="24"/>
                <w:sz w:val="18"/>
                <w:highlight w:val="none"/>
              </w:rPr>
              <w:t>年度）</w:t>
            </w:r>
          </w:p>
        </w:tc>
      </w:tr>
      <w:tr>
        <w:trPr/>
        <w:tc>
          <w:tcPr>
            <w:tcW w:w="2296" w:type="dxa"/>
            <w:gridSpan w:val="2"/>
            <w:vMerge w:val="continue"/>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kern w:val="24"/>
                <w:sz w:val="18"/>
              </w:rPr>
            </w:pPr>
          </w:p>
        </w:tc>
        <w:tc>
          <w:tcPr>
            <w:tcW w:w="891" w:type="dxa"/>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3</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4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2021</w:t>
            </w:r>
            <w:r>
              <w:rPr>
                <w:rFonts w:hint="eastAsia" w:ascii="ＭＳ Ｐゴシック" w:hAnsi="ＭＳ Ｐゴシック" w:eastAsia="ＭＳ Ｐゴシック"/>
                <w:color w:val="auto"/>
                <w:kern w:val="24"/>
                <w:sz w:val="18"/>
                <w:highlight w:val="none"/>
              </w:rPr>
              <w:t>年度）</w:t>
            </w:r>
          </w:p>
        </w:tc>
        <w:tc>
          <w:tcPr>
            <w:tcW w:w="891" w:type="dxa"/>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4</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4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2022</w:t>
            </w:r>
            <w:r>
              <w:rPr>
                <w:rFonts w:hint="eastAsia" w:ascii="ＭＳ Ｐゴシック" w:hAnsi="ＭＳ Ｐゴシック" w:eastAsia="ＭＳ Ｐゴシック"/>
                <w:color w:val="auto"/>
                <w:kern w:val="24"/>
                <w:sz w:val="18"/>
                <w:highlight w:val="none"/>
              </w:rPr>
              <w:t>年度）</w:t>
            </w:r>
          </w:p>
        </w:tc>
        <w:tc>
          <w:tcPr>
            <w:tcW w:w="891" w:type="dxa"/>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5</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4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2023</w:t>
            </w:r>
            <w:r>
              <w:rPr>
                <w:rFonts w:hint="eastAsia" w:ascii="ＭＳ Ｐゴシック" w:hAnsi="ＭＳ Ｐゴシック" w:eastAsia="ＭＳ Ｐゴシック"/>
                <w:color w:val="auto"/>
                <w:kern w:val="24"/>
                <w:sz w:val="18"/>
                <w:highlight w:val="none"/>
              </w:rPr>
              <w:t>年度）</w:t>
            </w:r>
          </w:p>
        </w:tc>
        <w:tc>
          <w:tcPr>
            <w:tcW w:w="891" w:type="dxa"/>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6</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4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2024</w:t>
            </w:r>
            <w:r>
              <w:rPr>
                <w:rFonts w:hint="eastAsia" w:ascii="ＭＳ Ｐゴシック" w:hAnsi="ＭＳ Ｐゴシック" w:eastAsia="ＭＳ Ｐゴシック"/>
                <w:color w:val="auto"/>
                <w:kern w:val="24"/>
                <w:sz w:val="18"/>
                <w:highlight w:val="none"/>
              </w:rPr>
              <w:t>年度）</w:t>
            </w:r>
          </w:p>
        </w:tc>
        <w:tc>
          <w:tcPr>
            <w:tcW w:w="891" w:type="dxa"/>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7</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4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2025</w:t>
            </w:r>
            <w:r>
              <w:rPr>
                <w:rFonts w:hint="eastAsia" w:ascii="ＭＳ Ｐゴシック" w:hAnsi="ＭＳ Ｐゴシック" w:eastAsia="ＭＳ Ｐゴシック"/>
                <w:color w:val="auto"/>
                <w:kern w:val="24"/>
                <w:sz w:val="18"/>
                <w:highlight w:val="none"/>
              </w:rPr>
              <w:t>年度）</w:t>
            </w:r>
          </w:p>
        </w:tc>
        <w:tc>
          <w:tcPr>
            <w:tcW w:w="891"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CCECFF"/>
            <w:vAlign w:val="center"/>
          </w:tcPr>
          <w:p>
            <w:pPr>
              <w:pStyle w:val="0"/>
              <w:widowControl w:val="1"/>
              <w:autoSpaceDE w:val="0"/>
              <w:autoSpaceDN w:val="0"/>
              <w:spacing w:line="22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8</w:t>
            </w:r>
            <w:r>
              <w:rPr>
                <w:rFonts w:hint="eastAsia" w:ascii="ＭＳ Ｐゴシック" w:hAnsi="ＭＳ Ｐゴシック" w:eastAsia="ＭＳ Ｐゴシック"/>
                <w:color w:val="auto"/>
                <w:kern w:val="24"/>
                <w:sz w:val="18"/>
                <w:highlight w:val="none"/>
              </w:rPr>
              <w:t>年度</w:t>
            </w:r>
          </w:p>
          <w:p>
            <w:pPr>
              <w:pStyle w:val="0"/>
              <w:widowControl w:val="1"/>
              <w:autoSpaceDE w:val="0"/>
              <w:autoSpaceDN w:val="0"/>
              <w:spacing w:line="24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2026</w:t>
            </w:r>
            <w:r>
              <w:rPr>
                <w:rFonts w:hint="eastAsia" w:ascii="ＭＳ Ｐゴシック" w:hAnsi="ＭＳ Ｐゴシック" w:eastAsia="ＭＳ Ｐゴシック"/>
                <w:color w:val="auto"/>
                <w:kern w:val="24"/>
                <w:sz w:val="18"/>
                <w:highlight w:val="none"/>
              </w:rPr>
              <w:t>年度）</w:t>
            </w:r>
          </w:p>
        </w:tc>
        <w:tc>
          <w:tcPr>
            <w:tcW w:w="891" w:type="dxa"/>
            <w:vMerge w:val="continue"/>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CCECFF"/>
            <w:vAlign w:val="top"/>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w w:val="95"/>
                <w:kern w:val="24"/>
                <w:sz w:val="18"/>
              </w:rPr>
            </w:pPr>
          </w:p>
        </w:tc>
      </w:tr>
      <w:tr>
        <w:trPr>
          <w:trHeight w:val="283" w:hRule="atLeast"/>
        </w:trPr>
        <w:tc>
          <w:tcPr>
            <w:tcW w:w="737"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廿日市</w:t>
            </w:r>
          </w:p>
          <w:p>
            <w:pPr>
              <w:pStyle w:val="0"/>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東部</w:t>
            </w:r>
          </w:p>
        </w:tc>
        <w:tc>
          <w:tcPr>
            <w:tcW w:w="1559"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認知症高齢者数</w:t>
            </w:r>
          </w:p>
        </w:tc>
        <w:tc>
          <w:tcPr>
            <w:tcW w:w="891" w:type="dxa"/>
            <w:tcBorders>
              <w:top w:val="single" w:color="auto" w:sz="4" w:space="0"/>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816</w:t>
            </w:r>
          </w:p>
        </w:tc>
        <w:tc>
          <w:tcPr>
            <w:tcW w:w="891"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818</w:t>
            </w:r>
          </w:p>
        </w:tc>
        <w:tc>
          <w:tcPr>
            <w:tcW w:w="891"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784</w:t>
            </w:r>
          </w:p>
        </w:tc>
        <w:tc>
          <w:tcPr>
            <w:tcW w:w="891"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815</w:t>
            </w:r>
          </w:p>
        </w:tc>
        <w:tc>
          <w:tcPr>
            <w:tcW w:w="891" w:type="dxa"/>
            <w:tcBorders>
              <w:top w:val="single" w:color="auto" w:sz="4" w:space="0"/>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835</w:t>
            </w:r>
          </w:p>
        </w:tc>
        <w:tc>
          <w:tcPr>
            <w:tcW w:w="891" w:type="dxa"/>
            <w:tcBorders>
              <w:top w:val="single" w:color="auto" w:sz="4" w:space="0"/>
              <w:left w:val="nil"/>
              <w:bottom w:val="dashSmallGap" w:color="auto" w:sz="4" w:space="0"/>
              <w:right w:val="doub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851</w:t>
            </w:r>
          </w:p>
        </w:tc>
        <w:tc>
          <w:tcPr>
            <w:tcW w:w="891" w:type="dxa"/>
            <w:tcBorders>
              <w:top w:val="single" w:color="auto" w:sz="4" w:space="0"/>
              <w:left w:val="doub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1,124</w:t>
            </w:r>
          </w:p>
        </w:tc>
      </w:tr>
      <w:tr>
        <w:trPr>
          <w:trHeight w:val="283" w:hRule="atLeast"/>
        </w:trPr>
        <w:tc>
          <w:tcPr>
            <w:tcW w:w="737" w:type="dxa"/>
            <w:vMerge w:val="continue"/>
            <w:vAlign w:val="center"/>
          </w:tcPr>
          <w:p>
            <w:pPr>
              <w:pStyle w:val="0"/>
              <w:autoSpaceDE w:val="0"/>
              <w:autoSpaceDN w:val="0"/>
              <w:spacing w:line="240" w:lineRule="exact"/>
              <w:ind w:left="-110" w:leftChars="-50" w:right="-110" w:rightChars="-50"/>
              <w:jc w:val="center"/>
              <w:rPr>
                <w:rFonts w:hint="default" w:ascii="ＭＳ Ｐゴシック" w:hAnsi="ＭＳ Ｐゴシック" w:eastAsia="ＭＳ Ｐゴシック"/>
                <w:kern w:val="24"/>
                <w:sz w:val="18"/>
              </w:rPr>
            </w:pPr>
          </w:p>
        </w:tc>
        <w:tc>
          <w:tcPr>
            <w:tcW w:w="155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spacing w:line="240" w:lineRule="exact"/>
              <w:ind w:left="-110" w:leftChars="-50" w:right="-110" w:rightChars="-50"/>
              <w:jc w:val="center"/>
              <w:rPr>
                <w:rFonts w:hint="default" w:ascii="ＭＳ Ｐゴシック" w:hAnsi="ＭＳ Ｐゴシック" w:eastAsia="ＭＳ Ｐゴシック"/>
                <w:color w:val="auto"/>
                <w:w w:val="70"/>
                <w:kern w:val="24"/>
                <w:sz w:val="18"/>
                <w:highlight w:val="none"/>
              </w:rPr>
            </w:pPr>
            <w:r>
              <w:rPr>
                <w:rFonts w:hint="eastAsia" w:ascii="ＭＳ Ｐゴシック" w:hAnsi="ＭＳ Ｐゴシック" w:eastAsia="ＭＳ Ｐゴシック"/>
                <w:color w:val="auto"/>
                <w:w w:val="70"/>
                <w:kern w:val="24"/>
                <w:sz w:val="18"/>
                <w:highlight w:val="none"/>
              </w:rPr>
              <w:t>高齢者数に占める割合</w:t>
            </w:r>
          </w:p>
        </w:tc>
        <w:tc>
          <w:tcPr>
            <w:tcW w:w="891"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10.6%</w:t>
            </w:r>
          </w:p>
        </w:tc>
        <w:tc>
          <w:tcPr>
            <w:tcW w:w="89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10.6%</w:t>
            </w:r>
          </w:p>
        </w:tc>
        <w:tc>
          <w:tcPr>
            <w:tcW w:w="89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10.2%</w:t>
            </w:r>
          </w:p>
        </w:tc>
        <w:tc>
          <w:tcPr>
            <w:tcW w:w="89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10.5%</w:t>
            </w:r>
          </w:p>
        </w:tc>
        <w:tc>
          <w:tcPr>
            <w:tcW w:w="89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10.7%</w:t>
            </w:r>
          </w:p>
        </w:tc>
        <w:tc>
          <w:tcPr>
            <w:tcW w:w="891" w:type="dxa"/>
            <w:tcBorders>
              <w:top w:val="dashSmallGap"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10.9%</w:t>
            </w:r>
          </w:p>
        </w:tc>
        <w:tc>
          <w:tcPr>
            <w:tcW w:w="891" w:type="dxa"/>
            <w:tcBorders>
              <w:top w:val="dashSmallGap"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12.3%</w:t>
            </w:r>
          </w:p>
        </w:tc>
      </w:tr>
      <w:tr>
        <w:trPr>
          <w:trHeight w:val="283" w:hRule="atLeast"/>
        </w:trPr>
        <w:tc>
          <w:tcPr>
            <w:tcW w:w="737"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廿日市</w:t>
            </w:r>
          </w:p>
          <w:p>
            <w:pPr>
              <w:pStyle w:val="0"/>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中部</w:t>
            </w:r>
          </w:p>
        </w:tc>
        <w:tc>
          <w:tcPr>
            <w:tcW w:w="1559"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認知症高齢者数</w:t>
            </w:r>
          </w:p>
        </w:tc>
        <w:tc>
          <w:tcPr>
            <w:tcW w:w="891" w:type="dxa"/>
            <w:tcBorders>
              <w:top w:val="nil"/>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628</w:t>
            </w:r>
          </w:p>
        </w:tc>
        <w:tc>
          <w:tcPr>
            <w:tcW w:w="891"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675</w:t>
            </w:r>
          </w:p>
        </w:tc>
        <w:tc>
          <w:tcPr>
            <w:tcW w:w="891"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665</w:t>
            </w:r>
          </w:p>
        </w:tc>
        <w:tc>
          <w:tcPr>
            <w:tcW w:w="891"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704</w:t>
            </w:r>
          </w:p>
        </w:tc>
        <w:tc>
          <w:tcPr>
            <w:tcW w:w="891"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730</w:t>
            </w:r>
          </w:p>
        </w:tc>
        <w:tc>
          <w:tcPr>
            <w:tcW w:w="891" w:type="dxa"/>
            <w:tcBorders>
              <w:top w:val="nil"/>
              <w:left w:val="nil"/>
              <w:bottom w:val="dashSmallGap" w:color="auto" w:sz="4" w:space="0"/>
              <w:right w:val="doub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761</w:t>
            </w:r>
          </w:p>
        </w:tc>
        <w:tc>
          <w:tcPr>
            <w:tcW w:w="891" w:type="dxa"/>
            <w:tcBorders>
              <w:top w:val="nil"/>
              <w:left w:val="doub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1,250</w:t>
            </w:r>
          </w:p>
        </w:tc>
      </w:tr>
      <w:tr>
        <w:trPr>
          <w:trHeight w:val="283" w:hRule="atLeast"/>
        </w:trPr>
        <w:tc>
          <w:tcPr>
            <w:tcW w:w="737" w:type="dxa"/>
            <w:vMerge w:val="continue"/>
            <w:vAlign w:val="center"/>
          </w:tcPr>
          <w:p>
            <w:pPr>
              <w:pStyle w:val="0"/>
              <w:autoSpaceDE w:val="0"/>
              <w:autoSpaceDN w:val="0"/>
              <w:spacing w:line="240" w:lineRule="exact"/>
              <w:ind w:left="-110" w:leftChars="-50" w:right="-110" w:rightChars="-50"/>
              <w:jc w:val="center"/>
              <w:rPr>
                <w:rFonts w:hint="default" w:ascii="ＭＳ Ｐゴシック" w:hAnsi="ＭＳ Ｐゴシック" w:eastAsia="ＭＳ Ｐゴシック"/>
                <w:kern w:val="24"/>
                <w:sz w:val="18"/>
              </w:rPr>
            </w:pPr>
          </w:p>
        </w:tc>
        <w:tc>
          <w:tcPr>
            <w:tcW w:w="1559"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spacing w:line="240" w:lineRule="exact"/>
              <w:ind w:left="-110" w:leftChars="-50" w:right="-110" w:rightChars="-50"/>
              <w:jc w:val="center"/>
              <w:rPr>
                <w:rFonts w:hint="default" w:ascii="ＭＳ Ｐゴシック" w:hAnsi="ＭＳ Ｐゴシック" w:eastAsia="ＭＳ Ｐゴシック"/>
                <w:color w:val="auto"/>
                <w:w w:val="75"/>
                <w:kern w:val="24"/>
                <w:sz w:val="18"/>
                <w:highlight w:val="none"/>
              </w:rPr>
            </w:pPr>
            <w:r>
              <w:rPr>
                <w:rFonts w:hint="eastAsia" w:ascii="ＭＳ Ｐゴシック" w:hAnsi="ＭＳ Ｐゴシック" w:eastAsia="ＭＳ Ｐゴシック"/>
                <w:color w:val="auto"/>
                <w:w w:val="70"/>
                <w:kern w:val="24"/>
                <w:sz w:val="18"/>
                <w:highlight w:val="none"/>
              </w:rPr>
              <w:t>高齢者数に占める割合</w:t>
            </w:r>
          </w:p>
        </w:tc>
        <w:tc>
          <w:tcPr>
            <w:tcW w:w="891"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8.6%</w:t>
            </w:r>
          </w:p>
        </w:tc>
        <w:tc>
          <w:tcPr>
            <w:tcW w:w="89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9.0%</w:t>
            </w:r>
          </w:p>
        </w:tc>
        <w:tc>
          <w:tcPr>
            <w:tcW w:w="89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8.6%</w:t>
            </w:r>
          </w:p>
        </w:tc>
        <w:tc>
          <w:tcPr>
            <w:tcW w:w="89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8.9%</w:t>
            </w:r>
          </w:p>
        </w:tc>
        <w:tc>
          <w:tcPr>
            <w:tcW w:w="89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9.0%</w:t>
            </w:r>
          </w:p>
        </w:tc>
        <w:tc>
          <w:tcPr>
            <w:tcW w:w="891" w:type="dxa"/>
            <w:tcBorders>
              <w:top w:val="dashSmallGap"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9.2%</w:t>
            </w:r>
          </w:p>
        </w:tc>
        <w:tc>
          <w:tcPr>
            <w:tcW w:w="891" w:type="dxa"/>
            <w:tcBorders>
              <w:top w:val="dashSmallGap"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15.5%</w:t>
            </w:r>
          </w:p>
        </w:tc>
      </w:tr>
      <w:tr>
        <w:trPr>
          <w:trHeight w:val="283" w:hRule="atLeast"/>
        </w:trPr>
        <w:tc>
          <w:tcPr>
            <w:tcW w:w="737" w:type="dxa"/>
            <w:vMerge w:val="restart"/>
            <w:vAlign w:val="center"/>
          </w:tcPr>
          <w:p>
            <w:pPr>
              <w:pStyle w:val="0"/>
              <w:autoSpaceDE w:val="0"/>
              <w:autoSpaceDN w:val="0"/>
              <w:spacing w:line="240" w:lineRule="exact"/>
              <w:ind w:left="-50" w:right="-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廿日市</w:t>
            </w:r>
          </w:p>
          <w:p>
            <w:pPr>
              <w:pStyle w:val="0"/>
              <w:autoSpaceDE w:val="0"/>
              <w:autoSpaceDN w:val="0"/>
              <w:spacing w:line="240" w:lineRule="exact"/>
              <w:ind w:left="-50" w:right="-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西部</w:t>
            </w:r>
          </w:p>
        </w:tc>
        <w:tc>
          <w:tcPr>
            <w:tcW w:w="1559"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認知症高齢者数</w:t>
            </w:r>
          </w:p>
        </w:tc>
        <w:tc>
          <w:tcPr>
            <w:tcW w:w="891" w:type="dxa"/>
            <w:tcBorders>
              <w:top w:val="nil"/>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724</w:t>
            </w:r>
          </w:p>
        </w:tc>
        <w:tc>
          <w:tcPr>
            <w:tcW w:w="891"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757</w:t>
            </w:r>
          </w:p>
        </w:tc>
        <w:tc>
          <w:tcPr>
            <w:tcW w:w="891"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775</w:t>
            </w:r>
          </w:p>
        </w:tc>
        <w:tc>
          <w:tcPr>
            <w:tcW w:w="891"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822</w:t>
            </w:r>
          </w:p>
        </w:tc>
        <w:tc>
          <w:tcPr>
            <w:tcW w:w="891"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850</w:t>
            </w:r>
          </w:p>
        </w:tc>
        <w:tc>
          <w:tcPr>
            <w:tcW w:w="891" w:type="dxa"/>
            <w:tcBorders>
              <w:top w:val="nil"/>
              <w:left w:val="nil"/>
              <w:bottom w:val="dashSmallGap" w:color="auto" w:sz="4" w:space="0"/>
              <w:right w:val="doub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874</w:t>
            </w:r>
          </w:p>
        </w:tc>
        <w:tc>
          <w:tcPr>
            <w:tcW w:w="891" w:type="dxa"/>
            <w:tcBorders>
              <w:top w:val="nil"/>
              <w:left w:val="doub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1,118</w:t>
            </w:r>
          </w:p>
        </w:tc>
      </w:tr>
      <w:tr>
        <w:trPr>
          <w:trHeight w:val="283" w:hRule="atLeast"/>
        </w:trPr>
        <w:tc>
          <w:tcPr>
            <w:tcW w:w="737" w:type="dxa"/>
            <w:vMerge w:val="continue"/>
            <w:vAlign w:val="center"/>
          </w:tcPr>
          <w:p>
            <w:pPr>
              <w:pStyle w:val="0"/>
              <w:autoSpaceDE w:val="0"/>
              <w:autoSpaceDN w:val="0"/>
              <w:spacing w:line="240" w:lineRule="exact"/>
              <w:ind w:left="-50" w:right="-50"/>
              <w:jc w:val="center"/>
              <w:rPr>
                <w:rFonts w:hint="default" w:ascii="ＭＳ Ｐゴシック" w:hAnsi="ＭＳ Ｐゴシック" w:eastAsia="ＭＳ Ｐゴシック"/>
                <w:kern w:val="24"/>
                <w:sz w:val="18"/>
              </w:rPr>
            </w:pPr>
          </w:p>
        </w:tc>
        <w:tc>
          <w:tcPr>
            <w:tcW w:w="1559"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spacing w:line="240" w:lineRule="exact"/>
              <w:ind w:left="-110" w:leftChars="-50" w:right="-110" w:rightChars="-50"/>
              <w:jc w:val="center"/>
              <w:rPr>
                <w:rFonts w:hint="default" w:ascii="ＭＳ Ｐゴシック" w:hAnsi="ＭＳ Ｐゴシック" w:eastAsia="ＭＳ Ｐゴシック"/>
                <w:color w:val="auto"/>
                <w:w w:val="75"/>
                <w:kern w:val="24"/>
                <w:sz w:val="18"/>
                <w:highlight w:val="none"/>
              </w:rPr>
            </w:pPr>
            <w:r>
              <w:rPr>
                <w:rFonts w:hint="eastAsia" w:ascii="ＭＳ Ｐゴシック" w:hAnsi="ＭＳ Ｐゴシック" w:eastAsia="ＭＳ Ｐゴシック"/>
                <w:color w:val="auto"/>
                <w:w w:val="70"/>
                <w:kern w:val="24"/>
                <w:sz w:val="18"/>
                <w:highlight w:val="none"/>
              </w:rPr>
              <w:t>高齢者数に占める割合</w:t>
            </w:r>
          </w:p>
        </w:tc>
        <w:tc>
          <w:tcPr>
            <w:tcW w:w="891"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10.3%</w:t>
            </w:r>
          </w:p>
        </w:tc>
        <w:tc>
          <w:tcPr>
            <w:tcW w:w="89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10.7%</w:t>
            </w:r>
          </w:p>
        </w:tc>
        <w:tc>
          <w:tcPr>
            <w:tcW w:w="89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10.9%</w:t>
            </w:r>
          </w:p>
        </w:tc>
        <w:tc>
          <w:tcPr>
            <w:tcW w:w="89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11.5%</w:t>
            </w:r>
          </w:p>
        </w:tc>
        <w:tc>
          <w:tcPr>
            <w:tcW w:w="89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11.8%</w:t>
            </w:r>
          </w:p>
        </w:tc>
        <w:tc>
          <w:tcPr>
            <w:tcW w:w="891" w:type="dxa"/>
            <w:tcBorders>
              <w:top w:val="dashSmallGap"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12.2%</w:t>
            </w:r>
          </w:p>
        </w:tc>
        <w:tc>
          <w:tcPr>
            <w:tcW w:w="891" w:type="dxa"/>
            <w:tcBorders>
              <w:top w:val="dashSmallGap"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16.7%</w:t>
            </w:r>
          </w:p>
        </w:tc>
      </w:tr>
      <w:tr>
        <w:trPr>
          <w:trHeight w:val="283" w:hRule="atLeast"/>
        </w:trPr>
        <w:tc>
          <w:tcPr>
            <w:tcW w:w="737" w:type="dxa"/>
            <w:vMerge w:val="restart"/>
            <w:vAlign w:val="center"/>
          </w:tcPr>
          <w:p>
            <w:pPr>
              <w:pStyle w:val="0"/>
              <w:autoSpaceDE w:val="0"/>
              <w:autoSpaceDN w:val="0"/>
              <w:spacing w:line="240" w:lineRule="exact"/>
              <w:ind w:left="-50" w:right="-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佐伯</w:t>
            </w:r>
          </w:p>
        </w:tc>
        <w:tc>
          <w:tcPr>
            <w:tcW w:w="1559"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認知症高齢者数</w:t>
            </w:r>
          </w:p>
        </w:tc>
        <w:tc>
          <w:tcPr>
            <w:tcW w:w="891" w:type="dxa"/>
            <w:tcBorders>
              <w:top w:val="nil"/>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434</w:t>
            </w:r>
          </w:p>
        </w:tc>
        <w:tc>
          <w:tcPr>
            <w:tcW w:w="891"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450</w:t>
            </w:r>
          </w:p>
        </w:tc>
        <w:tc>
          <w:tcPr>
            <w:tcW w:w="891"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445</w:t>
            </w:r>
          </w:p>
        </w:tc>
        <w:tc>
          <w:tcPr>
            <w:tcW w:w="891"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456</w:t>
            </w:r>
          </w:p>
        </w:tc>
        <w:tc>
          <w:tcPr>
            <w:tcW w:w="891"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456</w:t>
            </w:r>
          </w:p>
        </w:tc>
        <w:tc>
          <w:tcPr>
            <w:tcW w:w="891" w:type="dxa"/>
            <w:tcBorders>
              <w:top w:val="nil"/>
              <w:left w:val="nil"/>
              <w:bottom w:val="dashSmallGap" w:color="auto" w:sz="4" w:space="0"/>
              <w:right w:val="doub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457</w:t>
            </w:r>
          </w:p>
        </w:tc>
        <w:tc>
          <w:tcPr>
            <w:tcW w:w="891" w:type="dxa"/>
            <w:tcBorders>
              <w:top w:val="nil"/>
              <w:left w:val="doub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466</w:t>
            </w:r>
          </w:p>
        </w:tc>
      </w:tr>
      <w:tr>
        <w:trPr>
          <w:trHeight w:val="283" w:hRule="atLeast"/>
        </w:trPr>
        <w:tc>
          <w:tcPr>
            <w:tcW w:w="737" w:type="dxa"/>
            <w:vMerge w:val="continue"/>
            <w:vAlign w:val="center"/>
          </w:tcPr>
          <w:p>
            <w:pPr>
              <w:pStyle w:val="0"/>
              <w:autoSpaceDE w:val="0"/>
              <w:autoSpaceDN w:val="0"/>
              <w:spacing w:line="240" w:lineRule="exact"/>
              <w:ind w:left="-50" w:right="-50"/>
              <w:jc w:val="center"/>
              <w:rPr>
                <w:rFonts w:hint="default" w:ascii="ＭＳ Ｐゴシック" w:hAnsi="ＭＳ Ｐゴシック" w:eastAsia="ＭＳ Ｐゴシック"/>
                <w:kern w:val="24"/>
                <w:sz w:val="18"/>
              </w:rPr>
            </w:pPr>
          </w:p>
        </w:tc>
        <w:tc>
          <w:tcPr>
            <w:tcW w:w="1559"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spacing w:line="240" w:lineRule="exact"/>
              <w:ind w:left="-110" w:leftChars="-50" w:right="-110" w:rightChars="-50"/>
              <w:jc w:val="center"/>
              <w:rPr>
                <w:rFonts w:hint="default" w:ascii="ＭＳ Ｐゴシック" w:hAnsi="ＭＳ Ｐゴシック" w:eastAsia="ＭＳ Ｐゴシック"/>
                <w:color w:val="auto"/>
                <w:w w:val="75"/>
                <w:kern w:val="24"/>
                <w:sz w:val="18"/>
                <w:highlight w:val="none"/>
              </w:rPr>
            </w:pPr>
            <w:r>
              <w:rPr>
                <w:rFonts w:hint="eastAsia" w:ascii="ＭＳ Ｐゴシック" w:hAnsi="ＭＳ Ｐゴシック" w:eastAsia="ＭＳ Ｐゴシック"/>
                <w:color w:val="auto"/>
                <w:w w:val="70"/>
                <w:kern w:val="24"/>
                <w:sz w:val="18"/>
                <w:highlight w:val="none"/>
              </w:rPr>
              <w:t>高齢者数に占める割合</w:t>
            </w:r>
          </w:p>
        </w:tc>
        <w:tc>
          <w:tcPr>
            <w:tcW w:w="891"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11.0%</w:t>
            </w:r>
          </w:p>
        </w:tc>
        <w:tc>
          <w:tcPr>
            <w:tcW w:w="89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11.4%</w:t>
            </w:r>
          </w:p>
        </w:tc>
        <w:tc>
          <w:tcPr>
            <w:tcW w:w="89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11.3%</w:t>
            </w:r>
          </w:p>
        </w:tc>
        <w:tc>
          <w:tcPr>
            <w:tcW w:w="89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11.7%</w:t>
            </w:r>
          </w:p>
        </w:tc>
        <w:tc>
          <w:tcPr>
            <w:tcW w:w="89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11.7%</w:t>
            </w:r>
          </w:p>
        </w:tc>
        <w:tc>
          <w:tcPr>
            <w:tcW w:w="891" w:type="dxa"/>
            <w:tcBorders>
              <w:top w:val="dashSmallGap"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11.9%</w:t>
            </w:r>
          </w:p>
        </w:tc>
        <w:tc>
          <w:tcPr>
            <w:tcW w:w="891" w:type="dxa"/>
            <w:tcBorders>
              <w:top w:val="dashSmallGap"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15.2%</w:t>
            </w:r>
          </w:p>
        </w:tc>
      </w:tr>
      <w:tr>
        <w:trPr>
          <w:trHeight w:val="283" w:hRule="atLeast"/>
        </w:trPr>
        <w:tc>
          <w:tcPr>
            <w:tcW w:w="737" w:type="dxa"/>
            <w:vMerge w:val="restart"/>
            <w:vAlign w:val="center"/>
          </w:tcPr>
          <w:p>
            <w:pPr>
              <w:pStyle w:val="0"/>
              <w:autoSpaceDE w:val="0"/>
              <w:autoSpaceDN w:val="0"/>
              <w:spacing w:line="240" w:lineRule="exact"/>
              <w:ind w:left="-50" w:right="-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吉和</w:t>
            </w:r>
          </w:p>
        </w:tc>
        <w:tc>
          <w:tcPr>
            <w:tcW w:w="1559"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認知症高齢者数</w:t>
            </w:r>
          </w:p>
        </w:tc>
        <w:tc>
          <w:tcPr>
            <w:tcW w:w="891" w:type="dxa"/>
            <w:tcBorders>
              <w:top w:val="nil"/>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49</w:t>
            </w:r>
          </w:p>
        </w:tc>
        <w:tc>
          <w:tcPr>
            <w:tcW w:w="891"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42</w:t>
            </w:r>
          </w:p>
        </w:tc>
        <w:tc>
          <w:tcPr>
            <w:tcW w:w="891"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43</w:t>
            </w:r>
          </w:p>
        </w:tc>
        <w:tc>
          <w:tcPr>
            <w:tcW w:w="891"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46</w:t>
            </w:r>
          </w:p>
        </w:tc>
        <w:tc>
          <w:tcPr>
            <w:tcW w:w="891"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45</w:t>
            </w:r>
          </w:p>
        </w:tc>
        <w:tc>
          <w:tcPr>
            <w:tcW w:w="891" w:type="dxa"/>
            <w:tcBorders>
              <w:top w:val="nil"/>
              <w:left w:val="nil"/>
              <w:bottom w:val="dashSmallGap" w:color="auto" w:sz="4" w:space="0"/>
              <w:right w:val="doub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44</w:t>
            </w:r>
          </w:p>
        </w:tc>
        <w:tc>
          <w:tcPr>
            <w:tcW w:w="891" w:type="dxa"/>
            <w:tcBorders>
              <w:top w:val="nil"/>
              <w:left w:val="doub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37</w:t>
            </w:r>
          </w:p>
        </w:tc>
      </w:tr>
      <w:tr>
        <w:trPr>
          <w:trHeight w:val="283" w:hRule="atLeast"/>
        </w:trPr>
        <w:tc>
          <w:tcPr>
            <w:tcW w:w="737" w:type="dxa"/>
            <w:vMerge w:val="continue"/>
            <w:vAlign w:val="center"/>
          </w:tcPr>
          <w:p>
            <w:pPr>
              <w:pStyle w:val="0"/>
              <w:autoSpaceDE w:val="0"/>
              <w:autoSpaceDN w:val="0"/>
              <w:spacing w:line="240" w:lineRule="exact"/>
              <w:ind w:left="-50" w:right="-50"/>
              <w:jc w:val="center"/>
              <w:rPr>
                <w:rFonts w:hint="default" w:ascii="ＭＳ Ｐゴシック" w:hAnsi="ＭＳ Ｐゴシック" w:eastAsia="ＭＳ Ｐゴシック"/>
                <w:kern w:val="24"/>
                <w:sz w:val="18"/>
              </w:rPr>
            </w:pPr>
          </w:p>
        </w:tc>
        <w:tc>
          <w:tcPr>
            <w:tcW w:w="1559"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spacing w:line="240" w:lineRule="exact"/>
              <w:ind w:left="-110" w:leftChars="-50" w:right="-110" w:rightChars="-50"/>
              <w:jc w:val="center"/>
              <w:rPr>
                <w:rFonts w:hint="default" w:ascii="ＭＳ Ｐゴシック" w:hAnsi="ＭＳ Ｐゴシック" w:eastAsia="ＭＳ Ｐゴシック"/>
                <w:color w:val="auto"/>
                <w:w w:val="75"/>
                <w:kern w:val="24"/>
                <w:sz w:val="18"/>
                <w:highlight w:val="none"/>
              </w:rPr>
            </w:pPr>
            <w:r>
              <w:rPr>
                <w:rFonts w:hint="eastAsia" w:ascii="ＭＳ Ｐゴシック" w:hAnsi="ＭＳ Ｐゴシック" w:eastAsia="ＭＳ Ｐゴシック"/>
                <w:color w:val="auto"/>
                <w:w w:val="70"/>
                <w:kern w:val="24"/>
                <w:sz w:val="18"/>
                <w:highlight w:val="none"/>
              </w:rPr>
              <w:t>高齢者数に占める割合</w:t>
            </w:r>
          </w:p>
        </w:tc>
        <w:tc>
          <w:tcPr>
            <w:tcW w:w="891"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15.7%</w:t>
            </w:r>
          </w:p>
        </w:tc>
        <w:tc>
          <w:tcPr>
            <w:tcW w:w="89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13.7%</w:t>
            </w:r>
          </w:p>
        </w:tc>
        <w:tc>
          <w:tcPr>
            <w:tcW w:w="89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14.4%</w:t>
            </w:r>
          </w:p>
        </w:tc>
        <w:tc>
          <w:tcPr>
            <w:tcW w:w="89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15.3%</w:t>
            </w:r>
          </w:p>
        </w:tc>
        <w:tc>
          <w:tcPr>
            <w:tcW w:w="89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15.1%</w:t>
            </w:r>
          </w:p>
        </w:tc>
        <w:tc>
          <w:tcPr>
            <w:tcW w:w="891" w:type="dxa"/>
            <w:tcBorders>
              <w:top w:val="dashSmallGap"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15.0%</w:t>
            </w:r>
          </w:p>
        </w:tc>
        <w:tc>
          <w:tcPr>
            <w:tcW w:w="891" w:type="dxa"/>
            <w:tcBorders>
              <w:top w:val="dashSmallGap"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14.6%</w:t>
            </w:r>
          </w:p>
        </w:tc>
      </w:tr>
      <w:tr>
        <w:trPr>
          <w:trHeight w:val="283" w:hRule="atLeast"/>
        </w:trPr>
        <w:tc>
          <w:tcPr>
            <w:tcW w:w="737" w:type="dxa"/>
            <w:vMerge w:val="restart"/>
            <w:vAlign w:val="center"/>
          </w:tcPr>
          <w:p>
            <w:pPr>
              <w:pStyle w:val="0"/>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大野</w:t>
            </w:r>
          </w:p>
        </w:tc>
        <w:tc>
          <w:tcPr>
            <w:tcW w:w="1559"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認知症高齢者数</w:t>
            </w:r>
          </w:p>
        </w:tc>
        <w:tc>
          <w:tcPr>
            <w:tcW w:w="891" w:type="dxa"/>
            <w:tcBorders>
              <w:top w:val="nil"/>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w:t>
            </w:r>
            <w:r>
              <w:rPr>
                <w:rFonts w:hint="default" w:ascii="ＭＳ Ｐゴシック" w:hAnsi="ＭＳ Ｐゴシック" w:eastAsia="ＭＳ Ｐゴシック"/>
                <w:color w:val="auto"/>
                <w:sz w:val="18"/>
                <w:highlight w:val="none"/>
              </w:rPr>
              <w:t>,</w:t>
            </w:r>
            <w:r>
              <w:rPr>
                <w:rFonts w:hint="eastAsia" w:ascii="ＭＳ Ｐゴシック" w:hAnsi="ＭＳ Ｐゴシック" w:eastAsia="ＭＳ Ｐゴシック"/>
                <w:color w:val="auto"/>
                <w:sz w:val="18"/>
                <w:highlight w:val="none"/>
              </w:rPr>
              <w:t>002</w:t>
            </w:r>
          </w:p>
        </w:tc>
        <w:tc>
          <w:tcPr>
            <w:tcW w:w="891"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w:t>
            </w:r>
            <w:r>
              <w:rPr>
                <w:rFonts w:hint="default" w:ascii="ＭＳ Ｐゴシック" w:hAnsi="ＭＳ Ｐゴシック" w:eastAsia="ＭＳ Ｐゴシック"/>
                <w:color w:val="auto"/>
                <w:sz w:val="18"/>
                <w:highlight w:val="none"/>
              </w:rPr>
              <w:t>,</w:t>
            </w:r>
            <w:r>
              <w:rPr>
                <w:rFonts w:hint="eastAsia" w:ascii="ＭＳ Ｐゴシック" w:hAnsi="ＭＳ Ｐゴシック" w:eastAsia="ＭＳ Ｐゴシック"/>
                <w:color w:val="auto"/>
                <w:sz w:val="18"/>
                <w:highlight w:val="none"/>
              </w:rPr>
              <w:t>010</w:t>
            </w:r>
          </w:p>
        </w:tc>
        <w:tc>
          <w:tcPr>
            <w:tcW w:w="891"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1,042</w:t>
            </w:r>
          </w:p>
        </w:tc>
        <w:tc>
          <w:tcPr>
            <w:tcW w:w="891"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1,085</w:t>
            </w:r>
          </w:p>
        </w:tc>
        <w:tc>
          <w:tcPr>
            <w:tcW w:w="891"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1,107</w:t>
            </w:r>
          </w:p>
        </w:tc>
        <w:tc>
          <w:tcPr>
            <w:tcW w:w="891" w:type="dxa"/>
            <w:tcBorders>
              <w:top w:val="nil"/>
              <w:left w:val="nil"/>
              <w:bottom w:val="dashSmallGap" w:color="auto" w:sz="4" w:space="0"/>
              <w:right w:val="doub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1,128</w:t>
            </w:r>
          </w:p>
        </w:tc>
        <w:tc>
          <w:tcPr>
            <w:tcW w:w="891" w:type="dxa"/>
            <w:tcBorders>
              <w:top w:val="nil"/>
              <w:left w:val="doub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1,292</w:t>
            </w:r>
          </w:p>
        </w:tc>
      </w:tr>
      <w:tr>
        <w:trPr>
          <w:trHeight w:val="283" w:hRule="atLeast"/>
        </w:trPr>
        <w:tc>
          <w:tcPr>
            <w:tcW w:w="737" w:type="dxa"/>
            <w:vMerge w:val="continue"/>
            <w:vAlign w:val="center"/>
          </w:tcPr>
          <w:p>
            <w:pPr>
              <w:pStyle w:val="0"/>
              <w:autoSpaceDE w:val="0"/>
              <w:autoSpaceDN w:val="0"/>
              <w:spacing w:line="240" w:lineRule="exact"/>
              <w:ind w:left="-50" w:right="-50"/>
              <w:jc w:val="center"/>
              <w:rPr>
                <w:rFonts w:hint="default" w:ascii="ＭＳ Ｐゴシック" w:hAnsi="ＭＳ Ｐゴシック" w:eastAsia="ＭＳ Ｐゴシック"/>
                <w:kern w:val="24"/>
                <w:sz w:val="18"/>
              </w:rPr>
            </w:pPr>
          </w:p>
        </w:tc>
        <w:tc>
          <w:tcPr>
            <w:tcW w:w="1559" w:type="dxa"/>
            <w:tcBorders>
              <w:top w:val="dashSmallGap"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spacing w:line="240" w:lineRule="exact"/>
              <w:ind w:left="-110" w:leftChars="-50" w:right="-110" w:rightChars="-50"/>
              <w:jc w:val="center"/>
              <w:rPr>
                <w:rFonts w:hint="default" w:ascii="ＭＳ Ｐゴシック" w:hAnsi="ＭＳ Ｐゴシック" w:eastAsia="ＭＳ Ｐゴシック"/>
                <w:color w:val="auto"/>
                <w:w w:val="75"/>
                <w:kern w:val="24"/>
                <w:sz w:val="18"/>
                <w:highlight w:val="none"/>
              </w:rPr>
            </w:pPr>
            <w:r>
              <w:rPr>
                <w:rFonts w:hint="eastAsia" w:ascii="ＭＳ Ｐゴシック" w:hAnsi="ＭＳ Ｐゴシック" w:eastAsia="ＭＳ Ｐゴシック"/>
                <w:color w:val="auto"/>
                <w:w w:val="70"/>
                <w:kern w:val="24"/>
                <w:sz w:val="18"/>
                <w:highlight w:val="none"/>
              </w:rPr>
              <w:t>高齢者数に占める割合</w:t>
            </w:r>
          </w:p>
        </w:tc>
        <w:tc>
          <w:tcPr>
            <w:tcW w:w="891"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11.2%</w:t>
            </w:r>
          </w:p>
        </w:tc>
        <w:tc>
          <w:tcPr>
            <w:tcW w:w="89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11.3%</w:t>
            </w:r>
          </w:p>
        </w:tc>
        <w:tc>
          <w:tcPr>
            <w:tcW w:w="89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11.6%</w:t>
            </w:r>
          </w:p>
        </w:tc>
        <w:tc>
          <w:tcPr>
            <w:tcW w:w="89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12.1%</w:t>
            </w:r>
          </w:p>
        </w:tc>
        <w:tc>
          <w:tcPr>
            <w:tcW w:w="89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12.3%</w:t>
            </w:r>
          </w:p>
        </w:tc>
        <w:tc>
          <w:tcPr>
            <w:tcW w:w="891" w:type="dxa"/>
            <w:tcBorders>
              <w:top w:val="dashSmallGap"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12.5%</w:t>
            </w:r>
          </w:p>
        </w:tc>
        <w:tc>
          <w:tcPr>
            <w:tcW w:w="891" w:type="dxa"/>
            <w:tcBorders>
              <w:top w:val="dashSmallGap"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13.9%</w:t>
            </w:r>
          </w:p>
        </w:tc>
      </w:tr>
      <w:tr>
        <w:trPr>
          <w:trHeight w:val="283" w:hRule="atLeast"/>
        </w:trPr>
        <w:tc>
          <w:tcPr>
            <w:tcW w:w="737" w:type="dxa"/>
            <w:vMerge w:val="restart"/>
            <w:vAlign w:val="center"/>
          </w:tcPr>
          <w:p>
            <w:pPr>
              <w:pStyle w:val="0"/>
              <w:autoSpaceDE w:val="0"/>
              <w:autoSpaceDN w:val="0"/>
              <w:spacing w:line="240" w:lineRule="exact"/>
              <w:ind w:left="-50" w:right="-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宮島</w:t>
            </w:r>
          </w:p>
        </w:tc>
        <w:tc>
          <w:tcPr>
            <w:tcW w:w="1559" w:type="dxa"/>
            <w:tcBorders>
              <w:top w:val="single" w:color="auto" w:sz="4" w:space="0"/>
              <w:left w:val="none" w:color="auto" w:sz="0" w:space="0"/>
              <w:bottom w:val="dashSmallGap" w:color="auto" w:sz="4" w:space="0"/>
              <w:right w:val="none" w:color="auto" w:sz="0" w:space="0"/>
              <w:tl2br w:val="none" w:color="auto" w:sz="0" w:space="0"/>
              <w:tr2bl w:val="none" w:color="auto" w:sz="0" w:space="0"/>
            </w:tcBorders>
            <w:vAlign w:val="center"/>
          </w:tcPr>
          <w:p>
            <w:pPr>
              <w:pStyle w:val="0"/>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認知症高齢者数</w:t>
            </w:r>
          </w:p>
        </w:tc>
        <w:tc>
          <w:tcPr>
            <w:tcW w:w="891" w:type="dxa"/>
            <w:tcBorders>
              <w:top w:val="nil"/>
              <w:left w:val="sing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90</w:t>
            </w:r>
          </w:p>
        </w:tc>
        <w:tc>
          <w:tcPr>
            <w:tcW w:w="891"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82</w:t>
            </w:r>
          </w:p>
        </w:tc>
        <w:tc>
          <w:tcPr>
            <w:tcW w:w="891"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87</w:t>
            </w:r>
          </w:p>
        </w:tc>
        <w:tc>
          <w:tcPr>
            <w:tcW w:w="891"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90</w:t>
            </w:r>
          </w:p>
        </w:tc>
        <w:tc>
          <w:tcPr>
            <w:tcW w:w="891" w:type="dxa"/>
            <w:tcBorders>
              <w:top w:val="nil"/>
              <w:left w:val="nil"/>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93</w:t>
            </w:r>
          </w:p>
        </w:tc>
        <w:tc>
          <w:tcPr>
            <w:tcW w:w="891" w:type="dxa"/>
            <w:tcBorders>
              <w:top w:val="nil"/>
              <w:left w:val="nil"/>
              <w:bottom w:val="dashSmallGap" w:color="auto" w:sz="4" w:space="0"/>
              <w:right w:val="doub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93</w:t>
            </w:r>
          </w:p>
        </w:tc>
        <w:tc>
          <w:tcPr>
            <w:tcW w:w="891" w:type="dxa"/>
            <w:tcBorders>
              <w:top w:val="nil"/>
              <w:left w:val="double" w:color="auto" w:sz="4" w:space="0"/>
              <w:bottom w:val="dashSmallGap"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79</w:t>
            </w:r>
          </w:p>
        </w:tc>
      </w:tr>
      <w:tr>
        <w:trPr>
          <w:trHeight w:val="283" w:hRule="atLeast"/>
        </w:trPr>
        <w:tc>
          <w:tcPr>
            <w:tcW w:w="737" w:type="dxa"/>
            <w:vMerge w:val="continue"/>
            <w:vAlign w:val="center"/>
          </w:tcPr>
          <w:p>
            <w:pPr>
              <w:pStyle w:val="0"/>
              <w:autoSpaceDE w:val="0"/>
              <w:autoSpaceDN w:val="0"/>
              <w:spacing w:line="240" w:lineRule="exact"/>
              <w:jc w:val="center"/>
              <w:rPr>
                <w:rFonts w:hint="default" w:ascii="ＭＳ Ｐゴシック" w:hAnsi="ＭＳ Ｐゴシック" w:eastAsia="ＭＳ Ｐゴシック"/>
                <w:kern w:val="24"/>
                <w:sz w:val="18"/>
              </w:rPr>
            </w:pPr>
          </w:p>
        </w:tc>
        <w:tc>
          <w:tcPr>
            <w:tcW w:w="1559"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autoSpaceDE w:val="0"/>
              <w:autoSpaceDN w:val="0"/>
              <w:spacing w:line="240" w:lineRule="exact"/>
              <w:ind w:left="-110" w:leftChars="-50" w:right="-110" w:rightChars="-50"/>
              <w:jc w:val="center"/>
              <w:rPr>
                <w:rFonts w:hint="default" w:ascii="ＭＳ Ｐゴシック" w:hAnsi="ＭＳ Ｐゴシック" w:eastAsia="ＭＳ Ｐゴシック"/>
                <w:color w:val="auto"/>
                <w:w w:val="75"/>
                <w:kern w:val="24"/>
                <w:sz w:val="18"/>
                <w:highlight w:val="none"/>
              </w:rPr>
            </w:pPr>
            <w:r>
              <w:rPr>
                <w:rFonts w:hint="eastAsia" w:ascii="ＭＳ Ｐゴシック" w:hAnsi="ＭＳ Ｐゴシック" w:eastAsia="ＭＳ Ｐゴシック"/>
                <w:color w:val="auto"/>
                <w:w w:val="70"/>
                <w:kern w:val="24"/>
                <w:sz w:val="18"/>
                <w:highlight w:val="none"/>
              </w:rPr>
              <w:t>高齢者数に占める割合</w:t>
            </w:r>
          </w:p>
        </w:tc>
        <w:tc>
          <w:tcPr>
            <w:tcW w:w="891" w:type="dxa"/>
            <w:tcBorders>
              <w:top w:val="dashSmallGap"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12.8%</w:t>
            </w:r>
          </w:p>
        </w:tc>
        <w:tc>
          <w:tcPr>
            <w:tcW w:w="89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11.8%</w:t>
            </w:r>
          </w:p>
        </w:tc>
        <w:tc>
          <w:tcPr>
            <w:tcW w:w="89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12.9%</w:t>
            </w:r>
          </w:p>
        </w:tc>
        <w:tc>
          <w:tcPr>
            <w:tcW w:w="89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13.4%</w:t>
            </w:r>
          </w:p>
        </w:tc>
        <w:tc>
          <w:tcPr>
            <w:tcW w:w="891" w:type="dxa"/>
            <w:tcBorders>
              <w:top w:val="dashSmallGap"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14.1%</w:t>
            </w:r>
          </w:p>
        </w:tc>
        <w:tc>
          <w:tcPr>
            <w:tcW w:w="891" w:type="dxa"/>
            <w:tcBorders>
              <w:top w:val="dashSmallGap"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14.6%</w:t>
            </w:r>
          </w:p>
        </w:tc>
        <w:tc>
          <w:tcPr>
            <w:tcW w:w="891" w:type="dxa"/>
            <w:tcBorders>
              <w:top w:val="dashSmallGap"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autoSpaceDE w:val="0"/>
              <w:autoSpaceDN w:val="0"/>
              <w:spacing w:line="240" w:lineRule="exact"/>
              <w:jc w:val="right"/>
              <w:rPr>
                <w:rFonts w:hint="default" w:ascii="ＭＳ Ｐゴシック" w:hAnsi="ＭＳ Ｐゴシック" w:eastAsia="ＭＳ Ｐゴシック"/>
                <w:color w:val="auto"/>
                <w:sz w:val="18"/>
                <w:highlight w:val="none"/>
              </w:rPr>
            </w:pPr>
            <w:r>
              <w:rPr>
                <w:rFonts w:hint="eastAsia" w:ascii="ＭＳ Ｐゴシック" w:hAnsi="ＭＳ Ｐゴシック" w:eastAsia="ＭＳ Ｐゴシック"/>
                <w:color w:val="auto"/>
                <w:sz w:val="18"/>
                <w:highlight w:val="none"/>
              </w:rPr>
              <w:t>17.1%</w:t>
            </w:r>
          </w:p>
        </w:tc>
      </w:tr>
    </w:tbl>
    <w:p>
      <w:pPr>
        <w:pStyle w:val="0"/>
        <w:widowControl w:val="1"/>
        <w:autoSpaceDE w:val="0"/>
        <w:autoSpaceDN w:val="0"/>
        <w:jc w:val="left"/>
        <w:rPr>
          <w:rFonts w:hint="default" w:ascii="ＭＳ ゴシック" w:hAnsi="ＭＳ ゴシック" w:eastAsia="ＭＳ ゴシック"/>
          <w:color w:val="auto"/>
          <w:sz w:val="21"/>
          <w:highlight w:val="none"/>
          <w:shd w:val="clear" w:color="auto" w:themeFill="background1" w:themeFillTint="FF" w:themeFillShade="FF"/>
        </w:rPr>
      </w:pPr>
    </w:p>
    <w:p>
      <w:pPr>
        <w:pStyle w:val="0"/>
        <w:widowControl w:val="1"/>
        <w:autoSpaceDE w:val="0"/>
        <w:autoSpaceDN w:val="0"/>
        <w:jc w:val="left"/>
        <w:rPr>
          <w:rFonts w:hint="default" w:ascii="ＭＳ ゴシック" w:hAnsi="ＭＳ ゴシック" w:eastAsia="ＭＳ ゴシック"/>
          <w:color w:val="auto"/>
          <w:sz w:val="21"/>
          <w:highlight w:val="none"/>
          <w:shd w:val="clear" w:color="auto" w:themeFill="background1" w:themeFillTint="FF" w:themeFillShade="FF"/>
        </w:rPr>
      </w:pPr>
    </w:p>
    <w:p>
      <w:pPr>
        <w:pStyle w:val="26"/>
        <w:spacing w:after="76" w:afterLines="0" w:afterAutospacing="0"/>
        <w:rPr>
          <w:rFonts w:hint="default"/>
          <w:color w:val="auto"/>
          <w:highlight w:val="none"/>
        </w:rPr>
      </w:pPr>
      <w:bookmarkStart w:id="147" w:name="_Toc149639041"/>
      <w:bookmarkStart w:id="148" w:name="_Toc152160685"/>
      <w:r>
        <w:rPr>
          <w:rFonts w:hint="default"/>
          <w:color w:val="auto"/>
          <w:highlight w:val="none"/>
        </w:rPr>
        <w:t>（</w:t>
      </w:r>
      <w:r>
        <w:rPr>
          <w:rFonts w:hint="eastAsia"/>
          <w:color w:val="auto"/>
          <w:highlight w:val="none"/>
        </w:rPr>
        <w:t>４</w:t>
      </w:r>
      <w:r>
        <w:rPr>
          <w:rFonts w:hint="default"/>
          <w:color w:val="auto"/>
          <w:highlight w:val="none"/>
        </w:rPr>
        <w:t>）</w:t>
      </w:r>
      <w:r>
        <w:rPr>
          <w:rFonts w:hint="eastAsia"/>
          <w:color w:val="auto"/>
          <w:highlight w:val="none"/>
        </w:rPr>
        <w:t xml:space="preserve"> </w:t>
      </w:r>
      <w:r>
        <w:rPr>
          <w:rFonts w:hint="eastAsia"/>
          <w:color w:val="auto"/>
          <w:highlight w:val="none"/>
        </w:rPr>
        <w:t>介護人材の推計</w:t>
      </w:r>
      <w:bookmarkEnd w:id="147"/>
      <w:bookmarkEnd w:id="148"/>
    </w:p>
    <w:p>
      <w:pPr>
        <w:pStyle w:val="46"/>
        <w:rPr>
          <w:rFonts w:hint="default"/>
          <w:color w:val="auto"/>
          <w:spacing w:val="-2"/>
          <w:highlight w:val="none"/>
        </w:rPr>
      </w:pPr>
      <w:r>
        <w:rPr>
          <w:rFonts w:hint="eastAsia"/>
          <w:color w:val="auto"/>
          <w:spacing w:val="-2"/>
          <w:highlight w:val="none"/>
        </w:rPr>
        <w:t>介護職員の将来推計では、本市の介護人材は、令和５（</w:t>
      </w:r>
      <w:r>
        <w:rPr>
          <w:rFonts w:hint="eastAsia"/>
          <w:color w:val="auto"/>
          <w:spacing w:val="-2"/>
          <w:highlight w:val="none"/>
        </w:rPr>
        <w:t>2023</w:t>
      </w:r>
      <w:r>
        <w:rPr>
          <w:rFonts w:hint="eastAsia"/>
          <w:color w:val="auto"/>
          <w:spacing w:val="-2"/>
          <w:highlight w:val="none"/>
        </w:rPr>
        <w:t>）年と比較し、令和７（</w:t>
      </w:r>
      <w:r>
        <w:rPr>
          <w:rFonts w:hint="eastAsia"/>
          <w:color w:val="auto"/>
          <w:spacing w:val="-2"/>
          <w:highlight w:val="none"/>
        </w:rPr>
        <w:t>2025</w:t>
      </w:r>
      <w:r>
        <w:rPr>
          <w:rFonts w:hint="eastAsia"/>
          <w:color w:val="auto"/>
          <w:spacing w:val="-2"/>
          <w:highlight w:val="none"/>
        </w:rPr>
        <w:t>）年には</w:t>
      </w:r>
      <w:r>
        <w:rPr>
          <w:rFonts w:hint="eastAsia"/>
          <w:color w:val="auto"/>
          <w:spacing w:val="-2"/>
          <w:highlight w:val="none"/>
        </w:rPr>
        <w:t>63</w:t>
      </w:r>
      <w:r>
        <w:rPr>
          <w:rFonts w:hint="eastAsia"/>
          <w:color w:val="auto"/>
          <w:spacing w:val="-2"/>
          <w:highlight w:val="none"/>
        </w:rPr>
        <w:t>人減少、令和</w:t>
      </w:r>
      <w:r>
        <w:rPr>
          <w:rFonts w:hint="eastAsia"/>
          <w:color w:val="auto"/>
          <w:spacing w:val="-2"/>
          <w:highlight w:val="none"/>
        </w:rPr>
        <w:t>22</w:t>
      </w:r>
      <w:r>
        <w:rPr>
          <w:rFonts w:hint="eastAsia"/>
          <w:color w:val="auto"/>
          <w:spacing w:val="-2"/>
          <w:highlight w:val="none"/>
        </w:rPr>
        <w:t>（</w:t>
      </w:r>
      <w:r>
        <w:rPr>
          <w:rFonts w:hint="eastAsia"/>
          <w:color w:val="auto"/>
          <w:spacing w:val="-2"/>
          <w:highlight w:val="none"/>
        </w:rPr>
        <w:t>2040</w:t>
      </w:r>
      <w:r>
        <w:rPr>
          <w:rFonts w:hint="eastAsia"/>
          <w:color w:val="auto"/>
          <w:spacing w:val="-2"/>
          <w:highlight w:val="none"/>
        </w:rPr>
        <w:t>）年には</w:t>
      </w:r>
      <w:r>
        <w:rPr>
          <w:rFonts w:hint="eastAsia"/>
          <w:color w:val="auto"/>
          <w:spacing w:val="-2"/>
          <w:highlight w:val="none"/>
        </w:rPr>
        <w:t>269</w:t>
      </w:r>
      <w:r>
        <w:rPr>
          <w:rFonts w:hint="eastAsia"/>
          <w:color w:val="auto"/>
          <w:spacing w:val="-2"/>
          <w:highlight w:val="none"/>
        </w:rPr>
        <w:t>人減少すると見込まれています。</w:t>
      </w:r>
    </w:p>
    <w:p>
      <w:pPr>
        <w:pStyle w:val="46"/>
        <w:rPr>
          <w:rFonts w:hint="default"/>
          <w:color w:val="auto"/>
          <w:highlight w:val="none"/>
        </w:rPr>
      </w:pPr>
      <w:r>
        <w:rPr>
          <w:rFonts w:hint="eastAsia"/>
          <w:color w:val="auto"/>
          <w:highlight w:val="none"/>
        </w:rPr>
        <w:t>令和５（</w:t>
      </w:r>
      <w:r>
        <w:rPr>
          <w:rFonts w:hint="eastAsia"/>
          <w:color w:val="auto"/>
          <w:highlight w:val="none"/>
        </w:rPr>
        <w:t>2023</w:t>
      </w:r>
      <w:r>
        <w:rPr>
          <w:rFonts w:hint="eastAsia"/>
          <w:color w:val="auto"/>
          <w:highlight w:val="none"/>
        </w:rPr>
        <w:t>）年を</w:t>
      </w:r>
      <w:r>
        <w:rPr>
          <w:rFonts w:hint="eastAsia"/>
          <w:color w:val="auto"/>
          <w:highlight w:val="none"/>
        </w:rPr>
        <w:t>100</w:t>
      </w:r>
      <w:r>
        <w:rPr>
          <w:rFonts w:hint="eastAsia"/>
          <w:color w:val="auto"/>
          <w:highlight w:val="none"/>
        </w:rPr>
        <w:t>とした要介護認定者数、介護職員数の令和</w:t>
      </w:r>
      <w:r>
        <w:rPr>
          <w:rFonts w:hint="eastAsia"/>
          <w:color w:val="auto"/>
          <w:highlight w:val="none"/>
        </w:rPr>
        <w:t>22</w:t>
      </w:r>
      <w:r>
        <w:rPr>
          <w:rFonts w:hint="eastAsia"/>
          <w:color w:val="auto"/>
          <w:highlight w:val="none"/>
        </w:rPr>
        <w:t>（</w:t>
      </w:r>
      <w:r>
        <w:rPr>
          <w:rFonts w:hint="eastAsia"/>
          <w:color w:val="auto"/>
          <w:highlight w:val="none"/>
        </w:rPr>
        <w:t>2040</w:t>
      </w:r>
      <w:r>
        <w:rPr>
          <w:rFonts w:hint="eastAsia"/>
          <w:color w:val="auto"/>
          <w:highlight w:val="none"/>
        </w:rPr>
        <w:t>）年の値は</w:t>
      </w:r>
      <w:r>
        <w:rPr>
          <w:rFonts w:hint="eastAsia"/>
          <w:color w:val="auto"/>
          <w:highlight w:val="none"/>
        </w:rPr>
        <w:t>30</w:t>
      </w:r>
      <w:r>
        <w:rPr>
          <w:rFonts w:hint="eastAsia"/>
          <w:color w:val="auto"/>
          <w:highlight w:val="none"/>
        </w:rPr>
        <w:t>％以上増加していますが、介護職員数は</w:t>
      </w:r>
      <w:r>
        <w:rPr>
          <w:rFonts w:hint="eastAsia"/>
          <w:color w:val="auto"/>
          <w:highlight w:val="none"/>
        </w:rPr>
        <w:t>25</w:t>
      </w:r>
      <w:r>
        <w:rPr>
          <w:rFonts w:hint="eastAsia"/>
          <w:color w:val="auto"/>
          <w:highlight w:val="none"/>
        </w:rPr>
        <w:t>％程度減少する見込みです。</w:t>
      </w:r>
    </w:p>
    <w:p>
      <w:pPr>
        <w:pStyle w:val="46"/>
        <w:rPr>
          <w:rFonts w:hint="default"/>
          <w:color w:val="auto"/>
          <w:highlight w:val="none"/>
        </w:rPr>
      </w:pPr>
      <w:r>
        <w:rPr>
          <w:rFonts w:hint="eastAsia"/>
          <w:color w:val="auto"/>
          <w:highlight w:val="none"/>
        </w:rPr>
        <w:t>令和</w:t>
      </w:r>
      <w:r>
        <w:rPr>
          <w:rFonts w:hint="eastAsia"/>
          <w:color w:val="auto"/>
          <w:highlight w:val="none"/>
        </w:rPr>
        <w:t>22</w:t>
      </w:r>
      <w:r>
        <w:rPr>
          <w:rFonts w:hint="eastAsia"/>
          <w:color w:val="auto"/>
          <w:highlight w:val="none"/>
        </w:rPr>
        <w:t>（</w:t>
      </w:r>
      <w:r>
        <w:rPr>
          <w:rFonts w:hint="eastAsia"/>
          <w:color w:val="auto"/>
          <w:highlight w:val="none"/>
        </w:rPr>
        <w:t>2040</w:t>
      </w:r>
      <w:r>
        <w:rPr>
          <w:rFonts w:hint="eastAsia"/>
          <w:color w:val="auto"/>
          <w:highlight w:val="none"/>
        </w:rPr>
        <w:t>）年の介護職員一人当たりの要介護認定者数の推計は、本市は</w:t>
      </w:r>
      <w:r>
        <w:rPr>
          <w:rFonts w:hint="eastAsia"/>
          <w:color w:val="auto"/>
          <w:highlight w:val="none"/>
        </w:rPr>
        <w:t>10.9</w:t>
      </w:r>
      <w:r>
        <w:rPr>
          <w:rFonts w:hint="eastAsia"/>
          <w:color w:val="auto"/>
          <w:highlight w:val="none"/>
        </w:rPr>
        <w:t>人と多くなっています。</w:t>
      </w:r>
    </w:p>
    <w:p>
      <w:pPr>
        <w:pStyle w:val="79"/>
        <w:spacing w:before="190" w:beforeLines="0" w:beforeAutospacing="0"/>
        <w:rPr>
          <w:rFonts w:hint="default"/>
          <w:color w:val="auto"/>
          <w:highlight w:val="none"/>
        </w:rPr>
      </w:pPr>
      <w:r>
        <w:rPr>
          <w:rFonts w:hint="eastAsia"/>
          <w:color w:val="auto"/>
          <w:highlight w:val="none"/>
        </w:rPr>
        <w:t>図表　介護職員数（常勤換算推計値）の推計</w:t>
      </w:r>
    </w:p>
    <w:p>
      <w:pPr>
        <w:pStyle w:val="0"/>
        <w:widowControl w:val="1"/>
        <w:autoSpaceDE w:val="0"/>
        <w:autoSpaceDN w:val="0"/>
        <w:spacing w:after="37" w:afterLines="10" w:afterAutospacing="0" w:line="240" w:lineRule="exact"/>
        <w:jc w:val="right"/>
        <w:rPr>
          <w:rFonts w:hint="default" w:ascii="ＭＳ ゴシック" w:hAnsi="ＭＳ ゴシック" w:eastAsia="ＭＳ ゴシック"/>
          <w:color w:val="auto"/>
          <w:kern w:val="24"/>
          <w:sz w:val="18"/>
          <w:highlight w:val="none"/>
        </w:rPr>
      </w:pPr>
      <w:r>
        <w:rPr>
          <w:rFonts w:hint="eastAsia" w:ascii="ＭＳ ゴシック" w:hAnsi="ＭＳ ゴシック" w:eastAsia="ＭＳ ゴシック"/>
          <w:color w:val="auto"/>
          <w:sz w:val="18"/>
          <w:highlight w:val="none"/>
        </w:rPr>
        <w:t>（単位：人）</w:t>
      </w:r>
    </w:p>
    <w:tbl>
      <w:tblPr>
        <w:tblStyle w:val="89"/>
        <w:tblW w:w="8533" w:type="dxa"/>
        <w:tblInd w:w="534" w:type="dxa"/>
        <w:tblLayout w:type="fixed"/>
        <w:tblLook w:firstRow="1" w:lastRow="0" w:firstColumn="1" w:lastColumn="0" w:noHBand="0" w:noVBand="1" w:val="04A0"/>
      </w:tblPr>
      <w:tblGrid>
        <w:gridCol w:w="1162"/>
        <w:gridCol w:w="1842"/>
        <w:gridCol w:w="1843"/>
        <w:gridCol w:w="1843"/>
        <w:gridCol w:w="1843"/>
      </w:tblGrid>
      <w:tr>
        <w:trPr>
          <w:trHeight w:val="340" w:hRule="atLeast"/>
        </w:trPr>
        <w:tc>
          <w:tcPr>
            <w:tcW w:w="116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24"/>
                <w:sz w:val="21"/>
                <w:highlight w:val="none"/>
              </w:rPr>
            </w:pPr>
          </w:p>
        </w:tc>
        <w:tc>
          <w:tcPr>
            <w:tcW w:w="1842" w:type="dxa"/>
            <w:shd w:val="clear" w:color="auto" w:fill="CCECFF"/>
            <w:vAlign w:val="center"/>
          </w:tcPr>
          <w:p>
            <w:pPr>
              <w:pStyle w:val="0"/>
              <w:widowControl w:val="1"/>
              <w:autoSpaceDE w:val="0"/>
              <w:autoSpaceDN w:val="0"/>
              <w:spacing w:line="240" w:lineRule="exact"/>
              <w:ind w:left="-220" w:leftChars="-100" w:right="-220" w:rightChars="-100"/>
              <w:jc w:val="center"/>
              <w:rPr>
                <w:rFonts w:hint="default" w:ascii="ＭＳ Ｐゴシック" w:hAnsi="ＭＳ Ｐゴシック" w:eastAsia="ＭＳ Ｐゴシック"/>
                <w:color w:val="auto"/>
                <w:kern w:val="24"/>
                <w:sz w:val="21"/>
                <w:highlight w:val="none"/>
              </w:rPr>
            </w:pPr>
            <w:r>
              <w:rPr>
                <w:rFonts w:hint="eastAsia" w:ascii="ＭＳ Ｐゴシック" w:hAnsi="ＭＳ Ｐゴシック" w:eastAsia="ＭＳ Ｐゴシック"/>
                <w:color w:val="auto"/>
                <w:kern w:val="24"/>
                <w:sz w:val="21"/>
                <w:highlight w:val="none"/>
              </w:rPr>
              <w:t>令和</w:t>
            </w:r>
            <w:r>
              <w:rPr>
                <w:rFonts w:hint="eastAsia" w:ascii="ＭＳ Ｐゴシック" w:hAnsi="ＭＳ Ｐゴシック" w:eastAsia="ＭＳ Ｐゴシック"/>
                <w:color w:val="auto"/>
                <w:kern w:val="24"/>
                <w:sz w:val="21"/>
                <w:highlight w:val="none"/>
              </w:rPr>
              <w:t>5</w:t>
            </w:r>
            <w:r>
              <w:rPr>
                <w:rFonts w:hint="eastAsia" w:ascii="ＭＳ Ｐゴシック" w:hAnsi="ＭＳ Ｐゴシック" w:eastAsia="ＭＳ Ｐゴシック"/>
                <w:color w:val="auto"/>
                <w:kern w:val="24"/>
                <w:sz w:val="21"/>
                <w:highlight w:val="none"/>
              </w:rPr>
              <w:t>（</w:t>
            </w:r>
            <w:r>
              <w:rPr>
                <w:rFonts w:hint="eastAsia" w:ascii="ＭＳ Ｐゴシック" w:hAnsi="ＭＳ Ｐゴシック" w:eastAsia="ＭＳ Ｐゴシック"/>
                <w:color w:val="auto"/>
                <w:kern w:val="24"/>
                <w:sz w:val="21"/>
                <w:highlight w:val="none"/>
              </w:rPr>
              <w:t>2023</w:t>
            </w:r>
            <w:r>
              <w:rPr>
                <w:rFonts w:hint="eastAsia" w:ascii="ＭＳ Ｐゴシック" w:hAnsi="ＭＳ Ｐゴシック" w:eastAsia="ＭＳ Ｐゴシック"/>
                <w:color w:val="auto"/>
                <w:kern w:val="24"/>
                <w:sz w:val="21"/>
                <w:highlight w:val="none"/>
              </w:rPr>
              <w:t>）年</w:t>
            </w:r>
          </w:p>
        </w:tc>
        <w:tc>
          <w:tcPr>
            <w:tcW w:w="1843" w:type="dxa"/>
            <w:shd w:val="clear" w:color="auto" w:fill="CCECFF"/>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21"/>
                <w:highlight w:val="none"/>
              </w:rPr>
            </w:pPr>
            <w:r>
              <w:rPr>
                <w:rFonts w:hint="eastAsia" w:ascii="ＭＳ Ｐゴシック" w:hAnsi="ＭＳ Ｐゴシック" w:eastAsia="ＭＳ Ｐゴシック"/>
                <w:color w:val="auto"/>
                <w:kern w:val="24"/>
                <w:sz w:val="21"/>
                <w:highlight w:val="none"/>
              </w:rPr>
              <w:t>令和</w:t>
            </w:r>
            <w:r>
              <w:rPr>
                <w:rFonts w:hint="eastAsia" w:ascii="ＭＳ Ｐゴシック" w:hAnsi="ＭＳ Ｐゴシック" w:eastAsia="ＭＳ Ｐゴシック"/>
                <w:color w:val="auto"/>
                <w:kern w:val="24"/>
                <w:sz w:val="21"/>
                <w:highlight w:val="none"/>
              </w:rPr>
              <w:t>7</w:t>
            </w:r>
            <w:r>
              <w:rPr>
                <w:rFonts w:hint="eastAsia" w:ascii="ＭＳ Ｐゴシック" w:hAnsi="ＭＳ Ｐゴシック" w:eastAsia="ＭＳ Ｐゴシック"/>
                <w:color w:val="auto"/>
                <w:kern w:val="24"/>
                <w:sz w:val="21"/>
                <w:highlight w:val="none"/>
              </w:rPr>
              <w:t>（</w:t>
            </w:r>
            <w:r>
              <w:rPr>
                <w:rFonts w:hint="eastAsia" w:ascii="ＭＳ Ｐゴシック" w:hAnsi="ＭＳ Ｐゴシック" w:eastAsia="ＭＳ Ｐゴシック"/>
                <w:color w:val="auto"/>
                <w:kern w:val="24"/>
                <w:sz w:val="21"/>
                <w:highlight w:val="none"/>
              </w:rPr>
              <w:t>2025</w:t>
            </w:r>
            <w:r>
              <w:rPr>
                <w:rFonts w:hint="eastAsia" w:ascii="ＭＳ Ｐゴシック" w:hAnsi="ＭＳ Ｐゴシック" w:eastAsia="ＭＳ Ｐゴシック"/>
                <w:color w:val="auto"/>
                <w:kern w:val="24"/>
                <w:sz w:val="21"/>
                <w:highlight w:val="none"/>
              </w:rPr>
              <w:t>）年</w:t>
            </w:r>
          </w:p>
        </w:tc>
        <w:tc>
          <w:tcPr>
            <w:tcW w:w="1843" w:type="dxa"/>
            <w:shd w:val="clear" w:color="auto" w:fill="CCECFF"/>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21"/>
                <w:highlight w:val="none"/>
              </w:rPr>
            </w:pPr>
            <w:r>
              <w:rPr>
                <w:rFonts w:hint="eastAsia" w:ascii="ＭＳ Ｐゴシック" w:hAnsi="ＭＳ Ｐゴシック" w:eastAsia="ＭＳ Ｐゴシック"/>
                <w:color w:val="auto"/>
                <w:kern w:val="24"/>
                <w:sz w:val="21"/>
                <w:highlight w:val="none"/>
              </w:rPr>
              <w:t>令和</w:t>
            </w:r>
            <w:r>
              <w:rPr>
                <w:rFonts w:hint="eastAsia" w:ascii="ＭＳ Ｐゴシック" w:hAnsi="ＭＳ Ｐゴシック" w:eastAsia="ＭＳ Ｐゴシック"/>
                <w:color w:val="auto"/>
                <w:kern w:val="24"/>
                <w:sz w:val="21"/>
                <w:highlight w:val="none"/>
              </w:rPr>
              <w:t>22</w:t>
            </w:r>
            <w:r>
              <w:rPr>
                <w:rFonts w:hint="eastAsia" w:ascii="ＭＳ Ｐゴシック" w:hAnsi="ＭＳ Ｐゴシック" w:eastAsia="ＭＳ Ｐゴシック"/>
                <w:color w:val="auto"/>
                <w:kern w:val="24"/>
                <w:sz w:val="21"/>
                <w:highlight w:val="none"/>
              </w:rPr>
              <w:t>（</w:t>
            </w:r>
            <w:r>
              <w:rPr>
                <w:rFonts w:hint="eastAsia" w:ascii="ＭＳ Ｐゴシック" w:hAnsi="ＭＳ Ｐゴシック" w:eastAsia="ＭＳ Ｐゴシック"/>
                <w:color w:val="auto"/>
                <w:kern w:val="24"/>
                <w:sz w:val="21"/>
                <w:highlight w:val="none"/>
              </w:rPr>
              <w:t>2040</w:t>
            </w:r>
            <w:r>
              <w:rPr>
                <w:rFonts w:hint="eastAsia" w:ascii="ＭＳ Ｐゴシック" w:hAnsi="ＭＳ Ｐゴシック" w:eastAsia="ＭＳ Ｐゴシック"/>
                <w:color w:val="auto"/>
                <w:kern w:val="24"/>
                <w:sz w:val="21"/>
                <w:highlight w:val="none"/>
              </w:rPr>
              <w:t>）年</w:t>
            </w:r>
          </w:p>
        </w:tc>
        <w:tc>
          <w:tcPr>
            <w:tcW w:w="1843" w:type="dxa"/>
            <w:shd w:val="clear" w:color="auto" w:fill="CCECFF"/>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21"/>
                <w:highlight w:val="none"/>
              </w:rPr>
            </w:pPr>
            <w:r>
              <w:rPr>
                <w:rFonts w:hint="eastAsia" w:ascii="ＭＳ Ｐゴシック" w:hAnsi="ＭＳ Ｐゴシック" w:eastAsia="ＭＳ Ｐゴシック"/>
                <w:color w:val="auto"/>
                <w:kern w:val="24"/>
                <w:sz w:val="21"/>
                <w:highlight w:val="none"/>
              </w:rPr>
              <w:t>増減</w:t>
            </w:r>
          </w:p>
        </w:tc>
      </w:tr>
      <w:tr>
        <w:trPr>
          <w:trHeight w:val="397" w:hRule="atLeast"/>
        </w:trPr>
        <w:tc>
          <w:tcPr>
            <w:tcW w:w="1162"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autoSpaceDE w:val="0"/>
              <w:autoSpaceDN w:val="0"/>
              <w:spacing w:line="240" w:lineRule="exact"/>
              <w:jc w:val="center"/>
              <w:rPr>
                <w:rFonts w:hint="default" w:ascii="ＭＳ Ｐゴシック" w:hAnsi="ＭＳ Ｐゴシック" w:eastAsia="ＭＳ Ｐゴシック"/>
                <w:color w:val="auto"/>
                <w:kern w:val="24"/>
                <w:sz w:val="21"/>
                <w:highlight w:val="none"/>
              </w:rPr>
            </w:pPr>
            <w:r>
              <w:rPr>
                <w:rFonts w:hint="eastAsia" w:ascii="ＭＳ Ｐゴシック" w:hAnsi="ＭＳ Ｐゴシック" w:eastAsia="ＭＳ Ｐゴシック"/>
                <w:color w:val="auto"/>
                <w:kern w:val="24"/>
                <w:sz w:val="21"/>
                <w:highlight w:val="none"/>
              </w:rPr>
              <w:t>廿日市市</w:t>
            </w:r>
          </w:p>
        </w:tc>
        <w:tc>
          <w:tcPr>
            <w:tcW w:w="1842" w:type="dxa"/>
            <w:vAlign w:val="center"/>
          </w:tcPr>
          <w:p>
            <w:pPr>
              <w:pStyle w:val="0"/>
              <w:widowControl w:val="1"/>
              <w:autoSpaceDE w:val="0"/>
              <w:autoSpaceDN w:val="0"/>
              <w:spacing w:line="240" w:lineRule="exact"/>
              <w:jc w:val="right"/>
              <w:rPr>
                <w:rFonts w:hint="default" w:ascii="ＭＳ Ｐゴシック" w:hAnsi="ＭＳ Ｐゴシック" w:eastAsia="ＭＳ Ｐゴシック"/>
                <w:color w:val="auto"/>
                <w:kern w:val="24"/>
                <w:sz w:val="21"/>
                <w:highlight w:val="none"/>
              </w:rPr>
            </w:pPr>
            <w:r>
              <w:rPr>
                <w:rFonts w:hint="eastAsia" w:ascii="ＭＳ Ｐゴシック" w:hAnsi="ＭＳ Ｐゴシック" w:eastAsia="ＭＳ Ｐゴシック"/>
                <w:color w:val="auto"/>
                <w:kern w:val="24"/>
                <w:sz w:val="21"/>
                <w:highlight w:val="none"/>
              </w:rPr>
              <w:t>1</w:t>
            </w:r>
            <w:r>
              <w:rPr>
                <w:rFonts w:hint="eastAsia" w:ascii="ＭＳ Ｐゴシック" w:hAnsi="ＭＳ Ｐゴシック" w:eastAsia="ＭＳ Ｐゴシック"/>
                <w:color w:val="auto"/>
                <w:kern w:val="24"/>
                <w:sz w:val="21"/>
                <w:highlight w:val="none"/>
              </w:rPr>
              <w:t>，</w:t>
            </w:r>
            <w:r>
              <w:rPr>
                <w:rFonts w:hint="eastAsia" w:ascii="ＭＳ Ｐゴシック" w:hAnsi="ＭＳ Ｐゴシック" w:eastAsia="ＭＳ Ｐゴシック"/>
                <w:color w:val="auto"/>
                <w:kern w:val="24"/>
                <w:sz w:val="21"/>
                <w:highlight w:val="none"/>
              </w:rPr>
              <w:t>094</w:t>
            </w:r>
          </w:p>
        </w:tc>
        <w:tc>
          <w:tcPr>
            <w:tcW w:w="1843" w:type="dxa"/>
            <w:vAlign w:val="center"/>
          </w:tcPr>
          <w:p>
            <w:pPr>
              <w:pStyle w:val="0"/>
              <w:widowControl w:val="1"/>
              <w:autoSpaceDE w:val="0"/>
              <w:autoSpaceDN w:val="0"/>
              <w:spacing w:line="240" w:lineRule="exact"/>
              <w:jc w:val="right"/>
              <w:rPr>
                <w:rFonts w:hint="default" w:ascii="ＭＳ Ｐゴシック" w:hAnsi="ＭＳ Ｐゴシック" w:eastAsia="ＭＳ Ｐゴシック"/>
                <w:color w:val="auto"/>
                <w:kern w:val="24"/>
                <w:sz w:val="21"/>
                <w:highlight w:val="none"/>
              </w:rPr>
            </w:pPr>
            <w:r>
              <w:rPr>
                <w:rFonts w:hint="eastAsia" w:ascii="ＭＳ Ｐゴシック" w:hAnsi="ＭＳ Ｐゴシック" w:eastAsia="ＭＳ Ｐゴシック"/>
                <w:color w:val="auto"/>
                <w:kern w:val="24"/>
                <w:sz w:val="21"/>
                <w:highlight w:val="none"/>
              </w:rPr>
              <w:t>1</w:t>
            </w:r>
            <w:r>
              <w:rPr>
                <w:rFonts w:hint="eastAsia" w:ascii="ＭＳ Ｐゴシック" w:hAnsi="ＭＳ Ｐゴシック" w:eastAsia="ＭＳ Ｐゴシック"/>
                <w:color w:val="auto"/>
                <w:kern w:val="24"/>
                <w:sz w:val="21"/>
                <w:highlight w:val="none"/>
              </w:rPr>
              <w:t>，</w:t>
            </w:r>
            <w:r>
              <w:rPr>
                <w:rFonts w:hint="eastAsia" w:ascii="ＭＳ Ｐゴシック" w:hAnsi="ＭＳ Ｐゴシック" w:eastAsia="ＭＳ Ｐゴシック"/>
                <w:color w:val="auto"/>
                <w:kern w:val="24"/>
                <w:sz w:val="21"/>
                <w:highlight w:val="none"/>
              </w:rPr>
              <w:t>031</w:t>
            </w:r>
          </w:p>
        </w:tc>
        <w:tc>
          <w:tcPr>
            <w:tcW w:w="1843" w:type="dxa"/>
            <w:vAlign w:val="center"/>
          </w:tcPr>
          <w:p>
            <w:pPr>
              <w:pStyle w:val="0"/>
              <w:widowControl w:val="1"/>
              <w:autoSpaceDE w:val="0"/>
              <w:autoSpaceDN w:val="0"/>
              <w:spacing w:line="240" w:lineRule="exact"/>
              <w:jc w:val="right"/>
              <w:rPr>
                <w:rFonts w:hint="default" w:ascii="ＭＳ Ｐゴシック" w:hAnsi="ＭＳ Ｐゴシック" w:eastAsia="ＭＳ Ｐゴシック"/>
                <w:color w:val="auto"/>
                <w:kern w:val="24"/>
                <w:sz w:val="21"/>
                <w:highlight w:val="none"/>
              </w:rPr>
            </w:pPr>
            <w:r>
              <w:rPr>
                <w:rFonts w:hint="eastAsia" w:ascii="ＭＳ Ｐゴシック" w:hAnsi="ＭＳ Ｐゴシック" w:eastAsia="ＭＳ Ｐゴシック"/>
                <w:color w:val="auto"/>
                <w:kern w:val="24"/>
                <w:sz w:val="21"/>
                <w:highlight w:val="none"/>
              </w:rPr>
              <w:t>825</w:t>
            </w:r>
          </w:p>
        </w:tc>
        <w:tc>
          <w:tcPr>
            <w:tcW w:w="1843" w:type="dxa"/>
            <w:vAlign w:val="center"/>
          </w:tcPr>
          <w:p>
            <w:pPr>
              <w:pStyle w:val="0"/>
              <w:widowControl w:val="1"/>
              <w:autoSpaceDE w:val="0"/>
              <w:autoSpaceDN w:val="0"/>
              <w:spacing w:line="240" w:lineRule="exact"/>
              <w:jc w:val="right"/>
              <w:rPr>
                <w:rFonts w:hint="default" w:ascii="ＭＳ Ｐゴシック" w:hAnsi="ＭＳ Ｐゴシック" w:eastAsia="ＭＳ Ｐゴシック"/>
                <w:color w:val="auto"/>
                <w:kern w:val="24"/>
                <w:sz w:val="21"/>
                <w:highlight w:val="none"/>
              </w:rPr>
            </w:pPr>
            <w:r>
              <w:rPr>
                <w:rFonts w:hint="eastAsia" w:ascii="ＭＳ Ｐゴシック" w:hAnsi="ＭＳ Ｐゴシック" w:eastAsia="ＭＳ Ｐゴシック"/>
                <w:color w:val="auto"/>
                <w:kern w:val="24"/>
                <w:sz w:val="21"/>
                <w:highlight w:val="none"/>
              </w:rPr>
              <w:t>-269</w:t>
            </w:r>
          </w:p>
        </w:tc>
      </w:tr>
    </w:tbl>
    <w:p>
      <w:pPr>
        <w:pStyle w:val="41"/>
        <w:autoSpaceDE w:val="0"/>
        <w:autoSpaceDN w:val="0"/>
        <w:jc w:val="right"/>
        <w:rPr>
          <w:rFonts w:hint="default" w:ascii="BIZ UDPゴシック" w:hAnsi="BIZ UDPゴシック" w:eastAsia="BIZ UDPゴシック"/>
          <w:color w:val="auto"/>
          <w:sz w:val="18"/>
          <w:highlight w:val="none"/>
          <w:shd w:val="clear" w:color="auto" w:themeFill="background1" w:themeFillTint="FF" w:themeFillShade="FF"/>
        </w:rPr>
      </w:pPr>
      <w:r>
        <w:rPr>
          <w:rFonts w:hint="eastAsia" w:ascii="BIZ UDPゴシック" w:hAnsi="BIZ UDPゴシック" w:eastAsia="BIZ UDPゴシック"/>
          <w:color w:val="auto"/>
          <w:sz w:val="18"/>
          <w:highlight w:val="none"/>
          <w:shd w:val="clear" w:color="auto" w:themeFill="background1" w:themeFillTint="FF" w:themeFillShade="FF"/>
        </w:rPr>
        <w:t>資料：廿日市市推計</w:t>
      </w:r>
    </w:p>
    <w:p>
      <w:pPr>
        <w:pStyle w:val="79"/>
        <w:spacing w:before="190" w:beforeLines="0" w:beforeAutospacing="0"/>
        <w:rPr>
          <w:rFonts w:hint="default"/>
          <w:color w:val="auto"/>
          <w:highlight w:val="none"/>
        </w:rPr>
      </w:pPr>
      <w:r>
        <w:rPr>
          <w:rFonts w:hint="eastAsia"/>
          <w:color w:val="auto"/>
          <w:highlight w:val="none"/>
        </w:rPr>
        <w:t>図表　要介護認定者数と介護職員数（常勤換算推計値）の推計</w:t>
      </w:r>
    </w:p>
    <w:p>
      <w:pPr>
        <w:pStyle w:val="0"/>
        <w:autoSpaceDE w:val="0"/>
        <w:autoSpaceDN w:val="0"/>
        <w:ind w:left="425" w:leftChars="193"/>
        <w:jc w:val="center"/>
        <w:rPr>
          <w:rFonts w:hint="default" w:ascii="BIZ UDPゴシック" w:hAnsi="BIZ UDPゴシック" w:eastAsia="BIZ UDPゴシック"/>
          <w:color w:val="auto"/>
          <w:sz w:val="21"/>
          <w:highlight w:val="none"/>
        </w:rPr>
      </w:pPr>
      <w:r>
        <w:rPr>
          <w:rFonts w:hint="eastAsia" w:ascii="BIZ UDPゴシック" w:hAnsi="BIZ UDPゴシック" w:eastAsia="BIZ UDPゴシック"/>
          <w:color w:val="auto"/>
          <w:sz w:val="21"/>
          <w:highlight w:val="none"/>
        </w:rPr>
        <w:t>（令和</w:t>
      </w:r>
      <w:r>
        <w:rPr>
          <w:rFonts w:hint="eastAsia" w:ascii="BIZ UDPゴシック" w:hAnsi="BIZ UDPゴシック" w:eastAsia="BIZ UDPゴシック"/>
          <w:color w:val="auto"/>
          <w:sz w:val="21"/>
          <w:highlight w:val="none"/>
        </w:rPr>
        <w:t>5</w:t>
      </w:r>
      <w:r>
        <w:rPr>
          <w:rFonts w:hint="eastAsia" w:ascii="BIZ UDPゴシック" w:hAnsi="BIZ UDPゴシック" w:eastAsia="BIZ UDPゴシック"/>
          <w:color w:val="auto"/>
          <w:sz w:val="21"/>
          <w:highlight w:val="none"/>
        </w:rPr>
        <w:t>（</w:t>
      </w:r>
      <w:r>
        <w:rPr>
          <w:rFonts w:hint="eastAsia" w:ascii="BIZ UDPゴシック" w:hAnsi="BIZ UDPゴシック" w:eastAsia="BIZ UDPゴシック"/>
          <w:color w:val="auto"/>
          <w:sz w:val="21"/>
          <w:highlight w:val="none"/>
        </w:rPr>
        <w:t>2023</w:t>
      </w:r>
      <w:r>
        <w:rPr>
          <w:rFonts w:hint="eastAsia" w:ascii="BIZ UDPゴシック" w:hAnsi="BIZ UDPゴシック" w:eastAsia="BIZ UDPゴシック"/>
          <w:color w:val="auto"/>
          <w:sz w:val="21"/>
          <w:highlight w:val="none"/>
        </w:rPr>
        <w:t>）年を</w:t>
      </w:r>
      <w:r>
        <w:rPr>
          <w:rFonts w:hint="eastAsia" w:ascii="BIZ UDPゴシック" w:hAnsi="BIZ UDPゴシック" w:eastAsia="BIZ UDPゴシック"/>
          <w:color w:val="auto"/>
          <w:sz w:val="21"/>
          <w:highlight w:val="none"/>
        </w:rPr>
        <w:t>100</w:t>
      </w:r>
      <w:r>
        <w:rPr>
          <w:rFonts w:hint="eastAsia" w:ascii="BIZ UDPゴシック" w:hAnsi="BIZ UDPゴシック" w:eastAsia="BIZ UDPゴシック"/>
          <w:color w:val="auto"/>
          <w:sz w:val="21"/>
          <w:highlight w:val="none"/>
        </w:rPr>
        <w:t>とした場合の令和</w:t>
      </w:r>
      <w:r>
        <w:rPr>
          <w:rFonts w:hint="eastAsia" w:ascii="BIZ UDPゴシック" w:hAnsi="BIZ UDPゴシック" w:eastAsia="BIZ UDPゴシック"/>
          <w:color w:val="auto"/>
          <w:sz w:val="21"/>
          <w:highlight w:val="none"/>
        </w:rPr>
        <w:t>7</w:t>
      </w:r>
      <w:r>
        <w:rPr>
          <w:rFonts w:hint="eastAsia" w:ascii="BIZ UDPゴシック" w:hAnsi="BIZ UDPゴシック" w:eastAsia="BIZ UDPゴシック"/>
          <w:color w:val="auto"/>
          <w:sz w:val="21"/>
          <w:highlight w:val="none"/>
        </w:rPr>
        <w:t>（</w:t>
      </w:r>
      <w:r>
        <w:rPr>
          <w:rFonts w:hint="eastAsia" w:ascii="BIZ UDPゴシック" w:hAnsi="BIZ UDPゴシック" w:eastAsia="BIZ UDPゴシック"/>
          <w:color w:val="auto"/>
          <w:sz w:val="21"/>
          <w:highlight w:val="none"/>
        </w:rPr>
        <w:t>2025</w:t>
      </w:r>
      <w:r>
        <w:rPr>
          <w:rFonts w:hint="eastAsia" w:ascii="BIZ UDPゴシック" w:hAnsi="BIZ UDPゴシック" w:eastAsia="BIZ UDPゴシック"/>
          <w:color w:val="auto"/>
          <w:sz w:val="21"/>
          <w:highlight w:val="none"/>
        </w:rPr>
        <w:t>）年、令和</w:t>
      </w:r>
      <w:r>
        <w:rPr>
          <w:rFonts w:hint="eastAsia" w:ascii="BIZ UDPゴシック" w:hAnsi="BIZ UDPゴシック" w:eastAsia="BIZ UDPゴシック"/>
          <w:color w:val="auto"/>
          <w:sz w:val="21"/>
          <w:highlight w:val="none"/>
        </w:rPr>
        <w:t>22</w:t>
      </w:r>
      <w:r>
        <w:rPr>
          <w:rFonts w:hint="eastAsia" w:ascii="BIZ UDPゴシック" w:hAnsi="BIZ UDPゴシック" w:eastAsia="BIZ UDPゴシック"/>
          <w:color w:val="auto"/>
          <w:sz w:val="21"/>
          <w:highlight w:val="none"/>
        </w:rPr>
        <w:t>（</w:t>
      </w:r>
      <w:r>
        <w:rPr>
          <w:rFonts w:hint="eastAsia" w:ascii="BIZ UDPゴシック" w:hAnsi="BIZ UDPゴシック" w:eastAsia="BIZ UDPゴシック"/>
          <w:color w:val="auto"/>
          <w:sz w:val="21"/>
          <w:highlight w:val="none"/>
        </w:rPr>
        <w:t>2040</w:t>
      </w:r>
      <w:r>
        <w:rPr>
          <w:rFonts w:hint="eastAsia" w:ascii="BIZ UDPゴシック" w:hAnsi="BIZ UDPゴシック" w:eastAsia="BIZ UDPゴシック"/>
          <w:color w:val="auto"/>
          <w:sz w:val="21"/>
          <w:highlight w:val="none"/>
        </w:rPr>
        <w:t>）年の値）</w:t>
      </w:r>
    </w:p>
    <w:tbl>
      <w:tblPr>
        <w:tblStyle w:val="89"/>
        <w:tblW w:w="8533" w:type="dxa"/>
        <w:tblInd w:w="534" w:type="dxa"/>
        <w:tblLayout w:type="fixed"/>
        <w:tblLook w:firstRow="1" w:lastRow="0" w:firstColumn="1" w:lastColumn="0" w:noHBand="0" w:noVBand="1" w:val="04A0"/>
      </w:tblPr>
      <w:tblGrid>
        <w:gridCol w:w="1162"/>
        <w:gridCol w:w="1228"/>
        <w:gridCol w:w="1229"/>
        <w:gridCol w:w="1228"/>
        <w:gridCol w:w="1229"/>
        <w:gridCol w:w="1228"/>
        <w:gridCol w:w="1229"/>
      </w:tblGrid>
      <w:tr>
        <w:trPr>
          <w:trHeight w:val="283" w:hRule="atLeast"/>
        </w:trPr>
        <w:tc>
          <w:tcPr>
            <w:tcW w:w="1162" w:type="dxa"/>
            <w:vMerge w:val="restart"/>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24"/>
                <w:sz w:val="21"/>
                <w:highlight w:val="none"/>
              </w:rPr>
            </w:pPr>
          </w:p>
        </w:tc>
        <w:tc>
          <w:tcPr>
            <w:tcW w:w="3685" w:type="dxa"/>
            <w:gridSpan w:val="3"/>
            <w:shd w:val="clear" w:color="auto" w:fill="CCECFF"/>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21"/>
                <w:highlight w:val="none"/>
              </w:rPr>
            </w:pPr>
            <w:r>
              <w:rPr>
                <w:rFonts w:hint="eastAsia" w:ascii="ＭＳ Ｐゴシック" w:hAnsi="ＭＳ Ｐゴシック" w:eastAsia="ＭＳ Ｐゴシック"/>
                <w:color w:val="auto"/>
                <w:kern w:val="24"/>
                <w:sz w:val="21"/>
                <w:highlight w:val="none"/>
              </w:rPr>
              <w:t>要介護認定者数</w:t>
            </w:r>
          </w:p>
        </w:tc>
        <w:tc>
          <w:tcPr>
            <w:tcW w:w="3686" w:type="dxa"/>
            <w:gridSpan w:val="3"/>
            <w:shd w:val="clear" w:color="auto" w:fill="CCECFF"/>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21"/>
                <w:highlight w:val="none"/>
              </w:rPr>
            </w:pPr>
            <w:r>
              <w:rPr>
                <w:rFonts w:hint="eastAsia" w:ascii="ＭＳ Ｐゴシック" w:hAnsi="ＭＳ Ｐゴシック" w:eastAsia="ＭＳ Ｐゴシック"/>
                <w:color w:val="auto"/>
                <w:kern w:val="24"/>
                <w:sz w:val="21"/>
                <w:highlight w:val="none"/>
              </w:rPr>
              <w:t>介護職員数</w:t>
            </w:r>
          </w:p>
        </w:tc>
      </w:tr>
      <w:tr>
        <w:trPr>
          <w:trHeight w:val="340" w:hRule="atLeast"/>
        </w:trPr>
        <w:tc>
          <w:tcPr>
            <w:tcW w:w="1162"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kern w:val="24"/>
                <w:sz w:val="21"/>
              </w:rPr>
            </w:pPr>
          </w:p>
        </w:tc>
        <w:tc>
          <w:tcPr>
            <w:tcW w:w="1228" w:type="dxa"/>
            <w:shd w:val="clear" w:color="auto" w:fill="CCECFF"/>
            <w:vAlign w:val="center"/>
          </w:tcPr>
          <w:p>
            <w:pPr>
              <w:pStyle w:val="0"/>
              <w:widowControl w:val="1"/>
              <w:autoSpaceDE w:val="0"/>
              <w:autoSpaceDN w:val="0"/>
              <w:spacing w:line="24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5</w:t>
            </w: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2023</w:t>
            </w:r>
            <w:r>
              <w:rPr>
                <w:rFonts w:hint="eastAsia" w:ascii="ＭＳ Ｐゴシック" w:hAnsi="ＭＳ Ｐゴシック" w:eastAsia="ＭＳ Ｐゴシック"/>
                <w:color w:val="auto"/>
                <w:kern w:val="24"/>
                <w:sz w:val="18"/>
                <w:highlight w:val="none"/>
              </w:rPr>
              <w:t>）年</w:t>
            </w:r>
          </w:p>
        </w:tc>
        <w:tc>
          <w:tcPr>
            <w:tcW w:w="1229" w:type="dxa"/>
            <w:shd w:val="clear" w:color="auto" w:fill="CCECFF"/>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7</w:t>
            </w: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2025</w:t>
            </w:r>
            <w:r>
              <w:rPr>
                <w:rFonts w:hint="eastAsia" w:ascii="ＭＳ Ｐゴシック" w:hAnsi="ＭＳ Ｐゴシック" w:eastAsia="ＭＳ Ｐゴシック"/>
                <w:color w:val="auto"/>
                <w:kern w:val="24"/>
                <w:sz w:val="18"/>
                <w:highlight w:val="none"/>
              </w:rPr>
              <w:t>）年</w:t>
            </w:r>
          </w:p>
        </w:tc>
        <w:tc>
          <w:tcPr>
            <w:tcW w:w="1228" w:type="dxa"/>
            <w:shd w:val="clear" w:color="auto" w:fill="CCECFF"/>
            <w:vAlign w:val="center"/>
          </w:tcPr>
          <w:p>
            <w:pPr>
              <w:pStyle w:val="0"/>
              <w:widowControl w:val="1"/>
              <w:autoSpaceDE w:val="0"/>
              <w:autoSpaceDN w:val="0"/>
              <w:spacing w:line="240" w:lineRule="exact"/>
              <w:ind w:left="-220" w:leftChars="-100" w:right="-220" w:rightChars="-100"/>
              <w:jc w:val="center"/>
              <w:rPr>
                <w:rFonts w:hint="default" w:ascii="ＭＳ Ｐゴシック" w:hAnsi="ＭＳ Ｐゴシック" w:eastAsia="ＭＳ Ｐゴシック"/>
                <w:color w:val="auto"/>
                <w:w w:val="95"/>
                <w:kern w:val="24"/>
                <w:sz w:val="18"/>
                <w:highlight w:val="none"/>
              </w:rPr>
            </w:pPr>
            <w:r>
              <w:rPr>
                <w:rFonts w:hint="eastAsia" w:ascii="ＭＳ Ｐゴシック" w:hAnsi="ＭＳ Ｐゴシック" w:eastAsia="ＭＳ Ｐゴシック"/>
                <w:color w:val="auto"/>
                <w:w w:val="95"/>
                <w:kern w:val="24"/>
                <w:sz w:val="18"/>
                <w:highlight w:val="none"/>
              </w:rPr>
              <w:t>令和</w:t>
            </w:r>
            <w:r>
              <w:rPr>
                <w:rFonts w:hint="eastAsia" w:ascii="ＭＳ Ｐゴシック" w:hAnsi="ＭＳ Ｐゴシック" w:eastAsia="ＭＳ Ｐゴシック"/>
                <w:color w:val="auto"/>
                <w:w w:val="95"/>
                <w:kern w:val="24"/>
                <w:sz w:val="18"/>
                <w:highlight w:val="none"/>
              </w:rPr>
              <w:t>22</w:t>
            </w:r>
            <w:r>
              <w:rPr>
                <w:rFonts w:hint="eastAsia" w:ascii="ＭＳ Ｐゴシック" w:hAnsi="ＭＳ Ｐゴシック" w:eastAsia="ＭＳ Ｐゴシック"/>
                <w:color w:val="auto"/>
                <w:w w:val="95"/>
                <w:kern w:val="24"/>
                <w:sz w:val="18"/>
                <w:highlight w:val="none"/>
              </w:rPr>
              <w:t>（</w:t>
            </w:r>
            <w:r>
              <w:rPr>
                <w:rFonts w:hint="eastAsia" w:ascii="ＭＳ Ｐゴシック" w:hAnsi="ＭＳ Ｐゴシック" w:eastAsia="ＭＳ Ｐゴシック"/>
                <w:color w:val="auto"/>
                <w:w w:val="95"/>
                <w:kern w:val="24"/>
                <w:sz w:val="18"/>
                <w:highlight w:val="none"/>
              </w:rPr>
              <w:t>2040</w:t>
            </w:r>
            <w:r>
              <w:rPr>
                <w:rFonts w:hint="eastAsia" w:ascii="ＭＳ Ｐゴシック" w:hAnsi="ＭＳ Ｐゴシック" w:eastAsia="ＭＳ Ｐゴシック"/>
                <w:color w:val="auto"/>
                <w:w w:val="95"/>
                <w:kern w:val="24"/>
                <w:sz w:val="18"/>
                <w:highlight w:val="none"/>
              </w:rPr>
              <w:t>）年</w:t>
            </w:r>
          </w:p>
        </w:tc>
        <w:tc>
          <w:tcPr>
            <w:tcW w:w="1229" w:type="dxa"/>
            <w:shd w:val="clear" w:color="auto" w:fill="CCECFF"/>
            <w:vAlign w:val="center"/>
          </w:tcPr>
          <w:p>
            <w:pPr>
              <w:pStyle w:val="0"/>
              <w:widowControl w:val="1"/>
              <w:autoSpaceDE w:val="0"/>
              <w:autoSpaceDN w:val="0"/>
              <w:spacing w:line="240" w:lineRule="exact"/>
              <w:ind w:left="-220" w:leftChars="-100" w:right="-220" w:rightChars="-10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5</w:t>
            </w: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2023</w:t>
            </w:r>
            <w:r>
              <w:rPr>
                <w:rFonts w:hint="eastAsia" w:ascii="ＭＳ Ｐゴシック" w:hAnsi="ＭＳ Ｐゴシック" w:eastAsia="ＭＳ Ｐゴシック"/>
                <w:color w:val="auto"/>
                <w:kern w:val="24"/>
                <w:sz w:val="18"/>
                <w:highlight w:val="none"/>
              </w:rPr>
              <w:t>）年</w:t>
            </w:r>
          </w:p>
        </w:tc>
        <w:tc>
          <w:tcPr>
            <w:tcW w:w="1228" w:type="dxa"/>
            <w:shd w:val="clear" w:color="auto" w:fill="CCECFF"/>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kern w:val="24"/>
                <w:sz w:val="18"/>
                <w:highlight w:val="none"/>
              </w:rPr>
              <w:t>令和</w:t>
            </w:r>
            <w:r>
              <w:rPr>
                <w:rFonts w:hint="eastAsia" w:ascii="ＭＳ Ｐゴシック" w:hAnsi="ＭＳ Ｐゴシック" w:eastAsia="ＭＳ Ｐゴシック"/>
                <w:color w:val="auto"/>
                <w:kern w:val="24"/>
                <w:sz w:val="18"/>
                <w:highlight w:val="none"/>
              </w:rPr>
              <w:t>7</w:t>
            </w:r>
            <w:r>
              <w:rPr>
                <w:rFonts w:hint="eastAsia" w:ascii="ＭＳ Ｐゴシック" w:hAnsi="ＭＳ Ｐゴシック" w:eastAsia="ＭＳ Ｐゴシック"/>
                <w:color w:val="auto"/>
                <w:kern w:val="24"/>
                <w:sz w:val="18"/>
                <w:highlight w:val="none"/>
              </w:rPr>
              <w:t>（</w:t>
            </w:r>
            <w:r>
              <w:rPr>
                <w:rFonts w:hint="eastAsia" w:ascii="ＭＳ Ｐゴシック" w:hAnsi="ＭＳ Ｐゴシック" w:eastAsia="ＭＳ Ｐゴシック"/>
                <w:color w:val="auto"/>
                <w:kern w:val="24"/>
                <w:sz w:val="18"/>
                <w:highlight w:val="none"/>
              </w:rPr>
              <w:t>2025</w:t>
            </w:r>
            <w:r>
              <w:rPr>
                <w:rFonts w:hint="eastAsia" w:ascii="ＭＳ Ｐゴシック" w:hAnsi="ＭＳ Ｐゴシック" w:eastAsia="ＭＳ Ｐゴシック"/>
                <w:color w:val="auto"/>
                <w:kern w:val="24"/>
                <w:sz w:val="18"/>
                <w:highlight w:val="none"/>
              </w:rPr>
              <w:t>）年</w:t>
            </w:r>
          </w:p>
        </w:tc>
        <w:tc>
          <w:tcPr>
            <w:tcW w:w="1229" w:type="dxa"/>
            <w:shd w:val="clear" w:color="auto" w:fill="CCECFF"/>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18"/>
                <w:highlight w:val="none"/>
              </w:rPr>
            </w:pPr>
            <w:r>
              <w:rPr>
                <w:rFonts w:hint="eastAsia" w:ascii="ＭＳ Ｐゴシック" w:hAnsi="ＭＳ Ｐゴシック" w:eastAsia="ＭＳ Ｐゴシック"/>
                <w:color w:val="auto"/>
                <w:w w:val="95"/>
                <w:kern w:val="24"/>
                <w:sz w:val="18"/>
                <w:highlight w:val="none"/>
              </w:rPr>
              <w:t>令和</w:t>
            </w:r>
            <w:r>
              <w:rPr>
                <w:rFonts w:hint="eastAsia" w:ascii="ＭＳ Ｐゴシック" w:hAnsi="ＭＳ Ｐゴシック" w:eastAsia="ＭＳ Ｐゴシック"/>
                <w:color w:val="auto"/>
                <w:w w:val="95"/>
                <w:kern w:val="24"/>
                <w:sz w:val="18"/>
                <w:highlight w:val="none"/>
              </w:rPr>
              <w:t>22</w:t>
            </w:r>
            <w:r>
              <w:rPr>
                <w:rFonts w:hint="eastAsia" w:ascii="ＭＳ Ｐゴシック" w:hAnsi="ＭＳ Ｐゴシック" w:eastAsia="ＭＳ Ｐゴシック"/>
                <w:color w:val="auto"/>
                <w:w w:val="95"/>
                <w:kern w:val="24"/>
                <w:sz w:val="18"/>
                <w:highlight w:val="none"/>
              </w:rPr>
              <w:t>（</w:t>
            </w:r>
            <w:r>
              <w:rPr>
                <w:rFonts w:hint="eastAsia" w:ascii="ＭＳ Ｐゴシック" w:hAnsi="ＭＳ Ｐゴシック" w:eastAsia="ＭＳ Ｐゴシック"/>
                <w:color w:val="auto"/>
                <w:w w:val="95"/>
                <w:kern w:val="24"/>
                <w:sz w:val="18"/>
                <w:highlight w:val="none"/>
              </w:rPr>
              <w:t>2040</w:t>
            </w:r>
            <w:r>
              <w:rPr>
                <w:rFonts w:hint="eastAsia" w:ascii="ＭＳ Ｐゴシック" w:hAnsi="ＭＳ Ｐゴシック" w:eastAsia="ＭＳ Ｐゴシック"/>
                <w:color w:val="auto"/>
                <w:w w:val="95"/>
                <w:kern w:val="24"/>
                <w:sz w:val="18"/>
                <w:highlight w:val="none"/>
              </w:rPr>
              <w:t>）年</w:t>
            </w:r>
          </w:p>
        </w:tc>
      </w:tr>
      <w:tr>
        <w:trPr>
          <w:trHeight w:val="397" w:hRule="atLeast"/>
        </w:trPr>
        <w:tc>
          <w:tcPr>
            <w:tcW w:w="1162"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autoSpaceDE w:val="0"/>
              <w:autoSpaceDN w:val="0"/>
              <w:spacing w:line="240" w:lineRule="exact"/>
              <w:jc w:val="center"/>
              <w:rPr>
                <w:rFonts w:hint="default" w:ascii="ＭＳ Ｐゴシック" w:hAnsi="ＭＳ Ｐゴシック" w:eastAsia="ＭＳ Ｐゴシック"/>
                <w:color w:val="auto"/>
                <w:kern w:val="24"/>
                <w:sz w:val="21"/>
                <w:highlight w:val="none"/>
              </w:rPr>
            </w:pPr>
            <w:r>
              <w:rPr>
                <w:rFonts w:hint="eastAsia" w:ascii="ＭＳ Ｐゴシック" w:hAnsi="ＭＳ Ｐゴシック" w:eastAsia="ＭＳ Ｐゴシック"/>
                <w:color w:val="auto"/>
                <w:kern w:val="24"/>
                <w:sz w:val="21"/>
                <w:highlight w:val="none"/>
              </w:rPr>
              <w:t>廿日市市</w:t>
            </w:r>
          </w:p>
        </w:tc>
        <w:tc>
          <w:tcPr>
            <w:tcW w:w="1228" w:type="dxa"/>
            <w:vAlign w:val="center"/>
          </w:tcPr>
          <w:p>
            <w:pPr>
              <w:pStyle w:val="0"/>
              <w:widowControl w:val="1"/>
              <w:autoSpaceDE w:val="0"/>
              <w:autoSpaceDN w:val="0"/>
              <w:spacing w:line="240" w:lineRule="exact"/>
              <w:jc w:val="right"/>
              <w:rPr>
                <w:rFonts w:hint="default" w:ascii="ＭＳ Ｐゴシック" w:hAnsi="ＭＳ Ｐゴシック" w:eastAsia="ＭＳ Ｐゴシック"/>
                <w:color w:val="auto"/>
                <w:kern w:val="24"/>
                <w:sz w:val="21"/>
                <w:highlight w:val="none"/>
              </w:rPr>
            </w:pPr>
            <w:r>
              <w:rPr>
                <w:rFonts w:hint="eastAsia" w:ascii="ＭＳ Ｐゴシック" w:hAnsi="ＭＳ Ｐゴシック" w:eastAsia="ＭＳ Ｐゴシック"/>
                <w:color w:val="auto"/>
                <w:kern w:val="24"/>
                <w:sz w:val="21"/>
                <w:highlight w:val="none"/>
              </w:rPr>
              <w:t>100</w:t>
            </w:r>
          </w:p>
        </w:tc>
        <w:tc>
          <w:tcPr>
            <w:tcW w:w="1229" w:type="dxa"/>
            <w:vAlign w:val="center"/>
          </w:tcPr>
          <w:p>
            <w:pPr>
              <w:pStyle w:val="0"/>
              <w:widowControl w:val="1"/>
              <w:autoSpaceDE w:val="0"/>
              <w:autoSpaceDN w:val="0"/>
              <w:spacing w:line="240" w:lineRule="exact"/>
              <w:jc w:val="right"/>
              <w:rPr>
                <w:rFonts w:hint="default" w:ascii="ＭＳ Ｐゴシック" w:hAnsi="ＭＳ Ｐゴシック" w:eastAsia="ＭＳ Ｐゴシック"/>
                <w:color w:val="auto"/>
                <w:kern w:val="24"/>
                <w:sz w:val="21"/>
                <w:highlight w:val="none"/>
              </w:rPr>
            </w:pPr>
            <w:r>
              <w:rPr>
                <w:rFonts w:hint="eastAsia" w:ascii="ＭＳ Ｐゴシック" w:hAnsi="ＭＳ Ｐゴシック" w:eastAsia="ＭＳ Ｐゴシック"/>
                <w:color w:val="auto"/>
                <w:kern w:val="24"/>
                <w:sz w:val="21"/>
                <w:highlight w:val="none"/>
              </w:rPr>
              <w:t>104.8</w:t>
            </w:r>
          </w:p>
        </w:tc>
        <w:tc>
          <w:tcPr>
            <w:tcW w:w="1228" w:type="dxa"/>
            <w:vAlign w:val="center"/>
          </w:tcPr>
          <w:p>
            <w:pPr>
              <w:pStyle w:val="0"/>
              <w:widowControl w:val="1"/>
              <w:autoSpaceDE w:val="0"/>
              <w:autoSpaceDN w:val="0"/>
              <w:spacing w:line="240" w:lineRule="exact"/>
              <w:jc w:val="right"/>
              <w:rPr>
                <w:rFonts w:hint="default" w:ascii="ＭＳ Ｐゴシック" w:hAnsi="ＭＳ Ｐゴシック" w:eastAsia="ＭＳ Ｐゴシック"/>
                <w:color w:val="auto"/>
                <w:kern w:val="24"/>
                <w:sz w:val="21"/>
                <w:highlight w:val="none"/>
              </w:rPr>
            </w:pPr>
            <w:r>
              <w:rPr>
                <w:rFonts w:hint="eastAsia" w:ascii="ＭＳ Ｐゴシック" w:hAnsi="ＭＳ Ｐゴシック" w:eastAsia="ＭＳ Ｐゴシック"/>
                <w:color w:val="auto"/>
                <w:kern w:val="24"/>
                <w:sz w:val="21"/>
                <w:highlight w:val="none"/>
              </w:rPr>
              <w:t>134.3</w:t>
            </w:r>
          </w:p>
        </w:tc>
        <w:tc>
          <w:tcPr>
            <w:tcW w:w="1229" w:type="dxa"/>
            <w:vAlign w:val="center"/>
          </w:tcPr>
          <w:p>
            <w:pPr>
              <w:pStyle w:val="0"/>
              <w:widowControl w:val="1"/>
              <w:autoSpaceDE w:val="0"/>
              <w:autoSpaceDN w:val="0"/>
              <w:spacing w:line="240" w:lineRule="exact"/>
              <w:jc w:val="right"/>
              <w:rPr>
                <w:rFonts w:hint="default" w:ascii="ＭＳ Ｐゴシック" w:hAnsi="ＭＳ Ｐゴシック" w:eastAsia="ＭＳ Ｐゴシック"/>
                <w:color w:val="auto"/>
                <w:kern w:val="24"/>
                <w:sz w:val="21"/>
                <w:highlight w:val="none"/>
              </w:rPr>
            </w:pPr>
            <w:r>
              <w:rPr>
                <w:rFonts w:hint="eastAsia" w:ascii="ＭＳ Ｐゴシック" w:hAnsi="ＭＳ Ｐゴシック" w:eastAsia="ＭＳ Ｐゴシック"/>
                <w:color w:val="auto"/>
                <w:kern w:val="24"/>
                <w:sz w:val="21"/>
                <w:highlight w:val="none"/>
              </w:rPr>
              <w:t>100</w:t>
            </w:r>
          </w:p>
        </w:tc>
        <w:tc>
          <w:tcPr>
            <w:tcW w:w="1228" w:type="dxa"/>
            <w:vAlign w:val="center"/>
          </w:tcPr>
          <w:p>
            <w:pPr>
              <w:pStyle w:val="0"/>
              <w:widowControl w:val="1"/>
              <w:autoSpaceDE w:val="0"/>
              <w:autoSpaceDN w:val="0"/>
              <w:spacing w:line="240" w:lineRule="exact"/>
              <w:jc w:val="right"/>
              <w:rPr>
                <w:rFonts w:hint="default" w:ascii="ＭＳ Ｐゴシック" w:hAnsi="ＭＳ Ｐゴシック" w:eastAsia="ＭＳ Ｐゴシック"/>
                <w:color w:val="auto"/>
                <w:kern w:val="24"/>
                <w:sz w:val="21"/>
                <w:highlight w:val="none"/>
              </w:rPr>
            </w:pPr>
            <w:r>
              <w:rPr>
                <w:rFonts w:hint="eastAsia" w:ascii="ＭＳ Ｐゴシック" w:hAnsi="ＭＳ Ｐゴシック" w:eastAsia="ＭＳ Ｐゴシック"/>
                <w:color w:val="auto"/>
                <w:kern w:val="24"/>
                <w:sz w:val="21"/>
                <w:highlight w:val="none"/>
              </w:rPr>
              <w:t>94.2</w:t>
            </w:r>
          </w:p>
        </w:tc>
        <w:tc>
          <w:tcPr>
            <w:tcW w:w="1229" w:type="dxa"/>
            <w:vAlign w:val="center"/>
          </w:tcPr>
          <w:p>
            <w:pPr>
              <w:pStyle w:val="0"/>
              <w:widowControl w:val="1"/>
              <w:autoSpaceDE w:val="0"/>
              <w:autoSpaceDN w:val="0"/>
              <w:spacing w:line="240" w:lineRule="exact"/>
              <w:jc w:val="right"/>
              <w:rPr>
                <w:rFonts w:hint="default" w:ascii="ＭＳ Ｐゴシック" w:hAnsi="ＭＳ Ｐゴシック" w:eastAsia="ＭＳ Ｐゴシック"/>
                <w:color w:val="auto"/>
                <w:kern w:val="24"/>
                <w:sz w:val="21"/>
                <w:highlight w:val="none"/>
              </w:rPr>
            </w:pPr>
            <w:r>
              <w:rPr>
                <w:rFonts w:hint="eastAsia" w:ascii="ＭＳ Ｐゴシック" w:hAnsi="ＭＳ Ｐゴシック" w:eastAsia="ＭＳ Ｐゴシック"/>
                <w:color w:val="auto"/>
                <w:kern w:val="24"/>
                <w:sz w:val="21"/>
                <w:highlight w:val="none"/>
              </w:rPr>
              <w:t>75.4</w:t>
            </w:r>
          </w:p>
        </w:tc>
      </w:tr>
    </w:tbl>
    <w:p>
      <w:pPr>
        <w:pStyle w:val="41"/>
        <w:autoSpaceDE w:val="0"/>
        <w:autoSpaceDN w:val="0"/>
        <w:jc w:val="right"/>
        <w:rPr>
          <w:rFonts w:hint="default" w:ascii="BIZ UDPゴシック" w:hAnsi="BIZ UDPゴシック" w:eastAsia="BIZ UDPゴシック"/>
          <w:color w:val="auto"/>
          <w:sz w:val="18"/>
          <w:highlight w:val="none"/>
          <w:shd w:val="clear" w:color="auto" w:themeFill="background1" w:themeFillTint="FF" w:themeFillShade="FF"/>
        </w:rPr>
      </w:pPr>
      <w:r>
        <w:rPr>
          <w:rFonts w:hint="eastAsia" w:ascii="BIZ UDPゴシック" w:hAnsi="BIZ UDPゴシック" w:eastAsia="BIZ UDPゴシック"/>
          <w:color w:val="auto"/>
          <w:sz w:val="18"/>
          <w:highlight w:val="none"/>
          <w:shd w:val="clear" w:color="auto" w:themeFill="background1" w:themeFillTint="FF" w:themeFillShade="FF"/>
        </w:rPr>
        <w:t>資料：廿日市市推計</w:t>
      </w:r>
    </w:p>
    <w:p>
      <w:pPr>
        <w:pStyle w:val="79"/>
        <w:spacing w:before="190" w:beforeLines="0" w:beforeAutospacing="0"/>
        <w:rPr>
          <w:rFonts w:hint="default"/>
          <w:color w:val="auto"/>
          <w:highlight w:val="none"/>
        </w:rPr>
      </w:pPr>
      <w:r>
        <w:rPr>
          <w:rFonts w:hint="eastAsia"/>
          <w:color w:val="auto"/>
          <w:highlight w:val="none"/>
        </w:rPr>
        <w:t>図表　介護職員１人当たり要介護認定者数の推計</w:t>
      </w:r>
    </w:p>
    <w:p>
      <w:pPr>
        <w:pStyle w:val="0"/>
        <w:widowControl w:val="1"/>
        <w:autoSpaceDE w:val="0"/>
        <w:autoSpaceDN w:val="0"/>
        <w:spacing w:after="37" w:afterLines="10" w:afterAutospacing="0" w:line="240" w:lineRule="exact"/>
        <w:jc w:val="right"/>
        <w:rPr>
          <w:rFonts w:hint="default" w:ascii="ＭＳ ゴシック" w:hAnsi="ＭＳ ゴシック" w:eastAsia="ＭＳ ゴシック"/>
          <w:color w:val="auto"/>
          <w:kern w:val="24"/>
          <w:sz w:val="18"/>
          <w:highlight w:val="none"/>
        </w:rPr>
      </w:pPr>
      <w:r>
        <w:rPr>
          <w:rFonts w:hint="eastAsia" w:ascii="ＭＳ ゴシック" w:hAnsi="ＭＳ ゴシック" w:eastAsia="ＭＳ ゴシック"/>
          <w:color w:val="auto"/>
          <w:sz w:val="18"/>
          <w:highlight w:val="none"/>
        </w:rPr>
        <w:t>（単位：人）</w:t>
      </w:r>
    </w:p>
    <w:tbl>
      <w:tblPr>
        <w:tblStyle w:val="89"/>
        <w:tblW w:w="8533" w:type="dxa"/>
        <w:tblInd w:w="534" w:type="dxa"/>
        <w:tblLayout w:type="fixed"/>
        <w:tblLook w:firstRow="1" w:lastRow="0" w:firstColumn="1" w:lastColumn="0" w:noHBand="0" w:noVBand="1" w:val="04A0"/>
      </w:tblPr>
      <w:tblGrid>
        <w:gridCol w:w="1162"/>
        <w:gridCol w:w="2457"/>
        <w:gridCol w:w="2457"/>
        <w:gridCol w:w="2457"/>
      </w:tblGrid>
      <w:tr>
        <w:trPr>
          <w:trHeight w:val="340" w:hRule="atLeast"/>
        </w:trPr>
        <w:tc>
          <w:tcPr>
            <w:tcW w:w="116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40" w:lineRule="exact"/>
              <w:jc w:val="center"/>
              <w:rPr>
                <w:rFonts w:hint="default" w:ascii="ＭＳ Ｐゴシック" w:hAnsi="ＭＳ Ｐゴシック" w:eastAsia="ＭＳ Ｐゴシック"/>
                <w:color w:val="auto"/>
                <w:kern w:val="24"/>
                <w:sz w:val="21"/>
                <w:highlight w:val="none"/>
              </w:rPr>
            </w:pPr>
          </w:p>
        </w:tc>
        <w:tc>
          <w:tcPr>
            <w:tcW w:w="245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40" w:lineRule="exact"/>
              <w:ind w:left="-220" w:leftChars="-100" w:right="-220" w:rightChars="-100"/>
              <w:jc w:val="center"/>
              <w:rPr>
                <w:rFonts w:hint="default" w:ascii="ＭＳ Ｐゴシック" w:hAnsi="ＭＳ Ｐゴシック" w:eastAsia="ＭＳ Ｐゴシック"/>
                <w:color w:val="auto"/>
                <w:kern w:val="24"/>
                <w:sz w:val="21"/>
                <w:highlight w:val="none"/>
              </w:rPr>
            </w:pPr>
            <w:r>
              <w:rPr>
                <w:rFonts w:hint="eastAsia" w:ascii="ＭＳ Ｐゴシック" w:hAnsi="ＭＳ Ｐゴシック" w:eastAsia="ＭＳ Ｐゴシック"/>
                <w:color w:val="auto"/>
                <w:kern w:val="24"/>
                <w:sz w:val="21"/>
                <w:highlight w:val="none"/>
              </w:rPr>
              <w:t>令和</w:t>
            </w:r>
            <w:r>
              <w:rPr>
                <w:rFonts w:hint="eastAsia" w:ascii="ＭＳ Ｐゴシック" w:hAnsi="ＭＳ Ｐゴシック" w:eastAsia="ＭＳ Ｐゴシック"/>
                <w:color w:val="auto"/>
                <w:kern w:val="24"/>
                <w:sz w:val="21"/>
                <w:highlight w:val="none"/>
              </w:rPr>
              <w:t>5</w:t>
            </w:r>
            <w:r>
              <w:rPr>
                <w:rFonts w:hint="eastAsia" w:ascii="ＭＳ Ｐゴシック" w:hAnsi="ＭＳ Ｐゴシック" w:eastAsia="ＭＳ Ｐゴシック"/>
                <w:color w:val="auto"/>
                <w:kern w:val="24"/>
                <w:sz w:val="21"/>
                <w:highlight w:val="none"/>
              </w:rPr>
              <w:t>（</w:t>
            </w:r>
            <w:r>
              <w:rPr>
                <w:rFonts w:hint="eastAsia" w:ascii="ＭＳ Ｐゴシック" w:hAnsi="ＭＳ Ｐゴシック" w:eastAsia="ＭＳ Ｐゴシック"/>
                <w:color w:val="auto"/>
                <w:kern w:val="24"/>
                <w:sz w:val="21"/>
                <w:highlight w:val="none"/>
              </w:rPr>
              <w:t>2023</w:t>
            </w:r>
            <w:r>
              <w:rPr>
                <w:rFonts w:hint="eastAsia" w:ascii="ＭＳ Ｐゴシック" w:hAnsi="ＭＳ Ｐゴシック" w:eastAsia="ＭＳ Ｐゴシック"/>
                <w:color w:val="auto"/>
                <w:kern w:val="24"/>
                <w:sz w:val="21"/>
                <w:highlight w:val="none"/>
              </w:rPr>
              <w:t>）年</w:t>
            </w:r>
          </w:p>
        </w:tc>
        <w:tc>
          <w:tcPr>
            <w:tcW w:w="245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21"/>
                <w:highlight w:val="none"/>
              </w:rPr>
            </w:pPr>
            <w:r>
              <w:rPr>
                <w:rFonts w:hint="eastAsia" w:ascii="ＭＳ Ｐゴシック" w:hAnsi="ＭＳ Ｐゴシック" w:eastAsia="ＭＳ Ｐゴシック"/>
                <w:color w:val="auto"/>
                <w:kern w:val="24"/>
                <w:sz w:val="21"/>
                <w:highlight w:val="none"/>
              </w:rPr>
              <w:t>令和</w:t>
            </w:r>
            <w:r>
              <w:rPr>
                <w:rFonts w:hint="eastAsia" w:ascii="ＭＳ Ｐゴシック" w:hAnsi="ＭＳ Ｐゴシック" w:eastAsia="ＭＳ Ｐゴシック"/>
                <w:color w:val="auto"/>
                <w:kern w:val="24"/>
                <w:sz w:val="21"/>
                <w:highlight w:val="none"/>
              </w:rPr>
              <w:t>7</w:t>
            </w:r>
            <w:r>
              <w:rPr>
                <w:rFonts w:hint="eastAsia" w:ascii="ＭＳ Ｐゴシック" w:hAnsi="ＭＳ Ｐゴシック" w:eastAsia="ＭＳ Ｐゴシック"/>
                <w:color w:val="auto"/>
                <w:kern w:val="24"/>
                <w:sz w:val="21"/>
                <w:highlight w:val="none"/>
              </w:rPr>
              <w:t>（</w:t>
            </w:r>
            <w:r>
              <w:rPr>
                <w:rFonts w:hint="eastAsia" w:ascii="ＭＳ Ｐゴシック" w:hAnsi="ＭＳ Ｐゴシック" w:eastAsia="ＭＳ Ｐゴシック"/>
                <w:color w:val="auto"/>
                <w:kern w:val="24"/>
                <w:sz w:val="21"/>
                <w:highlight w:val="none"/>
              </w:rPr>
              <w:t>2025</w:t>
            </w:r>
            <w:r>
              <w:rPr>
                <w:rFonts w:hint="eastAsia" w:ascii="ＭＳ Ｐゴシック" w:hAnsi="ＭＳ Ｐゴシック" w:eastAsia="ＭＳ Ｐゴシック"/>
                <w:color w:val="auto"/>
                <w:kern w:val="24"/>
                <w:sz w:val="21"/>
                <w:highlight w:val="none"/>
              </w:rPr>
              <w:t>）年</w:t>
            </w:r>
          </w:p>
        </w:tc>
        <w:tc>
          <w:tcPr>
            <w:tcW w:w="245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widowControl w:val="1"/>
              <w:autoSpaceDE w:val="0"/>
              <w:autoSpaceDN w:val="0"/>
              <w:spacing w:line="240" w:lineRule="exact"/>
              <w:ind w:left="-110" w:leftChars="-50" w:right="-110" w:rightChars="-50"/>
              <w:jc w:val="center"/>
              <w:rPr>
                <w:rFonts w:hint="default" w:ascii="ＭＳ Ｐゴシック" w:hAnsi="ＭＳ Ｐゴシック" w:eastAsia="ＭＳ Ｐゴシック"/>
                <w:color w:val="auto"/>
                <w:kern w:val="24"/>
                <w:sz w:val="21"/>
                <w:highlight w:val="none"/>
              </w:rPr>
            </w:pPr>
            <w:r>
              <w:rPr>
                <w:rFonts w:hint="eastAsia" w:ascii="ＭＳ Ｐゴシック" w:hAnsi="ＭＳ Ｐゴシック" w:eastAsia="ＭＳ Ｐゴシック"/>
                <w:color w:val="auto"/>
                <w:kern w:val="24"/>
                <w:sz w:val="21"/>
                <w:highlight w:val="none"/>
              </w:rPr>
              <w:t>令和</w:t>
            </w:r>
            <w:r>
              <w:rPr>
                <w:rFonts w:hint="eastAsia" w:ascii="ＭＳ Ｐゴシック" w:hAnsi="ＭＳ Ｐゴシック" w:eastAsia="ＭＳ Ｐゴシック"/>
                <w:color w:val="auto"/>
                <w:kern w:val="24"/>
                <w:sz w:val="21"/>
                <w:highlight w:val="none"/>
              </w:rPr>
              <w:t>22</w:t>
            </w:r>
            <w:r>
              <w:rPr>
                <w:rFonts w:hint="eastAsia" w:ascii="ＭＳ Ｐゴシック" w:hAnsi="ＭＳ Ｐゴシック" w:eastAsia="ＭＳ Ｐゴシック"/>
                <w:color w:val="auto"/>
                <w:kern w:val="24"/>
                <w:sz w:val="21"/>
                <w:highlight w:val="none"/>
              </w:rPr>
              <w:t>（</w:t>
            </w:r>
            <w:r>
              <w:rPr>
                <w:rFonts w:hint="eastAsia" w:ascii="ＭＳ Ｐゴシック" w:hAnsi="ＭＳ Ｐゴシック" w:eastAsia="ＭＳ Ｐゴシック"/>
                <w:color w:val="auto"/>
                <w:kern w:val="24"/>
                <w:sz w:val="21"/>
                <w:highlight w:val="none"/>
              </w:rPr>
              <w:t>2040</w:t>
            </w:r>
            <w:r>
              <w:rPr>
                <w:rFonts w:hint="eastAsia" w:ascii="ＭＳ Ｐゴシック" w:hAnsi="ＭＳ Ｐゴシック" w:eastAsia="ＭＳ Ｐゴシック"/>
                <w:color w:val="auto"/>
                <w:kern w:val="24"/>
                <w:sz w:val="21"/>
                <w:highlight w:val="none"/>
              </w:rPr>
              <w:t>）年</w:t>
            </w:r>
          </w:p>
        </w:tc>
      </w:tr>
      <w:tr>
        <w:trPr>
          <w:trHeight w:val="397" w:hRule="atLeast"/>
        </w:trPr>
        <w:tc>
          <w:tcPr>
            <w:tcW w:w="116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spacing w:line="240" w:lineRule="exact"/>
              <w:jc w:val="center"/>
              <w:rPr>
                <w:rFonts w:hint="default" w:ascii="ＭＳ Ｐゴシック" w:hAnsi="ＭＳ Ｐゴシック" w:eastAsia="ＭＳ Ｐゴシック"/>
                <w:color w:val="auto"/>
                <w:kern w:val="24"/>
                <w:sz w:val="21"/>
                <w:highlight w:val="none"/>
              </w:rPr>
            </w:pPr>
            <w:r>
              <w:rPr>
                <w:rFonts w:hint="eastAsia" w:ascii="ＭＳ Ｐゴシック" w:hAnsi="ＭＳ Ｐゴシック" w:eastAsia="ＭＳ Ｐゴシック"/>
                <w:color w:val="auto"/>
                <w:kern w:val="24"/>
                <w:sz w:val="21"/>
                <w:highlight w:val="none"/>
              </w:rPr>
              <w:t>廿日市市</w:t>
            </w:r>
          </w:p>
        </w:tc>
        <w:tc>
          <w:tcPr>
            <w:tcW w:w="245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autoSpaceDE w:val="0"/>
              <w:autoSpaceDN w:val="0"/>
              <w:spacing w:line="240" w:lineRule="exact"/>
              <w:jc w:val="right"/>
              <w:rPr>
                <w:rFonts w:hint="default" w:ascii="ＭＳ Ｐゴシック" w:hAnsi="ＭＳ Ｐゴシック" w:eastAsia="ＭＳ Ｐゴシック"/>
                <w:color w:val="auto"/>
                <w:kern w:val="24"/>
                <w:sz w:val="21"/>
                <w:highlight w:val="none"/>
              </w:rPr>
            </w:pPr>
            <w:r>
              <w:rPr>
                <w:rFonts w:hint="eastAsia" w:ascii="ＭＳ Ｐゴシック" w:hAnsi="ＭＳ Ｐゴシック" w:eastAsia="ＭＳ Ｐゴシック"/>
                <w:color w:val="auto"/>
                <w:kern w:val="24"/>
                <w:sz w:val="21"/>
                <w:highlight w:val="none"/>
              </w:rPr>
              <w:t>6.1</w:t>
            </w:r>
          </w:p>
        </w:tc>
        <w:tc>
          <w:tcPr>
            <w:tcW w:w="245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autoSpaceDE w:val="0"/>
              <w:autoSpaceDN w:val="0"/>
              <w:spacing w:line="240" w:lineRule="exact"/>
              <w:jc w:val="right"/>
              <w:rPr>
                <w:rFonts w:hint="default" w:ascii="ＭＳ Ｐゴシック" w:hAnsi="ＭＳ Ｐゴシック" w:eastAsia="ＭＳ Ｐゴシック"/>
                <w:color w:val="auto"/>
                <w:kern w:val="24"/>
                <w:sz w:val="21"/>
                <w:highlight w:val="none"/>
              </w:rPr>
            </w:pPr>
            <w:r>
              <w:rPr>
                <w:rFonts w:hint="eastAsia" w:ascii="ＭＳ Ｐゴシック" w:hAnsi="ＭＳ Ｐゴシック" w:eastAsia="ＭＳ Ｐゴシック"/>
                <w:color w:val="auto"/>
                <w:kern w:val="24"/>
                <w:sz w:val="21"/>
                <w:highlight w:val="none"/>
              </w:rPr>
              <w:t>6.8</w:t>
            </w:r>
          </w:p>
        </w:tc>
        <w:tc>
          <w:tcPr>
            <w:tcW w:w="245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autoSpaceDE w:val="0"/>
              <w:autoSpaceDN w:val="0"/>
              <w:spacing w:line="240" w:lineRule="exact"/>
              <w:jc w:val="right"/>
              <w:rPr>
                <w:rFonts w:hint="default" w:ascii="ＭＳ Ｐゴシック" w:hAnsi="ＭＳ Ｐゴシック" w:eastAsia="ＭＳ Ｐゴシック"/>
                <w:color w:val="auto"/>
                <w:kern w:val="24"/>
                <w:sz w:val="21"/>
                <w:highlight w:val="none"/>
              </w:rPr>
            </w:pPr>
            <w:r>
              <w:rPr>
                <w:rFonts w:hint="eastAsia" w:ascii="ＭＳ Ｐゴシック" w:hAnsi="ＭＳ Ｐゴシック" w:eastAsia="ＭＳ Ｐゴシック"/>
                <w:color w:val="auto"/>
                <w:kern w:val="24"/>
                <w:sz w:val="21"/>
                <w:highlight w:val="none"/>
              </w:rPr>
              <w:t>10.9</w:t>
            </w:r>
          </w:p>
        </w:tc>
      </w:tr>
    </w:tbl>
    <w:p>
      <w:pPr>
        <w:pStyle w:val="41"/>
        <w:autoSpaceDE w:val="0"/>
        <w:autoSpaceDN w:val="0"/>
        <w:jc w:val="right"/>
        <w:rPr>
          <w:rFonts w:hint="default" w:ascii="BIZ UDPゴシック" w:hAnsi="BIZ UDPゴシック" w:eastAsia="BIZ UDPゴシック"/>
          <w:color w:val="auto"/>
          <w:sz w:val="18"/>
          <w:highlight w:val="none"/>
          <w:shd w:val="clear" w:color="auto" w:themeFill="background1" w:themeFillTint="FF" w:themeFillShade="FF"/>
        </w:rPr>
      </w:pPr>
      <w:r>
        <w:rPr>
          <w:rFonts w:hint="eastAsia" w:ascii="BIZ UDPゴシック" w:hAnsi="BIZ UDPゴシック" w:eastAsia="BIZ UDPゴシック"/>
          <w:color w:val="auto"/>
          <w:sz w:val="18"/>
          <w:highlight w:val="none"/>
          <w:shd w:val="clear" w:color="auto" w:themeFill="background1" w:themeFillTint="FF" w:themeFillShade="FF"/>
        </w:rPr>
        <w:t>資料：廿日市市推計</w:t>
      </w:r>
    </w:p>
    <w:p>
      <w:pPr>
        <w:pStyle w:val="0"/>
        <w:widowControl w:val="1"/>
        <w:jc w:val="left"/>
        <w:rPr>
          <w:rFonts w:hint="default"/>
          <w:color w:val="auto"/>
          <w:highlight w:val="none"/>
          <w:shd w:val="clear" w:color="auto" w:themeFill="background1" w:themeFillTint="FF" w:themeFillShade="FF"/>
        </w:rPr>
      </w:pPr>
      <w:r>
        <w:rPr>
          <w:rFonts w:hint="default"/>
          <w:b w:val="1"/>
          <w:color w:val="auto"/>
          <w:highlight w:val="none"/>
          <w:shd w:val="clear" w:color="auto" w:themeFill="background1" w:themeFillTint="FF" w:themeFillShade="FF"/>
        </w:rPr>
        <w:br w:type="page"/>
      </w:r>
    </w:p>
    <w:p>
      <w:pPr>
        <w:pStyle w:val="22"/>
        <w:spacing w:after="76" w:afterLines="0" w:afterAutospacing="0"/>
        <w:rPr>
          <w:rFonts w:hint="default"/>
          <w:color w:val="auto"/>
          <w:highlight w:val="none"/>
        </w:rPr>
      </w:pPr>
      <w:bookmarkStart w:id="149" w:name="_Toc152160686"/>
      <w:r>
        <w:rPr>
          <w:rFonts w:hint="eastAsia"/>
          <w:color w:val="auto"/>
          <w:highlight w:val="none"/>
        </w:rPr>
        <w:t>２　第９期計画期間内の介護サービス基盤整備</w:t>
      </w:r>
      <w:bookmarkEnd w:id="149"/>
    </w:p>
    <w:p>
      <w:pPr>
        <w:pStyle w:val="26"/>
        <w:spacing w:after="76" w:afterLines="0" w:afterAutospacing="0"/>
        <w:rPr>
          <w:rFonts w:hint="default"/>
          <w:color w:val="auto"/>
          <w:highlight w:val="none"/>
        </w:rPr>
      </w:pPr>
      <w:bookmarkStart w:id="150" w:name="_Toc152160687"/>
      <w:r>
        <w:rPr>
          <w:rFonts w:hint="eastAsia"/>
          <w:color w:val="auto"/>
          <w:highlight w:val="none"/>
        </w:rPr>
        <w:t>（１）</w:t>
      </w:r>
      <w:r>
        <w:rPr>
          <w:rFonts w:hint="eastAsia"/>
          <w:color w:val="auto"/>
          <w:highlight w:val="none"/>
        </w:rPr>
        <w:t xml:space="preserve"> </w:t>
      </w:r>
      <w:r>
        <w:rPr>
          <w:rFonts w:hint="eastAsia"/>
          <w:color w:val="auto"/>
          <w:highlight w:val="none"/>
        </w:rPr>
        <w:t>施設サービス</w:t>
      </w:r>
      <w:bookmarkEnd w:id="150"/>
    </w:p>
    <w:p>
      <w:pPr>
        <w:pStyle w:val="28"/>
        <w:rPr>
          <w:rFonts w:hint="default"/>
          <w:color w:val="auto"/>
          <w:highlight w:val="none"/>
        </w:rPr>
      </w:pPr>
      <w:r>
        <w:rPr>
          <w:rFonts w:hint="eastAsia"/>
          <w:color w:val="auto"/>
          <w:highlight w:val="none"/>
        </w:rPr>
        <w:t>施設サービスについては、近隣市に大型の施設が開設されるなど、利用者の選択肢は拡大している状況です。</w:t>
      </w:r>
    </w:p>
    <w:p>
      <w:pPr>
        <w:pStyle w:val="67"/>
        <w:spacing w:before="0" w:beforeLines="0" w:beforeAutospacing="0" w:after="0" w:afterLines="0" w:afterAutospacing="0" w:line="380" w:lineRule="exact"/>
        <w:rPr>
          <w:rFonts w:hint="default" w:ascii="ＭＳ ゴシック" w:hAnsi="ＭＳ ゴシック" w:eastAsia="ＭＳ ゴシック"/>
          <w:color w:val="auto"/>
          <w:kern w:val="24"/>
          <w:sz w:val="22"/>
          <w:highlight w:val="none"/>
        </w:rPr>
      </w:pPr>
    </w:p>
    <w:p>
      <w:pPr>
        <w:pStyle w:val="30"/>
        <w:spacing w:after="76" w:afterLines="0" w:afterAutospacing="0"/>
        <w:rPr>
          <w:rFonts w:hint="default"/>
          <w:color w:val="auto"/>
          <w:highlight w:val="none"/>
        </w:rPr>
      </w:pPr>
      <w:r>
        <w:rPr>
          <w:rFonts w:hint="eastAsia"/>
          <w:color w:val="auto"/>
          <w:highlight w:val="none"/>
        </w:rPr>
        <w:t>ア　介護老人福祉施設</w:t>
      </w:r>
    </w:p>
    <w:p>
      <w:pPr>
        <w:pStyle w:val="32"/>
        <w:rPr>
          <w:rFonts w:hint="default"/>
          <w:color w:val="auto"/>
          <w:highlight w:val="none"/>
        </w:rPr>
      </w:pPr>
      <w:r>
        <w:rPr>
          <w:rFonts w:hint="eastAsia"/>
          <w:color w:val="auto"/>
          <w:highlight w:val="none"/>
        </w:rPr>
        <w:t>介護老人福祉施設（特別養護老人ホーム）については、令和５（</w:t>
      </w:r>
      <w:r>
        <w:rPr>
          <w:rFonts w:hint="eastAsia"/>
          <w:color w:val="auto"/>
          <w:highlight w:val="none"/>
        </w:rPr>
        <w:t>2023</w:t>
      </w:r>
      <w:r>
        <w:rPr>
          <w:rFonts w:hint="eastAsia"/>
          <w:color w:val="auto"/>
          <w:highlight w:val="none"/>
        </w:rPr>
        <w:t>）年４月１日現在、待機者（申込者数）が「要介護３」以上で●●●人います。この待機者のうち、在宅の高齢者が●●●人存在しており、６か月以内に入所が必要と見込まれる人が●●人います。</w:t>
      </w:r>
    </w:p>
    <w:p>
      <w:pPr>
        <w:pStyle w:val="32"/>
        <w:rPr>
          <w:rFonts w:hint="default"/>
          <w:color w:val="auto"/>
          <w:highlight w:val="none"/>
        </w:rPr>
      </w:pPr>
      <w:r>
        <w:rPr>
          <w:rFonts w:hint="eastAsia"/>
          <w:color w:val="auto"/>
          <w:highlight w:val="none"/>
        </w:rPr>
        <w:t>また、在宅生活改善調査では、現在のサービス利用では在宅生活の維持が難しくなっている人のうち、緊急で特養の入所が必要な人は●●人となっています。</w:t>
      </w:r>
    </w:p>
    <w:p>
      <w:pPr>
        <w:pStyle w:val="32"/>
        <w:rPr>
          <w:rFonts w:hint="default"/>
          <w:color w:val="auto"/>
          <w:highlight w:val="none"/>
        </w:rPr>
      </w:pPr>
      <w:r>
        <w:rPr>
          <w:rFonts w:hint="eastAsia"/>
          <w:color w:val="auto"/>
          <w:highlight w:val="none"/>
        </w:rPr>
        <w:t>近隣市の施設整備状況や介護老人福祉施設以外のサービスの整備計画も踏まえ、第９期においては、介護老人福祉施設の新設は行わず、介護老人福祉施設併設の短期入所生活介護の６床のみを転換することとします。</w:t>
      </w:r>
    </w:p>
    <w:p>
      <w:pPr>
        <w:pStyle w:val="41"/>
        <w:rPr>
          <w:rFonts w:hint="default"/>
          <w:color w:val="auto"/>
          <w:highlight w:val="none"/>
        </w:rPr>
      </w:pPr>
    </w:p>
    <w:p>
      <w:pPr>
        <w:pStyle w:val="30"/>
        <w:spacing w:after="76" w:afterLines="0" w:afterAutospacing="0"/>
        <w:rPr>
          <w:rFonts w:hint="default"/>
          <w:color w:val="auto"/>
          <w:highlight w:val="none"/>
        </w:rPr>
      </w:pPr>
      <w:r>
        <w:rPr>
          <w:rFonts w:hint="eastAsia"/>
          <w:color w:val="auto"/>
          <w:highlight w:val="none"/>
        </w:rPr>
        <w:t>イ　特定施設入居者生活介護</w:t>
      </w:r>
    </w:p>
    <w:p>
      <w:pPr>
        <w:pStyle w:val="32"/>
        <w:rPr>
          <w:rFonts w:hint="default"/>
          <w:color w:val="auto"/>
          <w:highlight w:val="none"/>
        </w:rPr>
      </w:pPr>
      <w:r>
        <w:rPr>
          <w:rFonts w:hint="eastAsia"/>
          <w:color w:val="auto"/>
          <w:highlight w:val="none"/>
        </w:rPr>
        <w:t>廿日市市内に介護付き有料老人ホームの整備が行われます。整備事業者の意向も踏まえ、特定施設入居者生活介護の指定を計画することとします。</w:t>
      </w:r>
    </w:p>
    <w:p>
      <w:pPr>
        <w:pStyle w:val="41"/>
        <w:rPr>
          <w:rFonts w:hint="default"/>
          <w:color w:val="auto"/>
          <w:highlight w:val="none"/>
        </w:rPr>
      </w:pPr>
    </w:p>
    <w:p>
      <w:pPr>
        <w:pStyle w:val="26"/>
        <w:spacing w:after="76" w:afterLines="0" w:afterAutospacing="0"/>
        <w:rPr>
          <w:rFonts w:hint="default"/>
          <w:color w:val="auto"/>
          <w:highlight w:val="none"/>
        </w:rPr>
      </w:pPr>
      <w:bookmarkStart w:id="151" w:name="_Toc152160688"/>
      <w:r>
        <w:rPr>
          <w:rFonts w:hint="eastAsia"/>
          <w:color w:val="auto"/>
          <w:highlight w:val="none"/>
        </w:rPr>
        <w:t>（２）</w:t>
      </w:r>
      <w:r>
        <w:rPr>
          <w:rFonts w:hint="eastAsia"/>
          <w:color w:val="auto"/>
          <w:highlight w:val="none"/>
        </w:rPr>
        <w:t xml:space="preserve"> </w:t>
      </w:r>
      <w:r>
        <w:rPr>
          <w:rFonts w:hint="eastAsia"/>
          <w:color w:val="auto"/>
          <w:highlight w:val="none"/>
        </w:rPr>
        <w:t>地域密着型サービス</w:t>
      </w:r>
      <w:bookmarkEnd w:id="151"/>
    </w:p>
    <w:p>
      <w:pPr>
        <w:pStyle w:val="28"/>
        <w:rPr>
          <w:rFonts w:hint="default"/>
          <w:color w:val="auto"/>
          <w:highlight w:val="none"/>
        </w:rPr>
      </w:pPr>
      <w:r>
        <w:rPr>
          <w:rFonts w:hint="eastAsia"/>
          <w:color w:val="auto"/>
          <w:highlight w:val="none"/>
        </w:rPr>
        <w:t>要介護状態になってもできるだけ住み慣れた地域で生活を継続するためには、地域密着型サービスの果たす役割は重要であり、地域包括ケアシステムを構築するためにも、地域の実情に応じた整備を行います。</w:t>
      </w:r>
    </w:p>
    <w:p>
      <w:pPr>
        <w:pStyle w:val="41"/>
        <w:rPr>
          <w:rFonts w:hint="default"/>
          <w:color w:val="auto"/>
          <w:highlight w:val="none"/>
        </w:rPr>
      </w:pPr>
    </w:p>
    <w:p>
      <w:pPr>
        <w:pStyle w:val="30"/>
        <w:spacing w:after="76" w:afterLines="0" w:afterAutospacing="0"/>
        <w:rPr>
          <w:rFonts w:hint="default"/>
          <w:color w:val="auto"/>
          <w:highlight w:val="none"/>
        </w:rPr>
      </w:pPr>
      <w:r>
        <w:rPr>
          <w:rFonts w:hint="eastAsia"/>
          <w:color w:val="auto"/>
          <w:highlight w:val="none"/>
        </w:rPr>
        <w:t>ア　認知症対応型共同生活介護（グループホーム）</w:t>
      </w:r>
    </w:p>
    <w:p>
      <w:pPr>
        <w:pStyle w:val="32"/>
        <w:rPr>
          <w:rFonts w:hint="default"/>
          <w:color w:val="auto"/>
          <w:highlight w:val="none"/>
        </w:rPr>
      </w:pPr>
      <w:r>
        <w:rPr>
          <w:rFonts w:hint="eastAsia"/>
          <w:color w:val="auto"/>
          <w:highlight w:val="none"/>
        </w:rPr>
        <w:t>在宅生活改善調査では、在宅生活の維持が難しくなっている人に必要とされる支援・サービスとして、認知症対応型共同生活介護（グループホーム）のニーズが高い状況が把握されました。</w:t>
      </w:r>
    </w:p>
    <w:p>
      <w:pPr>
        <w:pStyle w:val="32"/>
        <w:rPr>
          <w:rFonts w:hint="default"/>
          <w:color w:val="auto"/>
          <w:highlight w:val="none"/>
        </w:rPr>
      </w:pPr>
      <w:r>
        <w:rPr>
          <w:rFonts w:hint="eastAsia"/>
          <w:color w:val="auto"/>
          <w:highlight w:val="none"/>
        </w:rPr>
        <w:t>サービス展開意向調査の結果を踏まえ、事業所の移転に伴う定員増及び１事業所の整備を計画します。</w:t>
      </w:r>
    </w:p>
    <w:p>
      <w:pPr>
        <w:pStyle w:val="41"/>
        <w:rPr>
          <w:rFonts w:hint="default"/>
          <w:color w:val="auto"/>
          <w:highlight w:val="none"/>
        </w:rPr>
      </w:pPr>
    </w:p>
    <w:p>
      <w:pPr>
        <w:pStyle w:val="41"/>
        <w:rPr>
          <w:rFonts w:hint="default"/>
          <w:color w:val="auto"/>
          <w:highlight w:val="none"/>
        </w:rPr>
      </w:pPr>
    </w:p>
    <w:p>
      <w:pPr>
        <w:pStyle w:val="41"/>
        <w:rPr>
          <w:rFonts w:hint="default"/>
          <w:color w:val="auto"/>
          <w:highlight w:val="none"/>
        </w:rPr>
      </w:pPr>
    </w:p>
    <w:p>
      <w:pPr>
        <w:pStyle w:val="30"/>
        <w:spacing w:after="76" w:afterLines="0" w:afterAutospacing="0"/>
        <w:rPr>
          <w:rFonts w:hint="default"/>
          <w:color w:val="auto"/>
          <w:highlight w:val="none"/>
        </w:rPr>
      </w:pPr>
      <w:r>
        <w:rPr>
          <w:rFonts w:hint="eastAsia"/>
          <w:color w:val="auto"/>
          <w:highlight w:val="none"/>
        </w:rPr>
        <w:t>イ　小規模多機能型居宅介護</w:t>
      </w:r>
    </w:p>
    <w:p>
      <w:pPr>
        <w:pStyle w:val="32"/>
        <w:rPr>
          <w:rFonts w:hint="default"/>
          <w:color w:val="auto"/>
          <w:highlight w:val="none"/>
        </w:rPr>
      </w:pPr>
      <w:r>
        <w:rPr>
          <w:rFonts w:hint="eastAsia"/>
          <w:color w:val="auto"/>
          <w:highlight w:val="none"/>
        </w:rPr>
        <w:t>居宅要介護者の様々なニーズに対応できるよう、通い、泊まり、訪問サービスを柔軟に使い分けることのできる小規模多機能型居宅介護のニーズが高まっていくと考えられます。サービス提供体制の充実を図るため、１事業所の整備を計画します。</w:t>
      </w:r>
    </w:p>
    <w:p>
      <w:pPr>
        <w:pStyle w:val="41"/>
        <w:rPr>
          <w:rFonts w:hint="default"/>
          <w:color w:val="auto"/>
          <w:highlight w:val="none"/>
        </w:rPr>
      </w:pPr>
    </w:p>
    <w:p>
      <w:pPr>
        <w:pStyle w:val="30"/>
        <w:spacing w:after="76" w:afterLines="0" w:afterAutospacing="0"/>
        <w:rPr>
          <w:rFonts w:hint="default"/>
          <w:color w:val="auto"/>
          <w:highlight w:val="none"/>
        </w:rPr>
      </w:pPr>
      <w:r>
        <w:rPr>
          <w:rFonts w:hint="eastAsia"/>
          <w:color w:val="auto"/>
          <w:highlight w:val="none"/>
        </w:rPr>
        <w:t>ウ　看護小規模多機能型居宅介護</w:t>
      </w:r>
    </w:p>
    <w:p>
      <w:pPr>
        <w:pStyle w:val="32"/>
        <w:rPr>
          <w:rFonts w:hint="default"/>
          <w:color w:val="auto"/>
          <w:highlight w:val="none"/>
        </w:rPr>
      </w:pPr>
      <w:r>
        <w:rPr>
          <w:rFonts w:hint="eastAsia"/>
          <w:color w:val="auto"/>
          <w:highlight w:val="none"/>
        </w:rPr>
        <w:t>看護小規模多機能型居宅介護は、小規模多機能型居宅介護に「訪問看護」を組み合わせてサービス提供することで、要介護度が高く、医療的なケアを必要とする人が、住み慣れた地域で安心して生活することができるサービスです。</w:t>
      </w:r>
    </w:p>
    <w:p>
      <w:pPr>
        <w:pStyle w:val="32"/>
        <w:rPr>
          <w:rFonts w:hint="default"/>
          <w:color w:val="auto"/>
          <w:highlight w:val="none"/>
        </w:rPr>
      </w:pPr>
      <w:r>
        <w:rPr>
          <w:rFonts w:hint="eastAsia"/>
          <w:color w:val="auto"/>
          <w:highlight w:val="none"/>
        </w:rPr>
        <w:t>廿日市市では本サービスを提供する事業所が１事業所のみであるため、サービス展開意向調査の結果を踏まえ、１事業所を整備することとします。</w:t>
      </w:r>
    </w:p>
    <w:p>
      <w:pPr>
        <w:pStyle w:val="41"/>
        <w:rPr>
          <w:rFonts w:hint="default"/>
          <w:color w:val="auto"/>
          <w:highlight w:val="none"/>
        </w:rPr>
      </w:pPr>
    </w:p>
    <w:p>
      <w:pPr>
        <w:pStyle w:val="30"/>
        <w:spacing w:after="76" w:afterLines="0" w:afterAutospacing="0"/>
        <w:rPr>
          <w:rFonts w:hint="default"/>
          <w:color w:val="auto"/>
          <w:highlight w:val="none"/>
        </w:rPr>
      </w:pPr>
      <w:r>
        <w:rPr>
          <w:rFonts w:hint="eastAsia"/>
          <w:color w:val="auto"/>
          <w:highlight w:val="none"/>
        </w:rPr>
        <w:t>エ　定期巡回・随時対応型訪問介護看護</w:t>
      </w:r>
    </w:p>
    <w:p>
      <w:pPr>
        <w:pStyle w:val="32"/>
        <w:rPr>
          <w:rFonts w:hint="default"/>
          <w:color w:val="auto"/>
          <w:highlight w:val="none"/>
        </w:rPr>
      </w:pPr>
      <w:r>
        <w:rPr>
          <w:rFonts w:hint="eastAsia"/>
          <w:color w:val="auto"/>
          <w:highlight w:val="none"/>
        </w:rPr>
        <w:t>定期巡回・随時対応型訪問介護看護は、廿日市中部圏域及び大野圏域に各１事業所がありますが、サービス提供体制の充実を図るため、計画的に整備することとします。</w:t>
      </w:r>
    </w:p>
    <w:p>
      <w:pPr>
        <w:pStyle w:val="41"/>
        <w:rPr>
          <w:rFonts w:hint="default"/>
          <w:color w:val="auto"/>
          <w:highlight w:val="none"/>
          <w:shd w:val="clear" w:color="auto" w:themeFill="background1" w:themeFillTint="FF" w:themeFillShade="FF"/>
        </w:rPr>
      </w:pPr>
      <w:r>
        <w:rPr>
          <w:rFonts w:hint="default"/>
          <w:color w:val="auto"/>
          <w:highlight w:val="none"/>
          <w:shd w:val="clear" w:color="auto" w:themeFill="background1" w:themeFillTint="FF" w:themeFillShade="FF"/>
        </w:rPr>
        <w:br w:type="page"/>
      </w:r>
    </w:p>
    <w:p>
      <w:pPr>
        <w:pStyle w:val="79"/>
        <w:spacing w:before="190" w:beforeLines="0" w:beforeAutospacing="0"/>
        <w:rPr>
          <w:rFonts w:hint="default"/>
          <w:color w:val="auto"/>
          <w:highlight w:val="none"/>
        </w:rPr>
      </w:pPr>
      <w:r>
        <w:rPr>
          <w:rFonts w:hint="eastAsia"/>
          <w:color w:val="auto"/>
          <w:highlight w:val="none"/>
        </w:rPr>
        <w:t>図表　介護保険サービスの基盤整備</w:t>
      </w:r>
    </w:p>
    <w:p>
      <w:pPr>
        <w:pStyle w:val="34"/>
        <w:spacing w:line="400" w:lineRule="exact"/>
        <w:ind w:left="0" w:leftChars="0" w:firstLine="5720" w:firstLineChars="260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（単位：施設数：下段は定員数）</w:t>
      </w:r>
    </w:p>
    <w:tbl>
      <w:tblPr>
        <w:tblStyle w:val="90"/>
        <w:tblW w:w="8789" w:type="dxa"/>
        <w:tblInd w:w="279" w:type="dxa"/>
        <w:tblLayout w:type="fixed"/>
        <w:tblLook w:firstRow="1" w:lastRow="0" w:firstColumn="1" w:lastColumn="0" w:noHBand="0" w:noVBand="1" w:val="04A0"/>
      </w:tblPr>
      <w:tblGrid>
        <w:gridCol w:w="1015"/>
        <w:gridCol w:w="2670"/>
        <w:gridCol w:w="1020"/>
        <w:gridCol w:w="1021"/>
        <w:gridCol w:w="1021"/>
        <w:gridCol w:w="1021"/>
        <w:gridCol w:w="1021"/>
      </w:tblGrid>
      <w:tr>
        <w:trPr>
          <w:trHeight w:val="340" w:hRule="atLeast"/>
        </w:trPr>
        <w:tc>
          <w:tcPr>
            <w:tcW w:w="3685" w:type="dxa"/>
            <w:gridSpan w:val="2"/>
            <w:shd w:val="clear" w:color="auto" w:themeFill="accent5" w:themeFillTint="66" w:themeFillShade="FF"/>
            <w:vAlign w:val="center"/>
          </w:tcPr>
          <w:p>
            <w:pPr>
              <w:pStyle w:val="34"/>
              <w:autoSpaceDE w:val="0"/>
              <w:autoSpaceDN w:val="0"/>
              <w:spacing w:line="260" w:lineRule="exact"/>
              <w:ind w:left="-110" w:leftChars="-50" w:right="-110" w:rightChars="-5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区分</w:t>
            </w:r>
          </w:p>
        </w:tc>
        <w:tc>
          <w:tcPr>
            <w:tcW w:w="1020" w:type="dxa"/>
            <w:shd w:val="clear" w:color="auto" w:themeFill="accent5" w:themeFillTint="66" w:themeFillShade="FF"/>
            <w:vAlign w:val="center"/>
          </w:tcPr>
          <w:p>
            <w:pPr>
              <w:pStyle w:val="34"/>
              <w:autoSpaceDE w:val="0"/>
              <w:autoSpaceDN w:val="0"/>
              <w:spacing w:line="260" w:lineRule="exact"/>
              <w:ind w:left="-110" w:leftChars="-50" w:right="-110" w:rightChars="-5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第</w:t>
            </w:r>
            <w:r>
              <w:rPr>
                <w:rFonts w:hint="eastAsia" w:ascii="ＭＳ Ｐゴシック" w:hAnsi="ＭＳ Ｐゴシック" w:eastAsia="ＭＳ Ｐゴシック"/>
                <w:color w:val="auto"/>
                <w:sz w:val="20"/>
                <w:highlight w:val="none"/>
              </w:rPr>
              <w:t>8</w:t>
            </w:r>
            <w:r>
              <w:rPr>
                <w:rFonts w:hint="eastAsia" w:ascii="ＭＳ Ｐゴシック" w:hAnsi="ＭＳ Ｐゴシック" w:eastAsia="ＭＳ Ｐゴシック"/>
                <w:color w:val="auto"/>
                <w:sz w:val="20"/>
                <w:highlight w:val="none"/>
              </w:rPr>
              <w:t>期</w:t>
            </w:r>
          </w:p>
          <w:p>
            <w:pPr>
              <w:pStyle w:val="34"/>
              <w:autoSpaceDE w:val="0"/>
              <w:autoSpaceDN w:val="0"/>
              <w:spacing w:line="260" w:lineRule="exact"/>
              <w:ind w:left="-110" w:leftChars="-50" w:right="-110" w:rightChars="-5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計画末</w:t>
            </w:r>
          </w:p>
        </w:tc>
        <w:tc>
          <w:tcPr>
            <w:tcW w:w="1021" w:type="dxa"/>
            <w:shd w:val="clear" w:color="auto" w:themeFill="accent5" w:themeFillTint="66" w:themeFillShade="FF"/>
            <w:vAlign w:val="center"/>
          </w:tcPr>
          <w:p>
            <w:pPr>
              <w:pStyle w:val="34"/>
              <w:autoSpaceDE w:val="0"/>
              <w:autoSpaceDN w:val="0"/>
              <w:spacing w:line="260" w:lineRule="exact"/>
              <w:ind w:left="-110" w:leftChars="-50" w:right="-110" w:rightChars="-5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令和</w:t>
            </w:r>
            <w:r>
              <w:rPr>
                <w:rFonts w:hint="eastAsia" w:ascii="ＭＳ Ｐゴシック" w:hAnsi="ＭＳ Ｐゴシック" w:eastAsia="ＭＳ Ｐゴシック"/>
                <w:color w:val="auto"/>
                <w:sz w:val="20"/>
                <w:highlight w:val="none"/>
              </w:rPr>
              <w:t>6</w:t>
            </w:r>
            <w:r>
              <w:rPr>
                <w:rFonts w:hint="eastAsia" w:ascii="ＭＳ Ｐゴシック" w:hAnsi="ＭＳ Ｐゴシック" w:eastAsia="ＭＳ Ｐゴシック"/>
                <w:color w:val="auto"/>
                <w:sz w:val="20"/>
                <w:highlight w:val="none"/>
              </w:rPr>
              <w:t>年度</w:t>
            </w:r>
          </w:p>
          <w:p>
            <w:pPr>
              <w:pStyle w:val="34"/>
              <w:autoSpaceDE w:val="0"/>
              <w:autoSpaceDN w:val="0"/>
              <w:spacing w:line="260" w:lineRule="exact"/>
              <w:ind w:left="-110" w:leftChars="-50" w:right="-110" w:rightChars="-5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2024</w:t>
            </w:r>
            <w:r>
              <w:rPr>
                <w:rFonts w:hint="eastAsia" w:ascii="ＭＳ Ｐゴシック" w:hAnsi="ＭＳ Ｐゴシック" w:eastAsia="ＭＳ Ｐゴシック"/>
                <w:color w:val="auto"/>
                <w:sz w:val="20"/>
                <w:highlight w:val="none"/>
              </w:rPr>
              <w:t>年度）</w:t>
            </w:r>
          </w:p>
        </w:tc>
        <w:tc>
          <w:tcPr>
            <w:tcW w:w="1021" w:type="dxa"/>
            <w:shd w:val="clear" w:color="auto" w:themeFill="accent5" w:themeFillTint="66" w:themeFillShade="FF"/>
            <w:vAlign w:val="center"/>
          </w:tcPr>
          <w:p>
            <w:pPr>
              <w:pStyle w:val="34"/>
              <w:autoSpaceDE w:val="0"/>
              <w:autoSpaceDN w:val="0"/>
              <w:spacing w:line="260" w:lineRule="exact"/>
              <w:ind w:left="-110" w:leftChars="-50" w:right="-110" w:rightChars="-5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令和</w:t>
            </w:r>
            <w:r>
              <w:rPr>
                <w:rFonts w:hint="eastAsia" w:ascii="ＭＳ Ｐゴシック" w:hAnsi="ＭＳ Ｐゴシック" w:eastAsia="ＭＳ Ｐゴシック"/>
                <w:color w:val="auto"/>
                <w:sz w:val="20"/>
                <w:highlight w:val="none"/>
              </w:rPr>
              <w:t>7</w:t>
            </w:r>
            <w:r>
              <w:rPr>
                <w:rFonts w:hint="eastAsia" w:ascii="ＭＳ Ｐゴシック" w:hAnsi="ＭＳ Ｐゴシック" w:eastAsia="ＭＳ Ｐゴシック"/>
                <w:color w:val="auto"/>
                <w:sz w:val="20"/>
                <w:highlight w:val="none"/>
              </w:rPr>
              <w:t>年度</w:t>
            </w:r>
          </w:p>
          <w:p>
            <w:pPr>
              <w:pStyle w:val="34"/>
              <w:autoSpaceDE w:val="0"/>
              <w:autoSpaceDN w:val="0"/>
              <w:spacing w:line="260" w:lineRule="exact"/>
              <w:ind w:left="-110" w:leftChars="-50" w:right="-110" w:rightChars="-5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2025</w:t>
            </w:r>
            <w:r>
              <w:rPr>
                <w:rFonts w:hint="eastAsia" w:ascii="ＭＳ Ｐゴシック" w:hAnsi="ＭＳ Ｐゴシック" w:eastAsia="ＭＳ Ｐゴシック"/>
                <w:color w:val="auto"/>
                <w:sz w:val="20"/>
                <w:highlight w:val="none"/>
              </w:rPr>
              <w:t>年度）</w:t>
            </w:r>
          </w:p>
        </w:tc>
        <w:tc>
          <w:tcPr>
            <w:tcW w:w="1021" w:type="dxa"/>
            <w:shd w:val="clear" w:color="auto" w:themeFill="accent5" w:themeFillTint="66" w:themeFillShade="FF"/>
            <w:vAlign w:val="center"/>
          </w:tcPr>
          <w:p>
            <w:pPr>
              <w:pStyle w:val="34"/>
              <w:autoSpaceDE w:val="0"/>
              <w:autoSpaceDN w:val="0"/>
              <w:spacing w:line="260" w:lineRule="exact"/>
              <w:ind w:left="-110" w:leftChars="-50" w:right="-110" w:rightChars="-5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令和</w:t>
            </w:r>
            <w:r>
              <w:rPr>
                <w:rFonts w:hint="eastAsia" w:ascii="ＭＳ Ｐゴシック" w:hAnsi="ＭＳ Ｐゴシック" w:eastAsia="ＭＳ Ｐゴシック"/>
                <w:color w:val="auto"/>
                <w:sz w:val="20"/>
                <w:highlight w:val="none"/>
              </w:rPr>
              <w:t>8</w:t>
            </w:r>
            <w:r>
              <w:rPr>
                <w:rFonts w:hint="eastAsia" w:ascii="ＭＳ Ｐゴシック" w:hAnsi="ＭＳ Ｐゴシック" w:eastAsia="ＭＳ Ｐゴシック"/>
                <w:color w:val="auto"/>
                <w:sz w:val="20"/>
                <w:highlight w:val="none"/>
              </w:rPr>
              <w:t>年度</w:t>
            </w:r>
          </w:p>
          <w:p>
            <w:pPr>
              <w:pStyle w:val="34"/>
              <w:autoSpaceDE w:val="0"/>
              <w:autoSpaceDN w:val="0"/>
              <w:spacing w:line="260" w:lineRule="exact"/>
              <w:ind w:left="-110" w:leftChars="-50" w:right="-110" w:rightChars="-5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2026</w:t>
            </w:r>
            <w:r>
              <w:rPr>
                <w:rFonts w:hint="eastAsia" w:ascii="ＭＳ Ｐゴシック" w:hAnsi="ＭＳ Ｐゴシック" w:eastAsia="ＭＳ Ｐゴシック"/>
                <w:color w:val="auto"/>
                <w:sz w:val="20"/>
                <w:highlight w:val="none"/>
              </w:rPr>
              <w:t>年度）</w:t>
            </w:r>
          </w:p>
        </w:tc>
        <w:tc>
          <w:tcPr>
            <w:tcW w:w="1021" w:type="dxa"/>
            <w:shd w:val="clear" w:color="auto" w:themeFill="accent5" w:themeFillTint="66" w:themeFillShade="FF"/>
            <w:vAlign w:val="center"/>
          </w:tcPr>
          <w:p>
            <w:pPr>
              <w:pStyle w:val="34"/>
              <w:autoSpaceDE w:val="0"/>
              <w:autoSpaceDN w:val="0"/>
              <w:spacing w:line="260" w:lineRule="exact"/>
              <w:ind w:left="-110" w:leftChars="-50" w:right="-110" w:rightChars="-5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第９期</w:t>
            </w:r>
          </w:p>
          <w:p>
            <w:pPr>
              <w:pStyle w:val="34"/>
              <w:autoSpaceDE w:val="0"/>
              <w:autoSpaceDN w:val="0"/>
              <w:spacing w:line="260" w:lineRule="exact"/>
              <w:ind w:left="-110" w:leftChars="-50" w:right="-110" w:rightChars="-5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計画末</w:t>
            </w:r>
          </w:p>
        </w:tc>
      </w:tr>
      <w:tr>
        <w:trPr>
          <w:trHeight w:val="340" w:hRule="atLeast"/>
        </w:trPr>
        <w:tc>
          <w:tcPr>
            <w:tcW w:w="1015" w:type="dxa"/>
            <w:vMerge w:val="restart"/>
            <w:shd w:val="clear" w:color="auto" w:themeFill="accent5" w:themeFillTint="66" w:themeFillShade="FF"/>
            <w:vAlign w:val="center"/>
          </w:tcPr>
          <w:p>
            <w:pPr>
              <w:pStyle w:val="34"/>
              <w:autoSpaceDE w:val="0"/>
              <w:autoSpaceDN w:val="0"/>
              <w:spacing w:line="260" w:lineRule="exact"/>
              <w:ind w:left="0" w:leftChars="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広域型</w:t>
            </w:r>
          </w:p>
        </w:tc>
        <w:tc>
          <w:tcPr>
            <w:tcW w:w="2670" w:type="dxa"/>
            <w:vAlign w:val="center"/>
          </w:tcPr>
          <w:p>
            <w:pPr>
              <w:pStyle w:val="34"/>
              <w:autoSpaceDE w:val="0"/>
              <w:autoSpaceDN w:val="0"/>
              <w:spacing w:line="260" w:lineRule="exact"/>
              <w:ind w:left="0" w:leftChars="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介護老人福祉施設</w:t>
            </w:r>
          </w:p>
        </w:tc>
        <w:tc>
          <w:tcPr>
            <w:tcW w:w="1020"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7</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4</w:t>
            </w:r>
            <w:r>
              <w:rPr>
                <w:rFonts w:hint="default" w:ascii="ＭＳ Ｐゴシック" w:hAnsi="ＭＳ Ｐゴシック" w:eastAsia="ＭＳ Ｐゴシック"/>
                <w:color w:val="auto"/>
                <w:sz w:val="20"/>
                <w:highlight w:val="none"/>
              </w:rPr>
              <w:t>08</w:t>
            </w:r>
            <w:r>
              <w:rPr>
                <w:rFonts w:hint="eastAsia" w:ascii="ＭＳ Ｐゴシック" w:hAnsi="ＭＳ Ｐゴシック" w:eastAsia="ＭＳ Ｐゴシック"/>
                <w:color w:val="auto"/>
                <w:sz w:val="20"/>
                <w:highlight w:val="none"/>
              </w:rPr>
              <w:t>人）</w:t>
            </w: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6</w:t>
            </w:r>
            <w:r>
              <w:rPr>
                <w:rFonts w:hint="eastAsia" w:ascii="ＭＳ Ｐゴシック" w:hAnsi="ＭＳ Ｐゴシック" w:eastAsia="ＭＳ Ｐゴシック"/>
                <w:color w:val="auto"/>
                <w:sz w:val="20"/>
                <w:highlight w:val="none"/>
              </w:rPr>
              <w:t>人）</w:t>
            </w: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7</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4</w:t>
            </w:r>
            <w:r>
              <w:rPr>
                <w:rFonts w:hint="default" w:ascii="ＭＳ Ｐゴシック" w:hAnsi="ＭＳ Ｐゴシック" w:eastAsia="ＭＳ Ｐゴシック"/>
                <w:color w:val="auto"/>
                <w:sz w:val="20"/>
                <w:highlight w:val="none"/>
              </w:rPr>
              <w:t>14</w:t>
            </w:r>
            <w:r>
              <w:rPr>
                <w:rFonts w:hint="eastAsia" w:ascii="ＭＳ Ｐゴシック" w:hAnsi="ＭＳ Ｐゴシック" w:eastAsia="ＭＳ Ｐゴシック"/>
                <w:color w:val="auto"/>
                <w:sz w:val="20"/>
                <w:highlight w:val="none"/>
              </w:rPr>
              <w:t>人）</w:t>
            </w:r>
          </w:p>
        </w:tc>
      </w:tr>
      <w:tr>
        <w:trPr>
          <w:trHeight w:val="340" w:hRule="atLeast"/>
        </w:trPr>
        <w:tc>
          <w:tcPr>
            <w:tcW w:w="1015" w:type="dxa"/>
            <w:vMerge w:val="continue"/>
            <w:shd w:val="clear" w:color="auto" w:themeFill="accent5" w:themeFillTint="66" w:themeFillShade="FF"/>
            <w:vAlign w:val="center"/>
          </w:tcPr>
          <w:p>
            <w:pPr>
              <w:pStyle w:val="34"/>
              <w:autoSpaceDE w:val="0"/>
              <w:autoSpaceDN w:val="0"/>
              <w:spacing w:line="260" w:lineRule="exact"/>
              <w:ind w:left="0" w:leftChars="0"/>
              <w:rPr>
                <w:rFonts w:hint="default" w:ascii="ＭＳ Ｐゴシック" w:hAnsi="ＭＳ Ｐゴシック" w:eastAsia="ＭＳ Ｐゴシック"/>
                <w:color w:val="000000" w:themeColor="text1"/>
                <w:sz w:val="20"/>
              </w:rPr>
            </w:pPr>
          </w:p>
        </w:tc>
        <w:tc>
          <w:tcPr>
            <w:tcW w:w="2670" w:type="dxa"/>
            <w:vAlign w:val="center"/>
          </w:tcPr>
          <w:p>
            <w:pPr>
              <w:pStyle w:val="34"/>
              <w:autoSpaceDE w:val="0"/>
              <w:autoSpaceDN w:val="0"/>
              <w:spacing w:line="260" w:lineRule="exact"/>
              <w:ind w:left="0" w:leftChars="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介護老人保健施設</w:t>
            </w:r>
          </w:p>
        </w:tc>
        <w:tc>
          <w:tcPr>
            <w:tcW w:w="1020"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4</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4</w:t>
            </w:r>
            <w:r>
              <w:rPr>
                <w:rFonts w:hint="default" w:ascii="ＭＳ Ｐゴシック" w:hAnsi="ＭＳ Ｐゴシック" w:eastAsia="ＭＳ Ｐゴシック"/>
                <w:color w:val="auto"/>
                <w:sz w:val="20"/>
                <w:highlight w:val="none"/>
              </w:rPr>
              <w:t>00</w:t>
            </w:r>
            <w:r>
              <w:rPr>
                <w:rFonts w:hint="eastAsia" w:ascii="ＭＳ Ｐゴシック" w:hAnsi="ＭＳ Ｐゴシック" w:eastAsia="ＭＳ Ｐゴシック"/>
                <w:color w:val="auto"/>
                <w:sz w:val="20"/>
                <w:highlight w:val="none"/>
              </w:rPr>
              <w:t>人）</w:t>
            </w: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4</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4</w:t>
            </w:r>
            <w:r>
              <w:rPr>
                <w:rFonts w:hint="default" w:ascii="ＭＳ Ｐゴシック" w:hAnsi="ＭＳ Ｐゴシック" w:eastAsia="ＭＳ Ｐゴシック"/>
                <w:color w:val="auto"/>
                <w:sz w:val="20"/>
                <w:highlight w:val="none"/>
              </w:rPr>
              <w:t>00</w:t>
            </w:r>
            <w:r>
              <w:rPr>
                <w:rFonts w:hint="eastAsia" w:ascii="ＭＳ Ｐゴシック" w:hAnsi="ＭＳ Ｐゴシック" w:eastAsia="ＭＳ Ｐゴシック"/>
                <w:color w:val="auto"/>
                <w:sz w:val="20"/>
                <w:highlight w:val="none"/>
              </w:rPr>
              <w:t>人）</w:t>
            </w:r>
          </w:p>
        </w:tc>
      </w:tr>
      <w:tr>
        <w:trPr>
          <w:trHeight w:val="340" w:hRule="atLeast"/>
        </w:trPr>
        <w:tc>
          <w:tcPr>
            <w:tcW w:w="1015" w:type="dxa"/>
            <w:vMerge w:val="continue"/>
            <w:shd w:val="clear" w:color="auto" w:themeFill="accent5" w:themeFillTint="66" w:themeFillShade="FF"/>
            <w:vAlign w:val="center"/>
          </w:tcPr>
          <w:p>
            <w:pPr>
              <w:pStyle w:val="34"/>
              <w:autoSpaceDE w:val="0"/>
              <w:autoSpaceDN w:val="0"/>
              <w:spacing w:line="260" w:lineRule="exact"/>
              <w:ind w:left="0" w:leftChars="0"/>
              <w:rPr>
                <w:rFonts w:hint="default" w:ascii="ＭＳ Ｐゴシック" w:hAnsi="ＭＳ Ｐゴシック" w:eastAsia="ＭＳ Ｐゴシック"/>
                <w:color w:val="000000" w:themeColor="text1"/>
                <w:sz w:val="20"/>
              </w:rPr>
            </w:pPr>
          </w:p>
        </w:tc>
        <w:tc>
          <w:tcPr>
            <w:tcW w:w="2670" w:type="dxa"/>
            <w:vAlign w:val="center"/>
          </w:tcPr>
          <w:p>
            <w:pPr>
              <w:pStyle w:val="34"/>
              <w:autoSpaceDE w:val="0"/>
              <w:autoSpaceDN w:val="0"/>
              <w:spacing w:line="260" w:lineRule="exact"/>
              <w:ind w:left="0" w:leftChars="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介護医療院</w:t>
            </w:r>
          </w:p>
        </w:tc>
        <w:tc>
          <w:tcPr>
            <w:tcW w:w="1020"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1</w:t>
            </w:r>
            <w:r>
              <w:rPr>
                <w:rFonts w:hint="default" w:ascii="ＭＳ Ｐゴシック" w:hAnsi="ＭＳ Ｐゴシック" w:eastAsia="ＭＳ Ｐゴシック"/>
                <w:color w:val="auto"/>
                <w:sz w:val="20"/>
                <w:highlight w:val="none"/>
              </w:rPr>
              <w:t>11</w:t>
            </w:r>
            <w:r>
              <w:rPr>
                <w:rFonts w:hint="eastAsia" w:ascii="ＭＳ Ｐゴシック" w:hAnsi="ＭＳ Ｐゴシック" w:eastAsia="ＭＳ Ｐゴシック"/>
                <w:color w:val="auto"/>
                <w:sz w:val="20"/>
                <w:highlight w:val="none"/>
              </w:rPr>
              <w:t>人）</w:t>
            </w: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1</w:t>
            </w:r>
            <w:r>
              <w:rPr>
                <w:rFonts w:hint="default" w:ascii="ＭＳ Ｐゴシック" w:hAnsi="ＭＳ Ｐゴシック" w:eastAsia="ＭＳ Ｐゴシック"/>
                <w:color w:val="auto"/>
                <w:sz w:val="20"/>
                <w:highlight w:val="none"/>
              </w:rPr>
              <w:t>11</w:t>
            </w:r>
            <w:r>
              <w:rPr>
                <w:rFonts w:hint="eastAsia" w:ascii="ＭＳ Ｐゴシック" w:hAnsi="ＭＳ Ｐゴシック" w:eastAsia="ＭＳ Ｐゴシック"/>
                <w:color w:val="auto"/>
                <w:sz w:val="20"/>
                <w:highlight w:val="none"/>
              </w:rPr>
              <w:t>人）</w:t>
            </w:r>
          </w:p>
        </w:tc>
      </w:tr>
      <w:tr>
        <w:trPr>
          <w:trHeight w:val="340" w:hRule="atLeast"/>
        </w:trPr>
        <w:tc>
          <w:tcPr>
            <w:tcW w:w="1015" w:type="dxa"/>
            <w:vMerge w:val="continue"/>
            <w:shd w:val="clear" w:color="auto" w:themeFill="accent5" w:themeFillTint="66" w:themeFillShade="FF"/>
            <w:vAlign w:val="center"/>
          </w:tcPr>
          <w:p>
            <w:pPr>
              <w:pStyle w:val="34"/>
              <w:autoSpaceDE w:val="0"/>
              <w:autoSpaceDN w:val="0"/>
              <w:spacing w:line="260" w:lineRule="exact"/>
              <w:ind w:left="0" w:leftChars="0"/>
              <w:rPr>
                <w:rFonts w:hint="default" w:ascii="ＭＳ Ｐゴシック" w:hAnsi="ＭＳ Ｐゴシック" w:eastAsia="ＭＳ Ｐゴシック"/>
                <w:color w:val="000000" w:themeColor="text1"/>
                <w:sz w:val="20"/>
              </w:rPr>
            </w:pPr>
          </w:p>
        </w:tc>
        <w:tc>
          <w:tcPr>
            <w:tcW w:w="2670" w:type="dxa"/>
            <w:vAlign w:val="center"/>
          </w:tcPr>
          <w:p>
            <w:pPr>
              <w:pStyle w:val="34"/>
              <w:autoSpaceDE w:val="0"/>
              <w:autoSpaceDN w:val="0"/>
              <w:spacing w:line="260" w:lineRule="exact"/>
              <w:ind w:left="0" w:leftChars="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介護療養型医療施設</w:t>
            </w:r>
          </w:p>
        </w:tc>
        <w:tc>
          <w:tcPr>
            <w:tcW w:w="1020"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0</w:t>
            </w:r>
            <w:r>
              <w:rPr>
                <w:rFonts w:hint="eastAsia" w:ascii="ＭＳ Ｐゴシック" w:hAnsi="ＭＳ Ｐゴシック" w:eastAsia="ＭＳ Ｐゴシック"/>
                <w:color w:val="auto"/>
                <w:sz w:val="20"/>
                <w:highlight w:val="none"/>
              </w:rPr>
              <w:t>人）</w:t>
            </w: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0</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0</w:t>
            </w:r>
            <w:r>
              <w:rPr>
                <w:rFonts w:hint="eastAsia" w:ascii="ＭＳ Ｐゴシック" w:hAnsi="ＭＳ Ｐゴシック" w:eastAsia="ＭＳ Ｐゴシック"/>
                <w:color w:val="auto"/>
                <w:sz w:val="20"/>
                <w:highlight w:val="none"/>
              </w:rPr>
              <w:t>人）</w:t>
            </w:r>
          </w:p>
        </w:tc>
      </w:tr>
      <w:tr>
        <w:trPr>
          <w:trHeight w:val="340" w:hRule="atLeast"/>
        </w:trPr>
        <w:tc>
          <w:tcPr>
            <w:tcW w:w="1015" w:type="dxa"/>
            <w:vMerge w:val="continue"/>
            <w:shd w:val="clear" w:color="auto" w:themeFill="accent5" w:themeFillTint="66" w:themeFillShade="FF"/>
            <w:vAlign w:val="center"/>
          </w:tcPr>
          <w:p>
            <w:pPr>
              <w:pStyle w:val="34"/>
              <w:autoSpaceDE w:val="0"/>
              <w:autoSpaceDN w:val="0"/>
              <w:spacing w:line="260" w:lineRule="exact"/>
              <w:ind w:left="0" w:leftChars="0"/>
              <w:rPr>
                <w:rFonts w:hint="default" w:ascii="ＭＳ Ｐゴシック" w:hAnsi="ＭＳ Ｐゴシック" w:eastAsia="ＭＳ Ｐゴシック"/>
                <w:color w:val="000000" w:themeColor="text1"/>
                <w:sz w:val="20"/>
              </w:rPr>
            </w:pPr>
          </w:p>
        </w:tc>
        <w:tc>
          <w:tcPr>
            <w:tcW w:w="2670" w:type="dxa"/>
            <w:vAlign w:val="center"/>
          </w:tcPr>
          <w:p>
            <w:pPr>
              <w:pStyle w:val="34"/>
              <w:autoSpaceDE w:val="0"/>
              <w:autoSpaceDN w:val="0"/>
              <w:spacing w:line="260" w:lineRule="exact"/>
              <w:ind w:left="0" w:leftChars="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特定施設入居者生活介護</w:t>
            </w:r>
          </w:p>
        </w:tc>
        <w:tc>
          <w:tcPr>
            <w:tcW w:w="1020"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5</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3</w:t>
            </w:r>
            <w:r>
              <w:rPr>
                <w:rFonts w:hint="default" w:ascii="ＭＳ Ｐゴシック" w:hAnsi="ＭＳ Ｐゴシック" w:eastAsia="ＭＳ Ｐゴシック"/>
                <w:color w:val="auto"/>
                <w:sz w:val="20"/>
                <w:highlight w:val="none"/>
              </w:rPr>
              <w:t>17</w:t>
            </w:r>
            <w:r>
              <w:rPr>
                <w:rFonts w:hint="eastAsia" w:ascii="ＭＳ Ｐゴシック" w:hAnsi="ＭＳ Ｐゴシック" w:eastAsia="ＭＳ Ｐゴシック"/>
                <w:color w:val="auto"/>
                <w:sz w:val="20"/>
                <w:highlight w:val="none"/>
              </w:rPr>
              <w:t>人）</w:t>
            </w: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4</w:t>
            </w:r>
            <w:r>
              <w:rPr>
                <w:rFonts w:hint="default" w:ascii="ＭＳ Ｐゴシック" w:hAnsi="ＭＳ Ｐゴシック" w:eastAsia="ＭＳ Ｐゴシック"/>
                <w:color w:val="auto"/>
                <w:sz w:val="20"/>
                <w:highlight w:val="none"/>
              </w:rPr>
              <w:t>4</w:t>
            </w:r>
            <w:r>
              <w:rPr>
                <w:rFonts w:hint="eastAsia" w:ascii="ＭＳ Ｐゴシック" w:hAnsi="ＭＳ Ｐゴシック" w:eastAsia="ＭＳ Ｐゴシック"/>
                <w:color w:val="auto"/>
                <w:sz w:val="20"/>
                <w:highlight w:val="none"/>
              </w:rPr>
              <w:t>人）</w:t>
            </w: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6</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3</w:t>
            </w:r>
            <w:r>
              <w:rPr>
                <w:rFonts w:hint="default" w:ascii="ＭＳ Ｐゴシック" w:hAnsi="ＭＳ Ｐゴシック" w:eastAsia="ＭＳ Ｐゴシック"/>
                <w:color w:val="auto"/>
                <w:sz w:val="20"/>
                <w:highlight w:val="none"/>
              </w:rPr>
              <w:t>61</w:t>
            </w:r>
            <w:r>
              <w:rPr>
                <w:rFonts w:hint="eastAsia" w:ascii="ＭＳ Ｐゴシック" w:hAnsi="ＭＳ Ｐゴシック" w:eastAsia="ＭＳ Ｐゴシック"/>
                <w:color w:val="auto"/>
                <w:sz w:val="20"/>
                <w:highlight w:val="none"/>
              </w:rPr>
              <w:t>人）</w:t>
            </w:r>
          </w:p>
        </w:tc>
      </w:tr>
      <w:tr>
        <w:trPr>
          <w:trHeight w:val="340" w:hRule="atLeast"/>
        </w:trPr>
        <w:tc>
          <w:tcPr>
            <w:tcW w:w="1015" w:type="dxa"/>
            <w:vMerge w:val="restart"/>
            <w:shd w:val="clear" w:color="auto" w:themeFill="accent5" w:themeFillTint="66" w:themeFillShade="FF"/>
            <w:vAlign w:val="center"/>
          </w:tcPr>
          <w:p>
            <w:pPr>
              <w:pStyle w:val="34"/>
              <w:autoSpaceDE w:val="0"/>
              <w:autoSpaceDN w:val="0"/>
              <w:spacing w:line="260" w:lineRule="exact"/>
              <w:ind w:left="0" w:leftChars="0"/>
              <w:rPr>
                <w:rFonts w:hint="default" w:ascii="ＭＳ Ｐゴシック" w:hAnsi="ＭＳ Ｐゴシック" w:eastAsia="ＭＳ Ｐゴシック"/>
                <w:color w:val="auto"/>
                <w:w w:val="80"/>
                <w:sz w:val="20"/>
                <w:highlight w:val="none"/>
              </w:rPr>
            </w:pPr>
            <w:r>
              <w:rPr>
                <w:rFonts w:hint="eastAsia" w:ascii="ＭＳ Ｐゴシック" w:hAnsi="ＭＳ Ｐゴシック" w:eastAsia="ＭＳ Ｐゴシック"/>
                <w:color w:val="auto"/>
                <w:w w:val="80"/>
                <w:sz w:val="20"/>
                <w:highlight w:val="none"/>
              </w:rPr>
              <w:t>地域密着型</w:t>
            </w:r>
          </w:p>
        </w:tc>
        <w:tc>
          <w:tcPr>
            <w:tcW w:w="2670" w:type="dxa"/>
            <w:vAlign w:val="center"/>
          </w:tcPr>
          <w:p>
            <w:pPr>
              <w:pStyle w:val="34"/>
              <w:autoSpaceDE w:val="0"/>
              <w:autoSpaceDN w:val="0"/>
              <w:spacing w:line="260" w:lineRule="exact"/>
              <w:ind w:left="0" w:leftChars="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介護老人福祉施設</w:t>
            </w:r>
          </w:p>
        </w:tc>
        <w:tc>
          <w:tcPr>
            <w:tcW w:w="1020"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5</w:t>
            </w:r>
            <w:r>
              <w:rPr>
                <w:rFonts w:hint="default" w:ascii="ＭＳ Ｐゴシック" w:hAnsi="ＭＳ Ｐゴシック" w:eastAsia="ＭＳ Ｐゴシック"/>
                <w:color w:val="auto"/>
                <w:sz w:val="20"/>
                <w:highlight w:val="none"/>
              </w:rPr>
              <w:t>7</w:t>
            </w:r>
            <w:r>
              <w:rPr>
                <w:rFonts w:hint="eastAsia" w:ascii="ＭＳ Ｐゴシック" w:hAnsi="ＭＳ Ｐゴシック" w:eastAsia="ＭＳ Ｐゴシック"/>
                <w:color w:val="auto"/>
                <w:sz w:val="20"/>
                <w:highlight w:val="none"/>
              </w:rPr>
              <w:t>人）</w:t>
            </w: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2</w:t>
            </w:r>
            <w:r>
              <w:rPr>
                <w:rFonts w:hint="default" w:ascii="ＭＳ Ｐゴシック" w:hAnsi="ＭＳ Ｐゴシック" w:eastAsia="ＭＳ Ｐゴシック"/>
                <w:color w:val="auto"/>
                <w:sz w:val="20"/>
                <w:highlight w:val="none"/>
              </w:rPr>
              <w:t>9</w:t>
            </w:r>
            <w:r>
              <w:rPr>
                <w:rFonts w:hint="eastAsia" w:ascii="ＭＳ Ｐゴシック" w:hAnsi="ＭＳ Ｐゴシック" w:eastAsia="ＭＳ Ｐゴシック"/>
                <w:color w:val="auto"/>
                <w:sz w:val="20"/>
                <w:highlight w:val="none"/>
              </w:rPr>
              <w:t>人）</w:t>
            </w: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3</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8</w:t>
            </w:r>
            <w:r>
              <w:rPr>
                <w:rFonts w:hint="default" w:ascii="ＭＳ Ｐゴシック" w:hAnsi="ＭＳ Ｐゴシック" w:eastAsia="ＭＳ Ｐゴシック"/>
                <w:color w:val="auto"/>
                <w:sz w:val="20"/>
                <w:highlight w:val="none"/>
              </w:rPr>
              <w:t>6</w:t>
            </w:r>
            <w:r>
              <w:rPr>
                <w:rFonts w:hint="eastAsia" w:ascii="ＭＳ Ｐゴシック" w:hAnsi="ＭＳ Ｐゴシック" w:eastAsia="ＭＳ Ｐゴシック"/>
                <w:color w:val="auto"/>
                <w:sz w:val="20"/>
                <w:highlight w:val="none"/>
              </w:rPr>
              <w:t>人）</w:t>
            </w:r>
          </w:p>
        </w:tc>
      </w:tr>
      <w:tr>
        <w:trPr>
          <w:trHeight w:val="340" w:hRule="atLeast"/>
        </w:trPr>
        <w:tc>
          <w:tcPr>
            <w:tcW w:w="1015" w:type="dxa"/>
            <w:vMerge w:val="continue"/>
            <w:shd w:val="clear" w:color="auto" w:themeFill="accent5" w:themeFillTint="66" w:themeFillShade="FF"/>
            <w:vAlign w:val="center"/>
          </w:tcPr>
          <w:p>
            <w:pPr>
              <w:pStyle w:val="34"/>
              <w:autoSpaceDE w:val="0"/>
              <w:autoSpaceDN w:val="0"/>
              <w:spacing w:line="260" w:lineRule="exact"/>
              <w:ind w:left="0" w:leftChars="0"/>
              <w:rPr>
                <w:rFonts w:hint="default" w:ascii="ＭＳ Ｐゴシック" w:hAnsi="ＭＳ Ｐゴシック" w:eastAsia="ＭＳ Ｐゴシック"/>
                <w:color w:val="000000" w:themeColor="text1"/>
                <w:sz w:val="20"/>
              </w:rPr>
            </w:pPr>
          </w:p>
        </w:tc>
        <w:tc>
          <w:tcPr>
            <w:tcW w:w="2670" w:type="dxa"/>
            <w:vAlign w:val="center"/>
          </w:tcPr>
          <w:p>
            <w:pPr>
              <w:pStyle w:val="34"/>
              <w:autoSpaceDE w:val="0"/>
              <w:autoSpaceDN w:val="0"/>
              <w:spacing w:line="260" w:lineRule="exact"/>
              <w:ind w:left="0" w:leftChars="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認知症対応型共同生活介護</w:t>
            </w:r>
          </w:p>
          <w:p>
            <w:pPr>
              <w:pStyle w:val="34"/>
              <w:autoSpaceDE w:val="0"/>
              <w:autoSpaceDN w:val="0"/>
              <w:spacing w:line="260" w:lineRule="exact"/>
              <w:ind w:left="0" w:leftChars="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（グループホーム）</w:t>
            </w:r>
          </w:p>
        </w:tc>
        <w:tc>
          <w:tcPr>
            <w:tcW w:w="1020"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r>
              <w:rPr>
                <w:rFonts w:hint="default" w:ascii="ＭＳ Ｐゴシック" w:hAnsi="ＭＳ Ｐゴシック" w:eastAsia="ＭＳ Ｐゴシック"/>
                <w:color w:val="auto"/>
                <w:sz w:val="20"/>
                <w:highlight w:val="none"/>
              </w:rPr>
              <w:t>1</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1</w:t>
            </w:r>
            <w:r>
              <w:rPr>
                <w:rFonts w:hint="default" w:ascii="ＭＳ Ｐゴシック" w:hAnsi="ＭＳ Ｐゴシック" w:eastAsia="ＭＳ Ｐゴシック"/>
                <w:color w:val="auto"/>
                <w:sz w:val="20"/>
                <w:highlight w:val="none"/>
              </w:rPr>
              <w:t>89</w:t>
            </w:r>
            <w:r>
              <w:rPr>
                <w:rFonts w:hint="eastAsia" w:ascii="ＭＳ Ｐゴシック" w:hAnsi="ＭＳ Ｐゴシック" w:eastAsia="ＭＳ Ｐゴシック"/>
                <w:color w:val="auto"/>
                <w:sz w:val="20"/>
                <w:highlight w:val="none"/>
              </w:rPr>
              <w:t>人）</w:t>
            </w: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9</w:t>
            </w:r>
            <w:r>
              <w:rPr>
                <w:rFonts w:hint="eastAsia" w:ascii="ＭＳ Ｐゴシック" w:hAnsi="ＭＳ Ｐゴシック" w:eastAsia="ＭＳ Ｐゴシック"/>
                <w:color w:val="auto"/>
                <w:sz w:val="20"/>
                <w:highlight w:val="none"/>
              </w:rPr>
              <w:t>人）</w:t>
            </w: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default" w:ascii="ＭＳ Ｐゴシック" w:hAnsi="ＭＳ Ｐゴシック" w:eastAsia="ＭＳ Ｐゴシック"/>
                <w:color w:val="auto"/>
                <w:sz w:val="20"/>
                <w:highlight w:val="none"/>
              </w:rPr>
              <w:t>18</w:t>
            </w:r>
            <w:r>
              <w:rPr>
                <w:rFonts w:hint="eastAsia" w:ascii="ＭＳ Ｐゴシック" w:hAnsi="ＭＳ Ｐゴシック" w:eastAsia="ＭＳ Ｐゴシック"/>
                <w:color w:val="auto"/>
                <w:sz w:val="20"/>
                <w:highlight w:val="none"/>
              </w:rPr>
              <w:t>人）</w:t>
            </w: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r>
              <w:rPr>
                <w:rFonts w:hint="default" w:ascii="ＭＳ Ｐゴシック" w:hAnsi="ＭＳ Ｐゴシック" w:eastAsia="ＭＳ Ｐゴシック"/>
                <w:color w:val="auto"/>
                <w:sz w:val="20"/>
                <w:highlight w:val="none"/>
              </w:rPr>
              <w:t>2</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2</w:t>
            </w:r>
            <w:r>
              <w:rPr>
                <w:rFonts w:hint="default" w:ascii="ＭＳ Ｐゴシック" w:hAnsi="ＭＳ Ｐゴシック" w:eastAsia="ＭＳ Ｐゴシック"/>
                <w:color w:val="auto"/>
                <w:sz w:val="20"/>
                <w:highlight w:val="none"/>
              </w:rPr>
              <w:t>16</w:t>
            </w:r>
            <w:r>
              <w:rPr>
                <w:rFonts w:hint="eastAsia" w:ascii="ＭＳ Ｐゴシック" w:hAnsi="ＭＳ Ｐゴシック" w:eastAsia="ＭＳ Ｐゴシック"/>
                <w:color w:val="auto"/>
                <w:sz w:val="20"/>
                <w:highlight w:val="none"/>
              </w:rPr>
              <w:t>人）</w:t>
            </w:r>
          </w:p>
        </w:tc>
      </w:tr>
      <w:tr>
        <w:trPr>
          <w:trHeight w:val="340" w:hRule="atLeast"/>
        </w:trPr>
        <w:tc>
          <w:tcPr>
            <w:tcW w:w="1015" w:type="dxa"/>
            <w:vMerge w:val="continue"/>
            <w:shd w:val="clear" w:color="auto" w:themeFill="accent5" w:themeFillTint="66" w:themeFillShade="FF"/>
            <w:vAlign w:val="center"/>
          </w:tcPr>
          <w:p>
            <w:pPr>
              <w:pStyle w:val="34"/>
              <w:autoSpaceDE w:val="0"/>
              <w:autoSpaceDN w:val="0"/>
              <w:spacing w:line="260" w:lineRule="exact"/>
              <w:ind w:left="0" w:leftChars="0"/>
              <w:rPr>
                <w:rFonts w:hint="default" w:ascii="ＭＳ Ｐゴシック" w:hAnsi="ＭＳ Ｐゴシック" w:eastAsia="ＭＳ Ｐゴシック"/>
                <w:color w:val="000000" w:themeColor="text1"/>
                <w:sz w:val="20"/>
              </w:rPr>
            </w:pPr>
          </w:p>
        </w:tc>
        <w:tc>
          <w:tcPr>
            <w:tcW w:w="2670" w:type="dxa"/>
            <w:vAlign w:val="center"/>
          </w:tcPr>
          <w:p>
            <w:pPr>
              <w:pStyle w:val="34"/>
              <w:autoSpaceDE w:val="0"/>
              <w:autoSpaceDN w:val="0"/>
              <w:spacing w:line="260" w:lineRule="exact"/>
              <w:ind w:left="0" w:leftChars="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特定施設入居者生活介護</w:t>
            </w:r>
          </w:p>
        </w:tc>
        <w:tc>
          <w:tcPr>
            <w:tcW w:w="1020"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default" w:ascii="ＭＳ Ｐゴシック" w:hAnsi="ＭＳ Ｐゴシック" w:eastAsia="ＭＳ Ｐゴシック"/>
                <w:color w:val="auto"/>
                <w:sz w:val="20"/>
                <w:highlight w:val="none"/>
              </w:rPr>
              <w:t>29</w:t>
            </w:r>
            <w:r>
              <w:rPr>
                <w:rFonts w:hint="eastAsia" w:ascii="ＭＳ Ｐゴシック" w:hAnsi="ＭＳ Ｐゴシック" w:eastAsia="ＭＳ Ｐゴシック"/>
                <w:color w:val="auto"/>
                <w:sz w:val="20"/>
                <w:highlight w:val="none"/>
              </w:rPr>
              <w:t>人）</w:t>
            </w: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2</w:t>
            </w:r>
            <w:r>
              <w:rPr>
                <w:rFonts w:hint="default" w:ascii="ＭＳ Ｐゴシック" w:hAnsi="ＭＳ Ｐゴシック" w:eastAsia="ＭＳ Ｐゴシック"/>
                <w:color w:val="auto"/>
                <w:sz w:val="20"/>
                <w:highlight w:val="none"/>
              </w:rPr>
              <w:t>9</w:t>
            </w:r>
            <w:r>
              <w:rPr>
                <w:rFonts w:hint="eastAsia" w:ascii="ＭＳ Ｐゴシック" w:hAnsi="ＭＳ Ｐゴシック" w:eastAsia="ＭＳ Ｐゴシック"/>
                <w:color w:val="auto"/>
                <w:sz w:val="20"/>
                <w:highlight w:val="none"/>
              </w:rPr>
              <w:t>人）</w:t>
            </w:r>
          </w:p>
        </w:tc>
      </w:tr>
      <w:tr>
        <w:trPr>
          <w:trHeight w:val="340" w:hRule="atLeast"/>
        </w:trPr>
        <w:tc>
          <w:tcPr>
            <w:tcW w:w="1015" w:type="dxa"/>
            <w:vMerge w:val="continue"/>
            <w:shd w:val="clear" w:color="auto" w:themeFill="accent5" w:themeFillTint="66" w:themeFillShade="FF"/>
            <w:vAlign w:val="center"/>
          </w:tcPr>
          <w:p>
            <w:pPr>
              <w:pStyle w:val="34"/>
              <w:autoSpaceDE w:val="0"/>
              <w:autoSpaceDN w:val="0"/>
              <w:spacing w:line="260" w:lineRule="exact"/>
              <w:ind w:left="0" w:leftChars="0"/>
              <w:rPr>
                <w:rFonts w:hint="default" w:ascii="ＭＳ Ｐゴシック" w:hAnsi="ＭＳ Ｐゴシック" w:eastAsia="ＭＳ Ｐゴシック"/>
                <w:color w:val="000000" w:themeColor="text1"/>
                <w:sz w:val="20"/>
              </w:rPr>
            </w:pPr>
          </w:p>
        </w:tc>
        <w:tc>
          <w:tcPr>
            <w:tcW w:w="2670" w:type="dxa"/>
            <w:vAlign w:val="center"/>
          </w:tcPr>
          <w:p>
            <w:pPr>
              <w:pStyle w:val="34"/>
              <w:autoSpaceDE w:val="0"/>
              <w:autoSpaceDN w:val="0"/>
              <w:spacing w:line="260" w:lineRule="exact"/>
              <w:ind w:left="0" w:leftChars="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小規模多機能型居宅介護</w:t>
            </w:r>
          </w:p>
        </w:tc>
        <w:tc>
          <w:tcPr>
            <w:tcW w:w="1020"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3</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7</w:t>
            </w:r>
            <w:r>
              <w:rPr>
                <w:rFonts w:hint="default" w:ascii="ＭＳ Ｐゴシック" w:hAnsi="ＭＳ Ｐゴシック" w:eastAsia="ＭＳ Ｐゴシック"/>
                <w:color w:val="auto"/>
                <w:sz w:val="20"/>
                <w:highlight w:val="none"/>
              </w:rPr>
              <w:t>8</w:t>
            </w:r>
            <w:r>
              <w:rPr>
                <w:rFonts w:hint="eastAsia" w:ascii="ＭＳ Ｐゴシック" w:hAnsi="ＭＳ Ｐゴシック" w:eastAsia="ＭＳ Ｐゴシック"/>
                <w:color w:val="auto"/>
                <w:sz w:val="20"/>
                <w:highlight w:val="none"/>
              </w:rPr>
              <w:t>人）</w:t>
            </w: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2</w:t>
            </w:r>
            <w:r>
              <w:rPr>
                <w:rFonts w:hint="default" w:ascii="ＭＳ Ｐゴシック" w:hAnsi="ＭＳ Ｐゴシック" w:eastAsia="ＭＳ Ｐゴシック"/>
                <w:color w:val="auto"/>
                <w:sz w:val="20"/>
                <w:highlight w:val="none"/>
              </w:rPr>
              <w:t>9</w:t>
            </w:r>
            <w:r>
              <w:rPr>
                <w:rFonts w:hint="eastAsia" w:ascii="ＭＳ Ｐゴシック" w:hAnsi="ＭＳ Ｐゴシック" w:eastAsia="ＭＳ Ｐゴシック"/>
                <w:color w:val="auto"/>
                <w:sz w:val="20"/>
                <w:highlight w:val="none"/>
              </w:rPr>
              <w:t>人）</w:t>
            </w: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default" w:ascii="ＭＳ Ｐゴシック" w:hAnsi="ＭＳ Ｐゴシック" w:eastAsia="ＭＳ Ｐゴシック"/>
                <w:color w:val="auto"/>
                <w:sz w:val="20"/>
                <w:highlight w:val="none"/>
              </w:rPr>
              <w:t>4</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1</w:t>
            </w:r>
            <w:r>
              <w:rPr>
                <w:rFonts w:hint="default" w:ascii="ＭＳ Ｐゴシック" w:hAnsi="ＭＳ Ｐゴシック" w:eastAsia="ＭＳ Ｐゴシック"/>
                <w:color w:val="auto"/>
                <w:sz w:val="20"/>
                <w:highlight w:val="none"/>
              </w:rPr>
              <w:t>07</w:t>
            </w:r>
            <w:r>
              <w:rPr>
                <w:rFonts w:hint="eastAsia" w:ascii="ＭＳ Ｐゴシック" w:hAnsi="ＭＳ Ｐゴシック" w:eastAsia="ＭＳ Ｐゴシック"/>
                <w:color w:val="auto"/>
                <w:sz w:val="20"/>
                <w:highlight w:val="none"/>
              </w:rPr>
              <w:t>人）</w:t>
            </w:r>
          </w:p>
        </w:tc>
      </w:tr>
      <w:tr>
        <w:trPr>
          <w:trHeight w:val="340" w:hRule="atLeast"/>
        </w:trPr>
        <w:tc>
          <w:tcPr>
            <w:tcW w:w="1015" w:type="dxa"/>
            <w:vMerge w:val="continue"/>
            <w:shd w:val="clear" w:color="auto" w:themeFill="accent5" w:themeFillTint="66" w:themeFillShade="FF"/>
            <w:vAlign w:val="center"/>
          </w:tcPr>
          <w:p>
            <w:pPr>
              <w:pStyle w:val="34"/>
              <w:autoSpaceDE w:val="0"/>
              <w:autoSpaceDN w:val="0"/>
              <w:spacing w:line="260" w:lineRule="exact"/>
              <w:ind w:left="0" w:leftChars="0"/>
              <w:rPr>
                <w:rFonts w:hint="default" w:ascii="ＭＳ Ｐゴシック" w:hAnsi="ＭＳ Ｐゴシック" w:eastAsia="ＭＳ Ｐゴシック"/>
                <w:color w:val="000000" w:themeColor="text1"/>
                <w:sz w:val="20"/>
              </w:rPr>
            </w:pPr>
          </w:p>
        </w:tc>
        <w:tc>
          <w:tcPr>
            <w:tcW w:w="2670" w:type="dxa"/>
            <w:vAlign w:val="center"/>
          </w:tcPr>
          <w:p>
            <w:pPr>
              <w:pStyle w:val="34"/>
              <w:autoSpaceDE w:val="0"/>
              <w:autoSpaceDN w:val="0"/>
              <w:spacing w:line="260" w:lineRule="exact"/>
              <w:ind w:left="0" w:leftChars="0" w:right="167" w:rightChars="76"/>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看護小規模多機能型居宅介護</w:t>
            </w:r>
          </w:p>
        </w:tc>
        <w:tc>
          <w:tcPr>
            <w:tcW w:w="1020"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29</w:t>
            </w:r>
            <w:r>
              <w:rPr>
                <w:rFonts w:hint="eastAsia" w:ascii="ＭＳ Ｐゴシック" w:hAnsi="ＭＳ Ｐゴシック" w:eastAsia="ＭＳ Ｐゴシック"/>
                <w:color w:val="auto"/>
                <w:sz w:val="20"/>
                <w:highlight w:val="none"/>
              </w:rPr>
              <w:t>人）</w:t>
            </w: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2</w:t>
            </w:r>
            <w:r>
              <w:rPr>
                <w:rFonts w:hint="default" w:ascii="ＭＳ Ｐゴシック" w:hAnsi="ＭＳ Ｐゴシック" w:eastAsia="ＭＳ Ｐゴシック"/>
                <w:color w:val="auto"/>
                <w:sz w:val="20"/>
                <w:highlight w:val="none"/>
              </w:rPr>
              <w:t>9</w:t>
            </w:r>
            <w:r>
              <w:rPr>
                <w:rFonts w:hint="eastAsia" w:ascii="ＭＳ Ｐゴシック" w:hAnsi="ＭＳ Ｐゴシック" w:eastAsia="ＭＳ Ｐゴシック"/>
                <w:color w:val="auto"/>
                <w:sz w:val="20"/>
                <w:highlight w:val="none"/>
              </w:rPr>
              <w:t>人）</w:t>
            </w: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5</w:t>
            </w:r>
            <w:r>
              <w:rPr>
                <w:rFonts w:hint="default" w:ascii="ＭＳ Ｐゴシック" w:hAnsi="ＭＳ Ｐゴシック" w:eastAsia="ＭＳ Ｐゴシック"/>
                <w:color w:val="auto"/>
                <w:sz w:val="20"/>
                <w:highlight w:val="none"/>
              </w:rPr>
              <w:t>8</w:t>
            </w:r>
            <w:r>
              <w:rPr>
                <w:rFonts w:hint="eastAsia" w:ascii="ＭＳ Ｐゴシック" w:hAnsi="ＭＳ Ｐゴシック" w:eastAsia="ＭＳ Ｐゴシック"/>
                <w:color w:val="auto"/>
                <w:sz w:val="20"/>
                <w:highlight w:val="none"/>
              </w:rPr>
              <w:t>人）</w:t>
            </w:r>
          </w:p>
        </w:tc>
      </w:tr>
      <w:tr>
        <w:trPr>
          <w:trHeight w:val="340" w:hRule="atLeast"/>
        </w:trPr>
        <w:tc>
          <w:tcPr>
            <w:tcW w:w="1015" w:type="dxa"/>
            <w:vMerge w:val="continue"/>
            <w:shd w:val="clear" w:color="auto" w:themeFill="accent5" w:themeFillTint="66" w:themeFillShade="FF"/>
            <w:vAlign w:val="center"/>
          </w:tcPr>
          <w:p>
            <w:pPr>
              <w:pStyle w:val="34"/>
              <w:autoSpaceDE w:val="0"/>
              <w:autoSpaceDN w:val="0"/>
              <w:spacing w:line="260" w:lineRule="exact"/>
              <w:ind w:left="0" w:leftChars="0"/>
              <w:rPr>
                <w:rFonts w:hint="default" w:ascii="ＭＳ Ｐゴシック" w:hAnsi="ＭＳ Ｐゴシック" w:eastAsia="ＭＳ Ｐゴシック"/>
                <w:color w:val="000000" w:themeColor="text1"/>
                <w:sz w:val="20"/>
              </w:rPr>
            </w:pPr>
          </w:p>
        </w:tc>
        <w:tc>
          <w:tcPr>
            <w:tcW w:w="2670" w:type="dxa"/>
            <w:vAlign w:val="center"/>
          </w:tcPr>
          <w:p>
            <w:pPr>
              <w:pStyle w:val="34"/>
              <w:autoSpaceDE w:val="0"/>
              <w:autoSpaceDN w:val="0"/>
              <w:spacing w:line="260" w:lineRule="exact"/>
              <w:ind w:left="0" w:leftChars="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認知症対応型通所介護</w:t>
            </w:r>
          </w:p>
        </w:tc>
        <w:tc>
          <w:tcPr>
            <w:tcW w:w="1020"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5</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58</w:t>
            </w:r>
            <w:r>
              <w:rPr>
                <w:rFonts w:hint="eastAsia" w:ascii="ＭＳ Ｐゴシック" w:hAnsi="ＭＳ Ｐゴシック" w:eastAsia="ＭＳ Ｐゴシック"/>
                <w:color w:val="auto"/>
                <w:sz w:val="20"/>
                <w:highlight w:val="none"/>
              </w:rPr>
              <w:t>人）</w:t>
            </w: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5</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58</w:t>
            </w:r>
            <w:r>
              <w:rPr>
                <w:rFonts w:hint="eastAsia" w:ascii="ＭＳ Ｐゴシック" w:hAnsi="ＭＳ Ｐゴシック" w:eastAsia="ＭＳ Ｐゴシック"/>
                <w:color w:val="auto"/>
                <w:sz w:val="20"/>
                <w:highlight w:val="none"/>
              </w:rPr>
              <w:t>人）</w:t>
            </w:r>
          </w:p>
        </w:tc>
      </w:tr>
      <w:tr>
        <w:trPr>
          <w:trHeight w:val="340" w:hRule="atLeast"/>
        </w:trPr>
        <w:tc>
          <w:tcPr>
            <w:tcW w:w="1015" w:type="dxa"/>
            <w:vMerge w:val="continue"/>
            <w:shd w:val="clear" w:color="auto" w:themeFill="accent5" w:themeFillTint="66" w:themeFillShade="FF"/>
            <w:vAlign w:val="center"/>
          </w:tcPr>
          <w:p>
            <w:pPr>
              <w:pStyle w:val="34"/>
              <w:autoSpaceDE w:val="0"/>
              <w:autoSpaceDN w:val="0"/>
              <w:spacing w:line="260" w:lineRule="exact"/>
              <w:ind w:left="0" w:leftChars="0"/>
              <w:rPr>
                <w:rFonts w:hint="default" w:ascii="ＭＳ Ｐゴシック" w:hAnsi="ＭＳ Ｐゴシック" w:eastAsia="ＭＳ Ｐゴシック"/>
                <w:color w:val="000000" w:themeColor="text1"/>
                <w:sz w:val="20"/>
              </w:rPr>
            </w:pPr>
          </w:p>
        </w:tc>
        <w:tc>
          <w:tcPr>
            <w:tcW w:w="2670" w:type="dxa"/>
            <w:vAlign w:val="center"/>
          </w:tcPr>
          <w:p>
            <w:pPr>
              <w:pStyle w:val="34"/>
              <w:autoSpaceDE w:val="0"/>
              <w:autoSpaceDN w:val="0"/>
              <w:spacing w:line="260" w:lineRule="exact"/>
              <w:ind w:left="0" w:leftChars="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定期巡回・随時対応型訪問介護看護</w:t>
            </w:r>
          </w:p>
        </w:tc>
        <w:tc>
          <w:tcPr>
            <w:tcW w:w="1020"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18</w:t>
            </w:r>
            <w:r>
              <w:rPr>
                <w:rFonts w:hint="eastAsia" w:ascii="ＭＳ Ｐゴシック" w:hAnsi="ＭＳ Ｐゴシック" w:eastAsia="ＭＳ Ｐゴシック"/>
                <w:color w:val="auto"/>
                <w:sz w:val="20"/>
                <w:highlight w:val="none"/>
              </w:rPr>
              <w:t>人）</w:t>
            </w: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1</w:t>
            </w:r>
            <w:r>
              <w:rPr>
                <w:rFonts w:hint="default" w:ascii="ＭＳ Ｐゴシック" w:hAnsi="ＭＳ Ｐゴシック" w:eastAsia="ＭＳ Ｐゴシック"/>
                <w:color w:val="auto"/>
                <w:sz w:val="20"/>
                <w:highlight w:val="none"/>
              </w:rPr>
              <w:t>5</w:t>
            </w:r>
            <w:r>
              <w:rPr>
                <w:rFonts w:hint="eastAsia" w:ascii="ＭＳ Ｐゴシック" w:hAnsi="ＭＳ Ｐゴシック" w:eastAsia="ＭＳ Ｐゴシック"/>
                <w:color w:val="auto"/>
                <w:sz w:val="20"/>
                <w:highlight w:val="none"/>
              </w:rPr>
              <w:t>人）</w:t>
            </w: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r>
              <w:rPr>
                <w:rFonts w:hint="default" w:ascii="ＭＳ Ｐゴシック" w:hAnsi="ＭＳ Ｐゴシック" w:eastAsia="ＭＳ Ｐゴシック"/>
                <w:color w:val="auto"/>
                <w:sz w:val="20"/>
                <w:highlight w:val="none"/>
              </w:rPr>
              <w:t>(1)</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5</w:t>
            </w:r>
            <w:r>
              <w:rPr>
                <w:rFonts w:hint="default" w:ascii="ＭＳ Ｐゴシック" w:hAnsi="ＭＳ Ｐゴシック" w:eastAsia="ＭＳ Ｐゴシック"/>
                <w:color w:val="auto"/>
                <w:sz w:val="20"/>
                <w:highlight w:val="none"/>
              </w:rPr>
              <w:t>0</w:t>
            </w:r>
            <w:r>
              <w:rPr>
                <w:rFonts w:hint="eastAsia" w:ascii="ＭＳ Ｐゴシック" w:hAnsi="ＭＳ Ｐゴシック" w:eastAsia="ＭＳ Ｐゴシック"/>
                <w:color w:val="auto"/>
                <w:sz w:val="20"/>
                <w:highlight w:val="none"/>
              </w:rPr>
              <w:t>人）</w:t>
            </w: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4</w:t>
            </w:r>
            <w:r>
              <w:rPr>
                <w:rFonts w:hint="default" w:ascii="ＭＳ Ｐゴシック" w:hAnsi="ＭＳ Ｐゴシック" w:eastAsia="ＭＳ Ｐゴシック"/>
                <w:color w:val="auto"/>
                <w:sz w:val="20"/>
                <w:highlight w:val="none"/>
              </w:rPr>
              <w:t>(1)</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8</w:t>
            </w:r>
            <w:r>
              <w:rPr>
                <w:rFonts w:hint="default" w:ascii="ＭＳ Ｐゴシック" w:hAnsi="ＭＳ Ｐゴシック" w:eastAsia="ＭＳ Ｐゴシック"/>
                <w:color w:val="auto"/>
                <w:sz w:val="20"/>
                <w:highlight w:val="none"/>
              </w:rPr>
              <w:t>3</w:t>
            </w:r>
            <w:r>
              <w:rPr>
                <w:rFonts w:hint="eastAsia" w:ascii="ＭＳ Ｐゴシック" w:hAnsi="ＭＳ Ｐゴシック" w:eastAsia="ＭＳ Ｐゴシック"/>
                <w:color w:val="auto"/>
                <w:sz w:val="20"/>
                <w:highlight w:val="none"/>
              </w:rPr>
              <w:t>人）</w:t>
            </w:r>
          </w:p>
        </w:tc>
      </w:tr>
      <w:tr>
        <w:trPr>
          <w:trHeight w:val="340" w:hRule="atLeast"/>
        </w:trPr>
        <w:tc>
          <w:tcPr>
            <w:tcW w:w="1015" w:type="dxa"/>
            <w:vMerge w:val="continue"/>
            <w:shd w:val="clear" w:color="auto" w:themeFill="accent5" w:themeFillTint="66" w:themeFillShade="FF"/>
            <w:vAlign w:val="center"/>
          </w:tcPr>
          <w:p>
            <w:pPr>
              <w:pStyle w:val="34"/>
              <w:autoSpaceDE w:val="0"/>
              <w:autoSpaceDN w:val="0"/>
              <w:spacing w:line="260" w:lineRule="exact"/>
              <w:ind w:left="0" w:leftChars="0"/>
              <w:rPr>
                <w:rFonts w:hint="default" w:ascii="ＭＳ Ｐゴシック" w:hAnsi="ＭＳ Ｐゴシック" w:eastAsia="ＭＳ Ｐゴシック"/>
                <w:color w:val="000000" w:themeColor="text1"/>
                <w:sz w:val="20"/>
              </w:rPr>
            </w:pPr>
          </w:p>
        </w:tc>
        <w:tc>
          <w:tcPr>
            <w:tcW w:w="2670" w:type="dxa"/>
            <w:vAlign w:val="center"/>
          </w:tcPr>
          <w:p>
            <w:pPr>
              <w:pStyle w:val="34"/>
              <w:autoSpaceDE w:val="0"/>
              <w:autoSpaceDN w:val="0"/>
              <w:spacing w:line="260" w:lineRule="exact"/>
              <w:ind w:left="0" w:leftChars="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地域密着型通所介護</w:t>
            </w:r>
          </w:p>
        </w:tc>
        <w:tc>
          <w:tcPr>
            <w:tcW w:w="1020"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r>
              <w:rPr>
                <w:rFonts w:hint="default" w:ascii="ＭＳ Ｐゴシック" w:hAnsi="ＭＳ Ｐゴシック" w:eastAsia="ＭＳ Ｐゴシック"/>
                <w:color w:val="auto"/>
                <w:sz w:val="20"/>
                <w:highlight w:val="none"/>
              </w:rPr>
              <w:t>8</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2</w:t>
            </w:r>
            <w:r>
              <w:rPr>
                <w:rFonts w:hint="default" w:ascii="ＭＳ Ｐゴシック" w:hAnsi="ＭＳ Ｐゴシック" w:eastAsia="ＭＳ Ｐゴシック"/>
                <w:color w:val="auto"/>
                <w:sz w:val="20"/>
                <w:highlight w:val="none"/>
              </w:rPr>
              <w:t>24</w:t>
            </w:r>
            <w:r>
              <w:rPr>
                <w:rFonts w:hint="eastAsia" w:ascii="ＭＳ Ｐゴシック" w:hAnsi="ＭＳ Ｐゴシック" w:eastAsia="ＭＳ Ｐゴシック"/>
                <w:color w:val="auto"/>
                <w:sz w:val="20"/>
                <w:highlight w:val="none"/>
              </w:rPr>
              <w:t>人）</w:t>
            </w: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2</w:t>
            </w:r>
            <w:r>
              <w:rPr>
                <w:rFonts w:hint="default" w:ascii="ＭＳ Ｐゴシック" w:hAnsi="ＭＳ Ｐゴシック" w:eastAsia="ＭＳ Ｐゴシック"/>
                <w:color w:val="auto"/>
                <w:sz w:val="20"/>
                <w:highlight w:val="none"/>
              </w:rPr>
              <w:t>1</w:t>
            </w:r>
            <w:r>
              <w:rPr>
                <w:rFonts w:hint="eastAsia" w:ascii="ＭＳ Ｐゴシック" w:hAnsi="ＭＳ Ｐゴシック" w:eastAsia="ＭＳ Ｐゴシック"/>
                <w:color w:val="auto"/>
                <w:sz w:val="20"/>
                <w:highlight w:val="none"/>
              </w:rPr>
              <w:t>人）</w:t>
            </w: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2</w:t>
            </w:r>
            <w:r>
              <w:rPr>
                <w:rFonts w:hint="default" w:ascii="ＭＳ Ｐゴシック" w:hAnsi="ＭＳ Ｐゴシック" w:eastAsia="ＭＳ Ｐゴシック"/>
                <w:color w:val="auto"/>
                <w:sz w:val="20"/>
                <w:highlight w:val="none"/>
              </w:rPr>
              <w:t>0</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2</w:t>
            </w:r>
            <w:r>
              <w:rPr>
                <w:rFonts w:hint="default" w:ascii="ＭＳ Ｐゴシック" w:hAnsi="ＭＳ Ｐゴシック" w:eastAsia="ＭＳ Ｐゴシック"/>
                <w:color w:val="auto"/>
                <w:sz w:val="20"/>
                <w:highlight w:val="none"/>
              </w:rPr>
              <w:t>45</w:t>
            </w:r>
            <w:r>
              <w:rPr>
                <w:rFonts w:hint="eastAsia" w:ascii="ＭＳ Ｐゴシック" w:hAnsi="ＭＳ Ｐゴシック" w:eastAsia="ＭＳ Ｐゴシック"/>
                <w:color w:val="auto"/>
                <w:sz w:val="20"/>
                <w:highlight w:val="none"/>
              </w:rPr>
              <w:t>人）</w:t>
            </w:r>
          </w:p>
        </w:tc>
      </w:tr>
    </w:tbl>
    <w:p>
      <w:pPr>
        <w:pStyle w:val="34"/>
        <w:spacing w:line="320" w:lineRule="exact"/>
        <w:ind w:left="284" w:leftChars="129"/>
        <w:rPr>
          <w:rFonts w:hint="default" w:ascii="ＭＳ Ｐゴシック" w:hAnsi="ＭＳ Ｐゴシック" w:eastAsia="ＭＳ Ｐゴシック"/>
          <w:color w:val="auto"/>
          <w:sz w:val="21"/>
          <w:highlight w:val="none"/>
        </w:rPr>
      </w:pPr>
      <w:r>
        <w:rPr>
          <w:rFonts w:hint="eastAsia" w:ascii="ＭＳ Ｐゴシック" w:hAnsi="ＭＳ Ｐゴシック" w:eastAsia="ＭＳ Ｐゴシック"/>
          <w:color w:val="auto"/>
          <w:sz w:val="21"/>
          <w:highlight w:val="none"/>
        </w:rPr>
        <w:t>※広域型の特定施設入居者生活介護は、介護付き有料老人ホーム</w:t>
      </w:r>
    </w:p>
    <w:p>
      <w:pPr>
        <w:pStyle w:val="34"/>
        <w:spacing w:line="320" w:lineRule="exact"/>
        <w:ind w:left="494" w:leftChars="129" w:hanging="210" w:hangingChars="100"/>
        <w:rPr>
          <w:rFonts w:hint="default" w:ascii="ＭＳ Ｐゴシック" w:hAnsi="ＭＳ Ｐゴシック" w:eastAsia="ＭＳ Ｐゴシック"/>
          <w:color w:val="auto"/>
          <w:sz w:val="21"/>
          <w:highlight w:val="none"/>
          <w:shd w:val="clear" w:color="auto" w:themeFill="background1" w:themeFillTint="FF" w:themeFillShade="FF"/>
        </w:rPr>
      </w:pPr>
      <w:r>
        <w:rPr>
          <w:rFonts w:hint="eastAsia" w:ascii="ＭＳ Ｐゴシック" w:hAnsi="ＭＳ Ｐゴシック" w:eastAsia="ＭＳ Ｐゴシック"/>
          <w:color w:val="auto"/>
          <w:sz w:val="21"/>
          <w:highlight w:val="none"/>
        </w:rPr>
        <w:t>※表とは別に地域密着型サービスについては、事業所から開設等の申し出があれば、介護サービス見込み量を勘案して整備を検討する。</w:t>
      </w:r>
    </w:p>
    <w:p>
      <w:pPr>
        <w:pStyle w:val="79"/>
        <w:spacing w:before="190" w:beforeLines="0" w:beforeAutospacing="0"/>
        <w:rPr>
          <w:rFonts w:hint="default"/>
          <w:color w:val="auto"/>
          <w:highlight w:val="none"/>
        </w:rPr>
      </w:pPr>
      <w:r>
        <w:rPr>
          <w:rFonts w:hint="eastAsia"/>
          <w:color w:val="auto"/>
          <w:highlight w:val="none"/>
        </w:rPr>
        <w:t>図表　介護保険対象外の施設等</w:t>
      </w:r>
    </w:p>
    <w:p>
      <w:pPr>
        <w:pStyle w:val="34"/>
        <w:spacing w:line="400" w:lineRule="exact"/>
        <w:ind w:left="0" w:leftChars="0" w:firstLine="5720" w:firstLineChars="2600"/>
        <w:jc w:val="right"/>
        <w:rPr>
          <w:rFonts w:hint="default" w:ascii="ＭＳ Ｐゴシック" w:hAnsi="ＭＳ Ｐゴシック" w:eastAsia="ＭＳ Ｐゴシック"/>
          <w:color w:val="auto"/>
          <w:highlight w:val="none"/>
        </w:rPr>
      </w:pPr>
      <w:r>
        <w:rPr>
          <w:rFonts w:hint="eastAsia" w:ascii="ＭＳ Ｐゴシック" w:hAnsi="ＭＳ Ｐゴシック" w:eastAsia="ＭＳ Ｐゴシック"/>
          <w:color w:val="auto"/>
          <w:highlight w:val="none"/>
        </w:rPr>
        <w:t>（単位：施設数：下段は定員数）</w:t>
      </w:r>
    </w:p>
    <w:tbl>
      <w:tblPr>
        <w:tblStyle w:val="90"/>
        <w:tblW w:w="8789" w:type="dxa"/>
        <w:tblInd w:w="279" w:type="dxa"/>
        <w:tblLayout w:type="fixed"/>
        <w:tblLook w:firstRow="1" w:lastRow="0" w:firstColumn="1" w:lastColumn="0" w:noHBand="0" w:noVBand="1" w:val="04A0"/>
      </w:tblPr>
      <w:tblGrid>
        <w:gridCol w:w="1015"/>
        <w:gridCol w:w="2670"/>
        <w:gridCol w:w="1020"/>
        <w:gridCol w:w="1021"/>
        <w:gridCol w:w="1021"/>
        <w:gridCol w:w="1021"/>
        <w:gridCol w:w="1021"/>
      </w:tblGrid>
      <w:tr>
        <w:trPr>
          <w:trHeight w:val="340" w:hRule="atLeast"/>
        </w:trPr>
        <w:tc>
          <w:tcPr>
            <w:tcW w:w="3685" w:type="dxa"/>
            <w:gridSpan w:val="2"/>
            <w:shd w:val="clear" w:color="auto" w:themeFill="accent5" w:themeFillTint="66" w:themeFillShade="FF"/>
            <w:vAlign w:val="center"/>
          </w:tcPr>
          <w:p>
            <w:pPr>
              <w:pStyle w:val="34"/>
              <w:autoSpaceDE w:val="0"/>
              <w:autoSpaceDN w:val="0"/>
              <w:spacing w:line="260" w:lineRule="exact"/>
              <w:ind w:left="-110" w:leftChars="-50" w:right="-110" w:rightChars="-5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区分</w:t>
            </w:r>
          </w:p>
        </w:tc>
        <w:tc>
          <w:tcPr>
            <w:tcW w:w="1020" w:type="dxa"/>
            <w:shd w:val="clear" w:color="auto" w:themeFill="accent5" w:themeFillTint="66" w:themeFillShade="FF"/>
            <w:vAlign w:val="center"/>
          </w:tcPr>
          <w:p>
            <w:pPr>
              <w:pStyle w:val="34"/>
              <w:autoSpaceDE w:val="0"/>
              <w:autoSpaceDN w:val="0"/>
              <w:spacing w:line="260" w:lineRule="exact"/>
              <w:ind w:left="-110" w:leftChars="-50" w:right="-110" w:rightChars="-5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8</w:t>
            </w:r>
            <w:r>
              <w:rPr>
                <w:rFonts w:hint="eastAsia" w:ascii="ＭＳ Ｐゴシック" w:hAnsi="ＭＳ Ｐゴシック" w:eastAsia="ＭＳ Ｐゴシック"/>
                <w:color w:val="auto"/>
                <w:sz w:val="20"/>
                <w:highlight w:val="none"/>
              </w:rPr>
              <w:t>期計画末</w:t>
            </w:r>
          </w:p>
        </w:tc>
        <w:tc>
          <w:tcPr>
            <w:tcW w:w="1021" w:type="dxa"/>
            <w:shd w:val="clear" w:color="auto" w:themeFill="accent5" w:themeFillTint="66" w:themeFillShade="FF"/>
            <w:vAlign w:val="center"/>
          </w:tcPr>
          <w:p>
            <w:pPr>
              <w:pStyle w:val="34"/>
              <w:autoSpaceDE w:val="0"/>
              <w:autoSpaceDN w:val="0"/>
              <w:spacing w:line="260" w:lineRule="exact"/>
              <w:ind w:left="-110" w:leftChars="-50" w:right="-110" w:rightChars="-5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令和</w:t>
            </w:r>
            <w:r>
              <w:rPr>
                <w:rFonts w:hint="eastAsia" w:ascii="ＭＳ Ｐゴシック" w:hAnsi="ＭＳ Ｐゴシック" w:eastAsia="ＭＳ Ｐゴシック"/>
                <w:color w:val="auto"/>
                <w:sz w:val="20"/>
                <w:highlight w:val="none"/>
              </w:rPr>
              <w:t>6</w:t>
            </w:r>
            <w:r>
              <w:rPr>
                <w:rFonts w:hint="eastAsia" w:ascii="ＭＳ Ｐゴシック" w:hAnsi="ＭＳ Ｐゴシック" w:eastAsia="ＭＳ Ｐゴシック"/>
                <w:color w:val="auto"/>
                <w:sz w:val="20"/>
                <w:highlight w:val="none"/>
              </w:rPr>
              <w:t>年度</w:t>
            </w:r>
          </w:p>
          <w:p>
            <w:pPr>
              <w:pStyle w:val="34"/>
              <w:autoSpaceDE w:val="0"/>
              <w:autoSpaceDN w:val="0"/>
              <w:spacing w:line="260" w:lineRule="exact"/>
              <w:ind w:left="-110" w:leftChars="-50" w:right="-110" w:rightChars="-5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2024</w:t>
            </w:r>
            <w:r>
              <w:rPr>
                <w:rFonts w:hint="eastAsia" w:ascii="ＭＳ Ｐゴシック" w:hAnsi="ＭＳ Ｐゴシック" w:eastAsia="ＭＳ Ｐゴシック"/>
                <w:color w:val="auto"/>
                <w:sz w:val="20"/>
                <w:highlight w:val="none"/>
              </w:rPr>
              <w:t>年度）</w:t>
            </w:r>
          </w:p>
        </w:tc>
        <w:tc>
          <w:tcPr>
            <w:tcW w:w="1021" w:type="dxa"/>
            <w:shd w:val="clear" w:color="auto" w:themeFill="accent5" w:themeFillTint="66" w:themeFillShade="FF"/>
            <w:vAlign w:val="center"/>
          </w:tcPr>
          <w:p>
            <w:pPr>
              <w:pStyle w:val="34"/>
              <w:autoSpaceDE w:val="0"/>
              <w:autoSpaceDN w:val="0"/>
              <w:spacing w:line="260" w:lineRule="exact"/>
              <w:ind w:left="-110" w:leftChars="-50" w:right="-110" w:rightChars="-5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令和</w:t>
            </w:r>
            <w:r>
              <w:rPr>
                <w:rFonts w:hint="eastAsia" w:ascii="ＭＳ Ｐゴシック" w:hAnsi="ＭＳ Ｐゴシック" w:eastAsia="ＭＳ Ｐゴシック"/>
                <w:color w:val="auto"/>
                <w:sz w:val="20"/>
                <w:highlight w:val="none"/>
              </w:rPr>
              <w:t>7</w:t>
            </w:r>
            <w:r>
              <w:rPr>
                <w:rFonts w:hint="eastAsia" w:ascii="ＭＳ Ｐゴシック" w:hAnsi="ＭＳ Ｐゴシック" w:eastAsia="ＭＳ Ｐゴシック"/>
                <w:color w:val="auto"/>
                <w:sz w:val="20"/>
                <w:highlight w:val="none"/>
              </w:rPr>
              <w:t>年度</w:t>
            </w:r>
          </w:p>
          <w:p>
            <w:pPr>
              <w:pStyle w:val="34"/>
              <w:autoSpaceDE w:val="0"/>
              <w:autoSpaceDN w:val="0"/>
              <w:spacing w:line="260" w:lineRule="exact"/>
              <w:ind w:left="-110" w:leftChars="-50" w:right="-110" w:rightChars="-5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2025</w:t>
            </w:r>
            <w:r>
              <w:rPr>
                <w:rFonts w:hint="eastAsia" w:ascii="ＭＳ Ｐゴシック" w:hAnsi="ＭＳ Ｐゴシック" w:eastAsia="ＭＳ Ｐゴシック"/>
                <w:color w:val="auto"/>
                <w:sz w:val="20"/>
                <w:highlight w:val="none"/>
              </w:rPr>
              <w:t>年度）</w:t>
            </w:r>
          </w:p>
        </w:tc>
        <w:tc>
          <w:tcPr>
            <w:tcW w:w="1021" w:type="dxa"/>
            <w:shd w:val="clear" w:color="auto" w:themeFill="accent5" w:themeFillTint="66" w:themeFillShade="FF"/>
            <w:vAlign w:val="center"/>
          </w:tcPr>
          <w:p>
            <w:pPr>
              <w:pStyle w:val="34"/>
              <w:autoSpaceDE w:val="0"/>
              <w:autoSpaceDN w:val="0"/>
              <w:spacing w:line="260" w:lineRule="exact"/>
              <w:ind w:left="-110" w:leftChars="-50" w:right="-110" w:rightChars="-5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令和</w:t>
            </w:r>
            <w:r>
              <w:rPr>
                <w:rFonts w:hint="eastAsia" w:ascii="ＭＳ Ｐゴシック" w:hAnsi="ＭＳ Ｐゴシック" w:eastAsia="ＭＳ Ｐゴシック"/>
                <w:color w:val="auto"/>
                <w:sz w:val="20"/>
                <w:highlight w:val="none"/>
              </w:rPr>
              <w:t>8</w:t>
            </w:r>
            <w:r>
              <w:rPr>
                <w:rFonts w:hint="eastAsia" w:ascii="ＭＳ Ｐゴシック" w:hAnsi="ＭＳ Ｐゴシック" w:eastAsia="ＭＳ Ｐゴシック"/>
                <w:color w:val="auto"/>
                <w:sz w:val="20"/>
                <w:highlight w:val="none"/>
              </w:rPr>
              <w:t>年度</w:t>
            </w:r>
          </w:p>
          <w:p>
            <w:pPr>
              <w:pStyle w:val="34"/>
              <w:autoSpaceDE w:val="0"/>
              <w:autoSpaceDN w:val="0"/>
              <w:spacing w:line="260" w:lineRule="exact"/>
              <w:ind w:left="-110" w:leftChars="-50" w:right="-110" w:rightChars="-5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2026</w:t>
            </w:r>
            <w:r>
              <w:rPr>
                <w:rFonts w:hint="eastAsia" w:ascii="ＭＳ Ｐゴシック" w:hAnsi="ＭＳ Ｐゴシック" w:eastAsia="ＭＳ Ｐゴシック"/>
                <w:color w:val="auto"/>
                <w:sz w:val="20"/>
                <w:highlight w:val="none"/>
              </w:rPr>
              <w:t>年度）</w:t>
            </w:r>
          </w:p>
        </w:tc>
        <w:tc>
          <w:tcPr>
            <w:tcW w:w="1021" w:type="dxa"/>
            <w:shd w:val="clear" w:color="auto" w:themeFill="accent5" w:themeFillTint="66" w:themeFillShade="FF"/>
            <w:vAlign w:val="center"/>
          </w:tcPr>
          <w:p>
            <w:pPr>
              <w:pStyle w:val="34"/>
              <w:autoSpaceDE w:val="0"/>
              <w:autoSpaceDN w:val="0"/>
              <w:spacing w:line="260" w:lineRule="exact"/>
              <w:ind w:left="-110" w:leftChars="-50" w:right="-110" w:rightChars="-5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９期計画末</w:t>
            </w:r>
          </w:p>
        </w:tc>
      </w:tr>
      <w:tr>
        <w:trPr>
          <w:trHeight w:val="340" w:hRule="atLeast"/>
        </w:trPr>
        <w:tc>
          <w:tcPr>
            <w:tcW w:w="1015" w:type="dxa"/>
            <w:vMerge w:val="restart"/>
            <w:shd w:val="clear" w:color="auto" w:themeFill="accent5" w:themeFillTint="66" w:themeFillShade="FF"/>
            <w:vAlign w:val="center"/>
          </w:tcPr>
          <w:p>
            <w:pPr>
              <w:pStyle w:val="34"/>
              <w:autoSpaceDE w:val="0"/>
              <w:autoSpaceDN w:val="0"/>
              <w:spacing w:line="260" w:lineRule="exact"/>
              <w:ind w:left="0" w:leftChars="0"/>
              <w:rPr>
                <w:rFonts w:hint="default" w:ascii="ＭＳ Ｐゴシック" w:hAnsi="ＭＳ Ｐゴシック" w:eastAsia="ＭＳ Ｐゴシック"/>
                <w:color w:val="auto"/>
                <w:spacing w:val="-4"/>
                <w:sz w:val="20"/>
                <w:highlight w:val="none"/>
              </w:rPr>
            </w:pPr>
            <w:r>
              <w:rPr>
                <w:rFonts w:hint="eastAsia" w:ascii="ＭＳ Ｐゴシック" w:hAnsi="ＭＳ Ｐゴシック" w:eastAsia="ＭＳ Ｐゴシック"/>
                <w:color w:val="auto"/>
                <w:spacing w:val="-4"/>
                <w:sz w:val="20"/>
                <w:highlight w:val="none"/>
              </w:rPr>
              <w:t>介護保険</w:t>
            </w:r>
          </w:p>
          <w:p>
            <w:pPr>
              <w:pStyle w:val="34"/>
              <w:autoSpaceDE w:val="0"/>
              <w:autoSpaceDN w:val="0"/>
              <w:spacing w:line="260" w:lineRule="exact"/>
              <w:ind w:left="0" w:leftChars="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対象外</w:t>
            </w:r>
          </w:p>
        </w:tc>
        <w:tc>
          <w:tcPr>
            <w:tcW w:w="2670" w:type="dxa"/>
            <w:vAlign w:val="center"/>
          </w:tcPr>
          <w:p>
            <w:pPr>
              <w:pStyle w:val="34"/>
              <w:autoSpaceDE w:val="0"/>
              <w:autoSpaceDN w:val="0"/>
              <w:spacing w:line="240" w:lineRule="exact"/>
              <w:ind w:left="0" w:leftChars="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サービス付き高齢者向け</w:t>
            </w:r>
          </w:p>
          <w:p>
            <w:pPr>
              <w:pStyle w:val="34"/>
              <w:autoSpaceDE w:val="0"/>
              <w:autoSpaceDN w:val="0"/>
              <w:spacing w:line="240" w:lineRule="exact"/>
              <w:ind w:left="0" w:leftChars="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住宅</w:t>
            </w:r>
          </w:p>
        </w:tc>
        <w:tc>
          <w:tcPr>
            <w:tcW w:w="1020"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9</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3</w:t>
            </w:r>
            <w:r>
              <w:rPr>
                <w:rFonts w:hint="default" w:ascii="ＭＳ Ｐゴシック" w:hAnsi="ＭＳ Ｐゴシック" w:eastAsia="ＭＳ Ｐゴシック"/>
                <w:color w:val="auto"/>
                <w:sz w:val="20"/>
                <w:highlight w:val="none"/>
              </w:rPr>
              <w:t>15</w:t>
            </w:r>
            <w:r>
              <w:rPr>
                <w:rFonts w:hint="eastAsia" w:ascii="ＭＳ Ｐゴシック" w:hAnsi="ＭＳ Ｐゴシック" w:eastAsia="ＭＳ Ｐゴシック"/>
                <w:color w:val="auto"/>
                <w:sz w:val="20"/>
                <w:highlight w:val="none"/>
              </w:rPr>
              <w:t>人）</w:t>
            </w: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2</w:t>
            </w:r>
            <w:r>
              <w:rPr>
                <w:rFonts w:hint="default" w:ascii="ＭＳ Ｐゴシック" w:hAnsi="ＭＳ Ｐゴシック" w:eastAsia="ＭＳ Ｐゴシック"/>
                <w:color w:val="auto"/>
                <w:sz w:val="20"/>
                <w:highlight w:val="none"/>
              </w:rPr>
              <w:t>6</w:t>
            </w:r>
            <w:r>
              <w:rPr>
                <w:rFonts w:hint="eastAsia" w:ascii="ＭＳ Ｐゴシック" w:hAnsi="ＭＳ Ｐゴシック" w:eastAsia="ＭＳ Ｐゴシック"/>
                <w:color w:val="auto"/>
                <w:sz w:val="20"/>
                <w:highlight w:val="none"/>
              </w:rPr>
              <w:t>人）</w:t>
            </w: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1</w:t>
            </w:r>
            <w:r>
              <w:rPr>
                <w:rFonts w:hint="default" w:ascii="ＭＳ Ｐゴシック" w:hAnsi="ＭＳ Ｐゴシック" w:eastAsia="ＭＳ Ｐゴシック"/>
                <w:color w:val="auto"/>
                <w:sz w:val="20"/>
                <w:highlight w:val="none"/>
              </w:rPr>
              <w:t>0</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3</w:t>
            </w:r>
            <w:r>
              <w:rPr>
                <w:rFonts w:hint="default" w:ascii="ＭＳ Ｐゴシック" w:hAnsi="ＭＳ Ｐゴシック" w:eastAsia="ＭＳ Ｐゴシック"/>
                <w:color w:val="auto"/>
                <w:sz w:val="20"/>
                <w:highlight w:val="none"/>
              </w:rPr>
              <w:t>41</w:t>
            </w:r>
            <w:r>
              <w:rPr>
                <w:rFonts w:hint="eastAsia" w:ascii="ＭＳ Ｐゴシック" w:hAnsi="ＭＳ Ｐゴシック" w:eastAsia="ＭＳ Ｐゴシック"/>
                <w:color w:val="auto"/>
                <w:sz w:val="20"/>
                <w:highlight w:val="none"/>
              </w:rPr>
              <w:t>人）</w:t>
            </w:r>
          </w:p>
        </w:tc>
      </w:tr>
      <w:tr>
        <w:trPr>
          <w:trHeight w:val="340" w:hRule="atLeast"/>
        </w:trPr>
        <w:tc>
          <w:tcPr>
            <w:tcW w:w="1015" w:type="dxa"/>
            <w:vMerge w:val="continue"/>
            <w:shd w:val="clear" w:color="auto" w:themeFill="accent5" w:themeFillTint="66" w:themeFillShade="FF"/>
            <w:vAlign w:val="center"/>
          </w:tcPr>
          <w:p>
            <w:pPr>
              <w:pStyle w:val="34"/>
              <w:autoSpaceDE w:val="0"/>
              <w:autoSpaceDN w:val="0"/>
              <w:spacing w:line="260" w:lineRule="exact"/>
              <w:ind w:left="0" w:leftChars="0"/>
              <w:rPr>
                <w:rFonts w:hint="default" w:ascii="ＭＳ Ｐゴシック" w:hAnsi="ＭＳ Ｐゴシック" w:eastAsia="ＭＳ Ｐゴシック"/>
                <w:color w:val="000000" w:themeColor="text1"/>
                <w:sz w:val="20"/>
              </w:rPr>
            </w:pPr>
          </w:p>
        </w:tc>
        <w:tc>
          <w:tcPr>
            <w:tcW w:w="2670" w:type="dxa"/>
            <w:vAlign w:val="center"/>
          </w:tcPr>
          <w:p>
            <w:pPr>
              <w:pStyle w:val="34"/>
              <w:autoSpaceDE w:val="0"/>
              <w:autoSpaceDN w:val="0"/>
              <w:spacing w:line="240" w:lineRule="exact"/>
              <w:ind w:left="0" w:leftChars="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ケアハウス</w:t>
            </w:r>
          </w:p>
          <w:p>
            <w:pPr>
              <w:pStyle w:val="34"/>
              <w:autoSpaceDE w:val="0"/>
              <w:autoSpaceDN w:val="0"/>
              <w:spacing w:line="240" w:lineRule="exact"/>
              <w:ind w:left="0" w:leftChars="0"/>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（軽費老人ホーム）</w:t>
            </w:r>
          </w:p>
        </w:tc>
        <w:tc>
          <w:tcPr>
            <w:tcW w:w="1020"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4</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1</w:t>
            </w:r>
            <w:r>
              <w:rPr>
                <w:rFonts w:hint="default" w:ascii="ＭＳ Ｐゴシック" w:hAnsi="ＭＳ Ｐゴシック" w:eastAsia="ＭＳ Ｐゴシック"/>
                <w:color w:val="auto"/>
                <w:sz w:val="20"/>
                <w:highlight w:val="none"/>
              </w:rPr>
              <w:t>01</w:t>
            </w:r>
            <w:r>
              <w:rPr>
                <w:rFonts w:hint="eastAsia" w:ascii="ＭＳ Ｐゴシック" w:hAnsi="ＭＳ Ｐゴシック" w:eastAsia="ＭＳ Ｐゴシック"/>
                <w:color w:val="auto"/>
                <w:sz w:val="20"/>
                <w:highlight w:val="none"/>
              </w:rPr>
              <w:t>人）</w:t>
            </w: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p>
        </w:tc>
        <w:tc>
          <w:tcPr>
            <w:tcW w:w="1021" w:type="dxa"/>
            <w:vAlign w:val="center"/>
          </w:tcPr>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4</w:t>
            </w:r>
          </w:p>
          <w:p>
            <w:pPr>
              <w:pStyle w:val="34"/>
              <w:autoSpaceDE w:val="0"/>
              <w:autoSpaceDN w:val="0"/>
              <w:spacing w:line="240" w:lineRule="exact"/>
              <w:ind w:left="0" w:leftChars="0"/>
              <w:jc w:val="center"/>
              <w:rPr>
                <w:rFonts w:hint="default" w:ascii="ＭＳ Ｐゴシック" w:hAnsi="ＭＳ Ｐゴシック" w:eastAsia="ＭＳ Ｐゴシック"/>
                <w:color w:val="auto"/>
                <w:sz w:val="20"/>
                <w:highlight w:val="none"/>
              </w:rPr>
            </w:pPr>
            <w:r>
              <w:rPr>
                <w:rFonts w:hint="eastAsia" w:ascii="ＭＳ Ｐゴシック" w:hAnsi="ＭＳ Ｐゴシック" w:eastAsia="ＭＳ Ｐゴシック"/>
                <w:color w:val="auto"/>
                <w:sz w:val="20"/>
                <w:highlight w:val="none"/>
              </w:rPr>
              <w:t>（</w:t>
            </w:r>
            <w:r>
              <w:rPr>
                <w:rFonts w:hint="eastAsia" w:ascii="ＭＳ Ｐゴシック" w:hAnsi="ＭＳ Ｐゴシック" w:eastAsia="ＭＳ Ｐゴシック"/>
                <w:color w:val="auto"/>
                <w:sz w:val="20"/>
                <w:highlight w:val="none"/>
              </w:rPr>
              <w:t>1</w:t>
            </w:r>
            <w:r>
              <w:rPr>
                <w:rFonts w:hint="default" w:ascii="ＭＳ Ｐゴシック" w:hAnsi="ＭＳ Ｐゴシック" w:eastAsia="ＭＳ Ｐゴシック"/>
                <w:color w:val="auto"/>
                <w:sz w:val="20"/>
                <w:highlight w:val="none"/>
              </w:rPr>
              <w:t>01</w:t>
            </w:r>
            <w:r>
              <w:rPr>
                <w:rFonts w:hint="eastAsia" w:ascii="ＭＳ Ｐゴシック" w:hAnsi="ＭＳ Ｐゴシック" w:eastAsia="ＭＳ Ｐゴシック"/>
                <w:color w:val="auto"/>
                <w:sz w:val="20"/>
                <w:highlight w:val="none"/>
              </w:rPr>
              <w:t>人）</w:t>
            </w:r>
          </w:p>
        </w:tc>
      </w:tr>
    </w:tbl>
    <w:p>
      <w:pPr>
        <w:pStyle w:val="34"/>
        <w:spacing w:line="400" w:lineRule="exact"/>
        <w:ind w:left="0" w:leftChars="0"/>
        <w:rPr>
          <w:rFonts w:hint="default"/>
          <w:color w:val="auto"/>
          <w:highlight w:val="none"/>
        </w:rPr>
      </w:pPr>
    </w:p>
    <w:p>
      <w:pPr>
        <w:pStyle w:val="0"/>
        <w:widowControl w:val="1"/>
        <w:jc w:val="left"/>
        <w:rPr>
          <w:rFonts w:hint="default"/>
          <w:color w:val="auto"/>
          <w:highlight w:val="none"/>
          <w:shd w:val="clear" w:color="auto" w:themeFill="background1" w:themeFillTint="FF" w:themeFillShade="FF"/>
        </w:rPr>
      </w:pPr>
    </w:p>
    <w:sectPr>
      <w:headerReference r:id="rId6" w:type="default"/>
      <w:footerReference r:id="rId7" w:type="default"/>
      <w:pgSz w:w="11906" w:h="16838"/>
      <w:pgMar w:top="1418" w:right="1418" w:bottom="1134" w:left="1418" w:header="851" w:footer="567" w:gutter="0"/>
      <w:pgNumType w:start="1"/>
      <w:cols w:space="720"/>
      <w:textDirection w:val="lrTb"/>
      <w:docGrid w:type="linesAndChars" w:linePitch="38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Wingdings">
    <w:panose1 w:val="00000000000000000000"/>
    <w:charset w:val="02"/>
    <w:family w:val="auto"/>
    <w:notTrueType/>
    <w:pitch w:val="variable"/>
    <w:sig w:usb0="00000000" w:usb1="00000000" w:usb2="00000000" w:usb3="00000000" w:csb0="00000080" w:csb1="00000000"/>
  </w:font>
  <w:font w:name="Times New Roman">
    <w:panose1 w:val="00000000000000000000"/>
    <w:charset w:val="00"/>
    <w:family w:val="roman"/>
    <w:notTrueType/>
    <w:pitch w:val="variable"/>
    <w:sig w:usb0="00000000" w:usb1="00000000" w:usb2="00000000" w:usb3="00000000" w:csb0="FF000000" w:csb1="00000000"/>
  </w:font>
  <w:font w:name="BIZ UDゴシック">
    <w:panose1 w:val="00000000000000000000"/>
    <w:charset w:val="80"/>
    <w:family w:val="modern"/>
    <w:pitch w:val="fixed"/>
    <w:sig w:usb0="00000000" w:usb1="00000000" w:usb2="00000000" w:usb3="00000000" w:csb0="00020001" w:csb1="00000000"/>
  </w:font>
  <w:font w:name="BIZ UDPゴシック">
    <w:panose1 w:val="00000000000000000000"/>
    <w:charset w:val="80"/>
    <w:family w:val="modern"/>
    <w:pitch w:val="fixed"/>
    <w:sig w:usb0="00000000" w:usb1="00000000" w:usb2="00000000" w:usb3="00000000" w:csb0="00020001" w:csb1="00000000"/>
  </w:font>
  <w:font w:name="HG丸ｺﾞｼｯｸM-PRO">
    <w:panose1 w:val="00000000000000000000"/>
    <w:charset w:val="80"/>
    <w:family w:val="modern"/>
    <w:notTrueType/>
    <w:pitch w:val="variable"/>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Malgun Gothic">
    <w:panose1 w:val="00000000000000000000"/>
    <w:charset w:val="80"/>
    <w:family w:val="swiss"/>
    <w:notTrueType/>
    <w:pitch w:val="variable"/>
    <w:sig w:usb0="00000000" w:usb1="00000000" w:usb2="00000000" w:usb3="00000000" w:csb0="01008200" w:csb1="00000000"/>
  </w:font>
  <w:font w:name="UD デジタル 教科書体 NP-R">
    <w:panose1 w:val="00000000000000000000"/>
    <w:charset w:val="80"/>
    <w:family w:val="roman"/>
    <w:pitch w:val="fixed"/>
    <w:sig w:usb0="00000000" w:usb1="00000000" w:usb2="00000000" w:usb3="00000000" w:csb0="00020000" w:csb1="00000000"/>
  </w:font>
  <w:font w:name="Century Gothic">
    <w:panose1 w:val="00000000000000000000"/>
    <w:charset w:val="00"/>
    <w:family w:val="swiss"/>
    <w:notTrueType/>
    <w:pitch w:val="variable"/>
    <w:sig w:usb0="00000000" w:usb1="00000000" w:usb2="00000000" w:usb3="00000000" w:csb0="FF000000" w:csb1="00000000"/>
  </w:font>
  <w:font w:name="BIZ UDPゴシック">
    <w:panose1 w:val="00000800000000000000"/>
    <w:charset w:val="80"/>
    <w:family w:val="modern"/>
    <w:pitch w:val="fixed"/>
    <w:sig w:usb0="00000000" w:usb1="00000000" w:usb2="00000000" w:usb3="00000000" w:csb0="00020001" w:csb1="00000000"/>
  </w:font>
  <w:font w:name="BIZ UDゴシック">
    <w:panose1 w:val="00000800000000000000"/>
    <w:charset w:val="80"/>
    <w:family w:val="modern"/>
    <w:pitch w:val="fixed"/>
    <w:sig w:usb0="00000000" w:usb1="00000000" w:usb2="00000000" w:usb3="00000000" w:csb0="00020001" w:csb1="00000000"/>
  </w:font>
  <w:font w:name="Malgun Gothic">
    <w:panose1 w:val="00000800000000000000"/>
    <w:charset w:val="80"/>
    <w:family w:val="swiss"/>
    <w:notTrueType/>
    <w:pitch w:val="variable"/>
    <w:sig w:usb0="00000000" w:usb1="00000000" w:usb2="00000000" w:usb3="00000000" w:csb0="01008200" w:csb1="00000000"/>
  </w:font>
  <w:font w:name="メイリオ">
    <w:panose1 w:val="00000800000000000000"/>
    <w:charset w:val="80"/>
    <w:family w:val="modern"/>
    <w:notTrueType/>
    <w:pitch w:val="variable"/>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ascii="Century Gothic" w:hAnsi="Century Gothic"/>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Gothic" w:hAnsi="Century Gothic"/>
      </w:rPr>
      <w:t>26</w:t>
    </w:r>
    <w:r>
      <w:rPr>
        <w:rFonts w:hint="eastAsia"/>
      </w:rPr>
      <w:fldChar w:fldCharType="end"/>
    </w: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5"/>
      <w:rPr>
        <w:rFonts w:hint="default"/>
      </w:rPr>
    </w:pPr>
  </w:p>
</w:hd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6DF85F00"/>
    <w:lvl w:ilvl="0" w:tplc="FFFFFFFF">
      <w:numFmt w:val="bullet"/>
      <w:lvlText w:val=""/>
      <w:lvlJc w:val="left"/>
      <w:pPr>
        <w:ind w:left="440" w:hanging="440"/>
      </w:pPr>
      <w:rPr>
        <w:rFonts w:hint="default" w:ascii="Wingdings" w:hAnsi="Wingdings"/>
        <w:color w:val="808080" w:themeColor="background1" w:themeShade="80"/>
        <w:sz w:val="22"/>
      </w:rPr>
    </w:lvl>
    <w:lvl w:ilvl="1" w:tplc="FFFFFFFF">
      <w:numFmt w:val="bullet"/>
      <w:lvlText w:val=""/>
      <w:lvlJc w:val="left"/>
      <w:pPr>
        <w:ind w:left="880" w:hanging="440"/>
      </w:pPr>
      <w:rPr>
        <w:rFonts w:hint="default" w:ascii="Wingdings" w:hAnsi="Wingdings"/>
      </w:rPr>
    </w:lvl>
    <w:lvl w:ilvl="2" w:tplc="FFFFFFFF">
      <w:numFmt w:val="bullet"/>
      <w:lvlText w:val=""/>
      <w:lvlJc w:val="left"/>
      <w:pPr>
        <w:ind w:left="1320" w:hanging="440"/>
      </w:pPr>
      <w:rPr>
        <w:rFonts w:hint="default" w:ascii="Wingdings" w:hAnsi="Wingdings"/>
      </w:rPr>
    </w:lvl>
    <w:lvl w:ilvl="3" w:tplc="E946BEE0">
      <w:numFmt w:val="bullet"/>
      <w:pStyle w:val="44"/>
      <w:lvlText w:val=""/>
      <w:lvlJc w:val="left"/>
      <w:pPr>
        <w:ind w:left="440" w:hanging="440"/>
      </w:pPr>
      <w:rPr>
        <w:rFonts w:hint="default" w:ascii="Wingdings" w:hAnsi="Wingdings"/>
        <w:color w:val="808080" w:themeColor="background1" w:themeShade="80"/>
        <w:sz w:val="22"/>
      </w:rPr>
    </w:lvl>
    <w:lvl w:ilvl="4" w:tplc="FFFFFFFF">
      <w:numFmt w:val="bullet"/>
      <w:lvlText w:val=""/>
      <w:lvlJc w:val="left"/>
      <w:pPr>
        <w:ind w:left="2200" w:hanging="440"/>
      </w:pPr>
      <w:rPr>
        <w:rFonts w:hint="default" w:ascii="Wingdings" w:hAnsi="Wingdings"/>
      </w:rPr>
    </w:lvl>
    <w:lvl w:ilvl="5" w:tplc="FFFFFFFF">
      <w:numFmt w:val="bullet"/>
      <w:lvlText w:val=""/>
      <w:lvlJc w:val="left"/>
      <w:pPr>
        <w:ind w:left="2640" w:hanging="440"/>
      </w:pPr>
      <w:rPr>
        <w:rFonts w:hint="default" w:ascii="Wingdings" w:hAnsi="Wingdings"/>
      </w:rPr>
    </w:lvl>
    <w:lvl w:ilvl="6" w:tplc="FFFFFFFF">
      <w:numFmt w:val="bullet"/>
      <w:lvlText w:val=""/>
      <w:lvlJc w:val="left"/>
      <w:pPr>
        <w:ind w:left="3080" w:hanging="440"/>
      </w:pPr>
      <w:rPr>
        <w:rFonts w:hint="default" w:ascii="Wingdings" w:hAnsi="Wingdings"/>
      </w:rPr>
    </w:lvl>
    <w:lvl w:ilvl="7" w:tplc="FFFFFFFF">
      <w:numFmt w:val="bullet"/>
      <w:lvlText w:val=""/>
      <w:lvlJc w:val="left"/>
      <w:pPr>
        <w:ind w:left="3520" w:hanging="440"/>
      </w:pPr>
      <w:rPr>
        <w:rFonts w:hint="default" w:ascii="Wingdings" w:hAnsi="Wingdings"/>
      </w:rPr>
    </w:lvl>
    <w:lvl w:ilvl="8" w:tplc="FFFFFFFF">
      <w:numFmt w:val="bullet"/>
      <w:lvlText w:val=""/>
      <w:lvlJc w:val="left"/>
      <w:pPr>
        <w:ind w:left="3960" w:hanging="440"/>
      </w:pPr>
      <w:rPr>
        <w:rFonts w:hint="default" w:ascii="Wingdings" w:hAnsi="Wingdings"/>
      </w:rPr>
    </w:lvl>
  </w:abstractNum>
  <w:abstractNum w:abstractNumId="1">
    <w:nsid w:val="00000002"/>
    <w:multiLevelType w:val="hybridMultilevel"/>
    <w:tmpl w:val="76F2B3B4"/>
    <w:lvl w:ilvl="0" w:tplc="A40AAAE0">
      <w:numFmt w:val="bullet"/>
      <w:lvlText w:val=""/>
      <w:lvlJc w:val="left"/>
      <w:pPr>
        <w:ind w:left="860" w:hanging="420"/>
      </w:pPr>
      <w:rPr>
        <w:rFonts w:hint="default" w:ascii="Wingdings" w:hAnsi="Wingdings"/>
        <w:color w:val="0070C0"/>
      </w:rPr>
    </w:lvl>
    <w:lvl w:ilvl="1" w:tplc="0409000B">
      <w:numFmt w:val="bullet"/>
      <w:lvlText w:val=""/>
      <w:lvlJc w:val="left"/>
      <w:pPr>
        <w:ind w:left="1280" w:hanging="420"/>
      </w:pPr>
      <w:rPr>
        <w:rFonts w:hint="default" w:ascii="Wingdings" w:hAnsi="Wingdings"/>
      </w:rPr>
    </w:lvl>
    <w:lvl w:ilvl="2" w:tplc="0409000D">
      <w:numFmt w:val="bullet"/>
      <w:lvlText w:val=""/>
      <w:lvlJc w:val="left"/>
      <w:pPr>
        <w:ind w:left="1700" w:hanging="420"/>
      </w:pPr>
      <w:rPr>
        <w:rFonts w:hint="default" w:ascii="Wingdings" w:hAnsi="Wingdings"/>
      </w:rPr>
    </w:lvl>
    <w:lvl w:ilvl="3" w:tplc="04090001">
      <w:numFmt w:val="bullet"/>
      <w:lvlText w:val=""/>
      <w:lvlJc w:val="left"/>
      <w:pPr>
        <w:ind w:left="2120" w:hanging="420"/>
      </w:pPr>
      <w:rPr>
        <w:rFonts w:hint="default" w:ascii="Wingdings" w:hAnsi="Wingdings"/>
      </w:rPr>
    </w:lvl>
    <w:lvl w:ilvl="4" w:tplc="0409000B">
      <w:numFmt w:val="bullet"/>
      <w:lvlText w:val=""/>
      <w:lvlJc w:val="left"/>
      <w:pPr>
        <w:ind w:left="2540" w:hanging="420"/>
      </w:pPr>
      <w:rPr>
        <w:rFonts w:hint="default" w:ascii="Wingdings" w:hAnsi="Wingdings"/>
      </w:rPr>
    </w:lvl>
    <w:lvl w:ilvl="5" w:tplc="0409000D">
      <w:numFmt w:val="bullet"/>
      <w:lvlText w:val=""/>
      <w:lvlJc w:val="left"/>
      <w:pPr>
        <w:ind w:left="2960" w:hanging="420"/>
      </w:pPr>
      <w:rPr>
        <w:rFonts w:hint="default" w:ascii="Wingdings" w:hAnsi="Wingdings"/>
      </w:rPr>
    </w:lvl>
    <w:lvl w:ilvl="6" w:tplc="04090001">
      <w:numFmt w:val="bullet"/>
      <w:lvlText w:val=""/>
      <w:lvlJc w:val="left"/>
      <w:pPr>
        <w:ind w:left="3380" w:hanging="420"/>
      </w:pPr>
      <w:rPr>
        <w:rFonts w:hint="default" w:ascii="Wingdings" w:hAnsi="Wingdings"/>
      </w:rPr>
    </w:lvl>
    <w:lvl w:ilvl="7" w:tplc="0409000B">
      <w:numFmt w:val="bullet"/>
      <w:lvlText w:val=""/>
      <w:lvlJc w:val="left"/>
      <w:pPr>
        <w:ind w:left="3800" w:hanging="420"/>
      </w:pPr>
      <w:rPr>
        <w:rFonts w:hint="default" w:ascii="Wingdings" w:hAnsi="Wingdings"/>
      </w:rPr>
    </w:lvl>
    <w:lvl w:ilvl="8" w:tplc="0409000D">
      <w:numFmt w:val="bullet"/>
      <w:lvlText w:val=""/>
      <w:lvlJc w:val="left"/>
      <w:pPr>
        <w:ind w:left="4220" w:hanging="420"/>
      </w:pPr>
      <w:rPr>
        <w:rFonts w:hint="default" w:ascii="Wingdings" w:hAnsi="Wingdings"/>
      </w:rPr>
    </w:lvl>
  </w:abstractNum>
  <w:abstractNum w:abstractNumId="2">
    <w:nsid w:val="00000003"/>
    <w:multiLevelType w:val="hybridMultilevel"/>
    <w:tmpl w:val="19880020"/>
    <w:lvl w:ilvl="0" w:tplc="A3206C8E">
      <w:numFmt w:val="bullet"/>
      <w:lvlText w:val=""/>
      <w:lvlJc w:val="left"/>
      <w:pPr>
        <w:ind w:left="880" w:hanging="440"/>
      </w:pPr>
      <w:rPr>
        <w:rFonts w:hint="default" w:ascii="Wingdings" w:hAnsi="Wingdings"/>
        <w:color w:val="0070C0"/>
        <w:sz w:val="22"/>
      </w:rPr>
    </w:lvl>
    <w:lvl w:ilvl="1" w:tplc="0409000B">
      <w:numFmt w:val="bullet"/>
      <w:lvlText w:val=""/>
      <w:lvlJc w:val="left"/>
      <w:pPr>
        <w:ind w:left="1320" w:hanging="440"/>
      </w:pPr>
      <w:rPr>
        <w:rFonts w:hint="default" w:ascii="Wingdings" w:hAnsi="Wingdings"/>
      </w:rPr>
    </w:lvl>
    <w:lvl w:ilvl="2" w:tplc="0409000D">
      <w:numFmt w:val="bullet"/>
      <w:lvlText w:val=""/>
      <w:lvlJc w:val="left"/>
      <w:pPr>
        <w:ind w:left="1760" w:hanging="440"/>
      </w:pPr>
      <w:rPr>
        <w:rFonts w:hint="default" w:ascii="Wingdings" w:hAnsi="Wingdings"/>
      </w:rPr>
    </w:lvl>
    <w:lvl w:ilvl="3" w:tplc="04090001">
      <w:numFmt w:val="bullet"/>
      <w:lvlText w:val=""/>
      <w:lvlJc w:val="left"/>
      <w:pPr>
        <w:ind w:left="2200" w:hanging="440"/>
      </w:pPr>
      <w:rPr>
        <w:rFonts w:hint="default" w:ascii="Wingdings" w:hAnsi="Wingdings"/>
      </w:rPr>
    </w:lvl>
    <w:lvl w:ilvl="4" w:tplc="0409000B">
      <w:numFmt w:val="bullet"/>
      <w:lvlText w:val=""/>
      <w:lvlJc w:val="left"/>
      <w:pPr>
        <w:ind w:left="2640" w:hanging="440"/>
      </w:pPr>
      <w:rPr>
        <w:rFonts w:hint="default" w:ascii="Wingdings" w:hAnsi="Wingdings"/>
      </w:rPr>
    </w:lvl>
    <w:lvl w:ilvl="5" w:tplc="0409000D">
      <w:numFmt w:val="bullet"/>
      <w:lvlText w:val=""/>
      <w:lvlJc w:val="left"/>
      <w:pPr>
        <w:ind w:left="3080" w:hanging="440"/>
      </w:pPr>
      <w:rPr>
        <w:rFonts w:hint="default" w:ascii="Wingdings" w:hAnsi="Wingdings"/>
      </w:rPr>
    </w:lvl>
    <w:lvl w:ilvl="6" w:tplc="04090001">
      <w:numFmt w:val="bullet"/>
      <w:lvlText w:val=""/>
      <w:lvlJc w:val="left"/>
      <w:pPr>
        <w:ind w:left="3520" w:hanging="440"/>
      </w:pPr>
      <w:rPr>
        <w:rFonts w:hint="default" w:ascii="Wingdings" w:hAnsi="Wingdings"/>
      </w:rPr>
    </w:lvl>
    <w:lvl w:ilvl="7" w:tplc="0409000B">
      <w:numFmt w:val="bullet"/>
      <w:lvlText w:val=""/>
      <w:lvlJc w:val="left"/>
      <w:pPr>
        <w:ind w:left="3960" w:hanging="440"/>
      </w:pPr>
      <w:rPr>
        <w:rFonts w:hint="default" w:ascii="Wingdings" w:hAnsi="Wingdings"/>
      </w:rPr>
    </w:lvl>
    <w:lvl w:ilvl="8" w:tplc="0409000D">
      <w:numFmt w:val="bullet"/>
      <w:lvlText w:val=""/>
      <w:lvlJc w:val="left"/>
      <w:pPr>
        <w:ind w:left="4400" w:hanging="44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70"/>
  <w:bordersDoNotSurroundHeader/>
  <w:bordersDoNotSurroundFooter/>
  <w:defaultTabStop w:val="840"/>
  <w:defaultTableStyle w:val="90"/>
  <w:drawingGridHorizontalSpacing w:val="110"/>
  <w:drawingGridVerticalSpacing w:val="190"/>
  <w:displayHorizontalDrawingGridEvery w:val="2"/>
  <w:displayVerticalDrawingGridEvery w:val="2"/>
  <w:hdrShapeDefaults>
    <o:shapelayout v:ext="edit"/>
  </w:hdrShapeDefaults>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o:rules v:ext="edit">
        <o:r id="V:Rule16" type="connector" idref="#_x0000_s1060">
          <o:proxy start="" idref="#_x0000_s0" connectloc="-1"/>
          <o:proxy end="" idref="#_x0000_s0" connectloc="-1"/>
        </o:r>
        <o:r id="V:Rule36" type="connector" idref="#_x0000_s1057">
          <o:proxy start="" idref="#_x0000_s0" connectloc="-1"/>
          <o:proxy end="" idref="#_x0000_s0" connectloc="-1"/>
        </o:r>
        <o:r id="V:Rule58" type="connector" idref="#_x0000_s1037">
          <o:proxy start="" idref="#_x0000_s0" connectloc="-1"/>
          <o:proxy end="" idref="#_x0000_s0" connectloc="-1"/>
        </o:r>
        <o:r id="V:Rule74" type="connector" idref="#_x0000_s1068">
          <o:proxy start="" idref="#_x0000_s0" connectloc="-1"/>
          <o:proxy end="" idref="#_x0000_s0" connectloc="-1"/>
        </o:r>
        <o:r id="V:Rule94" type="connector" idref="#_x0000_s1065">
          <o:proxy start="" idref="#_x0000_s0" connectloc="-1"/>
          <o:proxy end="" idref="#_x0000_s0" connectloc="-1"/>
        </o:r>
        <o:r id="V:Rule116" type="connector" idref="#_x0000_s1045">
          <o:proxy start="" idref="#_x0000_s0" connectloc="-1"/>
          <o:proxy end="" idref="#_x0000_s0" connectloc="-1"/>
        </o:r>
        <o:r id="V:Rule142" type="connector" idref="#_x0000_s1141">
          <o:proxy start="" idref="#_x0000_s0" connectloc="-1"/>
          <o:proxy end="" idref="#_x0000_s0" connectloc="-1"/>
        </o:r>
        <o:r id="V:Rule154" type="connector" idref="#_x0000_s1039">
          <o:proxy start="" idref="#_x0000_s0" connectloc="-1"/>
          <o:proxy end="" idref="#_x0000_s0" connectloc="-1"/>
        </o:r>
        <o:r id="V:Rule194" type="connector" idref="#_x0000_s1033">
          <o:proxy start="" idref="#_x0000_s0" connectloc="-1"/>
          <o:proxy end="" idref="#_x0000_s0" connectloc="-1"/>
        </o:r>
        <o:r id="V:Rule268" type="connector" idref="#_x0000_s1055">
          <o:proxy start="" idref="#_x0000_s0" connectloc="-1"/>
          <o:proxy end="" idref="#_x0000_s0" connectloc="-1"/>
        </o:r>
        <o:r id="V:Rule310" type="connector" idref="#_x0000_s1032">
          <o:proxy start="" idref="#_x0000_s0" connectloc="-1"/>
          <o:proxy end="" idref="#_x0000_s0" connectloc="-1"/>
        </o:r>
        <o:r id="V:Rule328" type="connector" idref="#_x0000_s1046">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rFonts w:ascii="BIZ UDゴシック" w:hAnsi="BIZ UDゴシック" w:eastAsia="BIZ UDゴシック"/>
      <w:sz w:val="22"/>
    </w:rPr>
  </w:style>
  <w:style w:type="paragraph" w:styleId="1">
    <w:name w:val="heading 1"/>
    <w:basedOn w:val="0"/>
    <w:next w:val="0"/>
    <w:link w:val="19"/>
    <w:uiPriority w:val="0"/>
    <w:qFormat/>
    <w:pPr>
      <w:keepNext w:val="1"/>
      <w:outlineLvl w:val="0"/>
    </w:pPr>
    <w:rPr>
      <w:rFonts w:asciiTheme="majorHAnsi" w:hAnsiTheme="majorHAnsi" w:eastAsiaTheme="majorEastAsia"/>
      <w:sz w:val="24"/>
    </w:rPr>
  </w:style>
  <w:style w:type="paragraph" w:styleId="2">
    <w:name w:val="heading 2"/>
    <w:basedOn w:val="0"/>
    <w:next w:val="0"/>
    <w:link w:val="54"/>
    <w:uiPriority w:val="0"/>
    <w:qFormat/>
    <w:pPr>
      <w:keepNext w:val="1"/>
      <w:outlineLvl w:val="1"/>
    </w:pPr>
    <w:rPr>
      <w:rFonts w:asciiTheme="majorHAnsi" w:hAnsiTheme="majorHAnsi" w:eastAsiaTheme="majorEastAsia"/>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rPr>
      <w:rFonts w:ascii="BIZ UDゴシック" w:hAnsi="BIZ UDゴシック" w:eastAsia="BIZ UDゴシック"/>
      <w:sz w:val="22"/>
    </w:rPr>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rPr>
      <w:rFonts w:ascii="BIZ UDゴシック" w:hAnsi="BIZ UDゴシック" w:eastAsia="BIZ UDゴシック"/>
      <w:sz w:val="22"/>
    </w:rPr>
  </w:style>
  <w:style w:type="character" w:styleId="19" w:customStyle="1">
    <w:name w:val="見出し 1 (文字)"/>
    <w:basedOn w:val="10"/>
    <w:next w:val="19"/>
    <w:link w:val="1"/>
    <w:uiPriority w:val="0"/>
    <w:rPr>
      <w:rFonts w:asciiTheme="majorHAnsi" w:hAnsiTheme="majorHAnsi" w:eastAsiaTheme="majorEastAsia"/>
      <w:sz w:val="24"/>
    </w:rPr>
  </w:style>
  <w:style w:type="paragraph" w:styleId="20" w:customStyle="1">
    <w:name w:val="章"/>
    <w:basedOn w:val="1"/>
    <w:next w:val="20"/>
    <w:link w:val="21"/>
    <w:uiPriority w:val="0"/>
    <w:qFormat/>
    <w:pPr>
      <w:spacing w:line="720" w:lineRule="exact"/>
    </w:pPr>
    <w:rPr>
      <w:rFonts w:ascii="BIZ UDPゴシック" w:hAnsi="BIZ UDPゴシック" w:eastAsia="BIZ UDPゴシック"/>
      <w:b w:val="1"/>
      <w:sz w:val="36"/>
    </w:rPr>
  </w:style>
  <w:style w:type="character" w:styleId="21" w:customStyle="1">
    <w:name w:val="章 (文字)"/>
    <w:basedOn w:val="19"/>
    <w:next w:val="21"/>
    <w:link w:val="20"/>
    <w:uiPriority w:val="0"/>
    <w:rPr>
      <w:rFonts w:ascii="BIZ UDPゴシック" w:hAnsi="BIZ UDPゴシック" w:eastAsia="BIZ UDPゴシック"/>
      <w:b w:val="1"/>
      <w:sz w:val="36"/>
    </w:rPr>
  </w:style>
  <w:style w:type="paragraph" w:styleId="22" w:customStyle="1">
    <w:name w:val="項"/>
    <w:basedOn w:val="1"/>
    <w:next w:val="22"/>
    <w:link w:val="23"/>
    <w:uiPriority w:val="0"/>
    <w:qFormat/>
    <w:pPr>
      <w:spacing w:after="74" w:afterLines="20" w:afterAutospacing="0" w:line="600" w:lineRule="exact"/>
    </w:pPr>
    <w:rPr>
      <w:rFonts w:ascii="BIZ UDPゴシック" w:hAnsi="BIZ UDPゴシック" w:eastAsia="BIZ UDPゴシック"/>
      <w:b w:val="1"/>
      <w:sz w:val="32"/>
    </w:rPr>
  </w:style>
  <w:style w:type="character" w:styleId="23" w:customStyle="1">
    <w:name w:val="項 (文字)"/>
    <w:basedOn w:val="19"/>
    <w:next w:val="23"/>
    <w:link w:val="22"/>
    <w:uiPriority w:val="0"/>
    <w:rPr>
      <w:rFonts w:ascii="BIZ UDPゴシック" w:hAnsi="BIZ UDPゴシック" w:eastAsia="BIZ UDPゴシック"/>
      <w:b w:val="1"/>
      <w:sz w:val="32"/>
    </w:rPr>
  </w:style>
  <w:style w:type="paragraph" w:styleId="24" w:customStyle="1">
    <w:name w:val="本文1"/>
    <w:basedOn w:val="0"/>
    <w:next w:val="24"/>
    <w:link w:val="25"/>
    <w:uiPriority w:val="0"/>
    <w:qFormat/>
    <w:pPr>
      <w:autoSpaceDE w:val="0"/>
      <w:autoSpaceDN w:val="0"/>
      <w:spacing w:line="380" w:lineRule="exact"/>
      <w:ind w:left="220" w:leftChars="100" w:firstLine="220" w:firstLineChars="100"/>
    </w:pPr>
  </w:style>
  <w:style w:type="character" w:styleId="25" w:customStyle="1">
    <w:name w:val="本文1 (文字)"/>
    <w:basedOn w:val="10"/>
    <w:next w:val="25"/>
    <w:link w:val="24"/>
    <w:uiPriority w:val="0"/>
    <w:rPr>
      <w:rFonts w:ascii="BIZ UDゴシック" w:hAnsi="BIZ UDゴシック" w:eastAsia="BIZ UDゴシック"/>
      <w:sz w:val="22"/>
    </w:rPr>
  </w:style>
  <w:style w:type="paragraph" w:styleId="26" w:customStyle="1">
    <w:name w:val="(1)"/>
    <w:basedOn w:val="1"/>
    <w:next w:val="26"/>
    <w:link w:val="27"/>
    <w:uiPriority w:val="0"/>
    <w:qFormat/>
    <w:pPr>
      <w:spacing w:after="74" w:afterLines="20" w:afterAutospacing="0" w:line="440" w:lineRule="exact"/>
      <w:ind w:left="220" w:leftChars="100"/>
    </w:pPr>
    <w:rPr>
      <w:rFonts w:ascii="BIZ UDPゴシック" w:hAnsi="BIZ UDPゴシック" w:eastAsia="BIZ UDPゴシック"/>
      <w:b w:val="1"/>
      <w:sz w:val="28"/>
    </w:rPr>
  </w:style>
  <w:style w:type="character" w:styleId="27" w:customStyle="1">
    <w:name w:val="(1) (文字)"/>
    <w:basedOn w:val="19"/>
    <w:next w:val="27"/>
    <w:link w:val="26"/>
    <w:uiPriority w:val="0"/>
    <w:rPr>
      <w:rFonts w:ascii="BIZ UDPゴシック" w:hAnsi="BIZ UDPゴシック" w:eastAsia="BIZ UDPゴシック"/>
      <w:b w:val="1"/>
      <w:sz w:val="28"/>
    </w:rPr>
  </w:style>
  <w:style w:type="paragraph" w:styleId="28" w:customStyle="1">
    <w:name w:val="本文2"/>
    <w:basedOn w:val="24"/>
    <w:next w:val="28"/>
    <w:link w:val="29"/>
    <w:uiPriority w:val="0"/>
    <w:qFormat/>
    <w:pPr>
      <w:ind w:left="440" w:leftChars="200"/>
    </w:pPr>
  </w:style>
  <w:style w:type="character" w:styleId="29" w:customStyle="1">
    <w:name w:val="本文2 (文字)"/>
    <w:basedOn w:val="25"/>
    <w:next w:val="29"/>
    <w:link w:val="28"/>
    <w:uiPriority w:val="0"/>
    <w:rPr>
      <w:rFonts w:ascii="BIZ UDゴシック" w:hAnsi="BIZ UDゴシック" w:eastAsia="BIZ UDゴシック"/>
      <w:sz w:val="22"/>
    </w:rPr>
  </w:style>
  <w:style w:type="paragraph" w:styleId="30" w:customStyle="1">
    <w:name w:val="ア"/>
    <w:basedOn w:val="26"/>
    <w:next w:val="30"/>
    <w:link w:val="31"/>
    <w:uiPriority w:val="0"/>
    <w:qFormat/>
    <w:pPr>
      <w:ind w:left="440" w:leftChars="200"/>
      <w:outlineLvl w:val="9"/>
    </w:pPr>
    <w:rPr>
      <w:sz w:val="24"/>
    </w:rPr>
  </w:style>
  <w:style w:type="character" w:styleId="31" w:customStyle="1">
    <w:name w:val="ア (文字)"/>
    <w:basedOn w:val="27"/>
    <w:next w:val="31"/>
    <w:link w:val="30"/>
    <w:uiPriority w:val="0"/>
    <w:rPr>
      <w:rFonts w:ascii="BIZ UDPゴシック" w:hAnsi="BIZ UDPゴシック" w:eastAsia="BIZ UDPゴシック"/>
      <w:sz w:val="24"/>
    </w:rPr>
  </w:style>
  <w:style w:type="paragraph" w:styleId="32" w:customStyle="1">
    <w:name w:val="本文3"/>
    <w:basedOn w:val="28"/>
    <w:next w:val="32"/>
    <w:link w:val="33"/>
    <w:uiPriority w:val="0"/>
    <w:qFormat/>
    <w:pPr>
      <w:ind w:left="660" w:leftChars="300"/>
    </w:pPr>
  </w:style>
  <w:style w:type="character" w:styleId="33" w:customStyle="1">
    <w:name w:val="本文3 (文字)"/>
    <w:basedOn w:val="29"/>
    <w:next w:val="33"/>
    <w:link w:val="32"/>
    <w:uiPriority w:val="0"/>
    <w:rPr>
      <w:rFonts w:ascii="BIZ UDゴシック" w:hAnsi="BIZ UDゴシック" w:eastAsia="BIZ UDゴシック"/>
      <w:sz w:val="22"/>
    </w:rPr>
  </w:style>
  <w:style w:type="paragraph" w:styleId="34">
    <w:name w:val="List Paragraph"/>
    <w:basedOn w:val="0"/>
    <w:next w:val="34"/>
    <w:link w:val="43"/>
    <w:uiPriority w:val="0"/>
    <w:qFormat/>
    <w:pPr>
      <w:ind w:left="840" w:leftChars="400"/>
    </w:pPr>
    <w:rPr>
      <w:rFonts w:ascii="HG丸ｺﾞｼｯｸM-PRO" w:hAnsi="HG丸ｺﾞｼｯｸM-PRO" w:eastAsia="HG丸ｺﾞｼｯｸM-PRO"/>
    </w:rPr>
  </w:style>
  <w:style w:type="paragraph" w:styleId="35" w:customStyle="1">
    <w:name w:val="見出し章"/>
    <w:basedOn w:val="1"/>
    <w:next w:val="35"/>
    <w:link w:val="37"/>
    <w:uiPriority w:val="0"/>
    <w:qFormat/>
    <w:rPr>
      <w:rFonts w:ascii="メイリオ" w:hAnsi="メイリオ" w:eastAsia="メイリオ"/>
      <w:b w:val="1"/>
      <w:sz w:val="32"/>
    </w:rPr>
  </w:style>
  <w:style w:type="paragraph" w:styleId="36" w:customStyle="1">
    <w:name w:val="見出し項"/>
    <w:basedOn w:val="1"/>
    <w:next w:val="36"/>
    <w:link w:val="38"/>
    <w:uiPriority w:val="0"/>
    <w:qFormat/>
    <w:rPr>
      <w:rFonts w:ascii="メイリオ" w:hAnsi="メイリオ" w:eastAsia="メイリオ"/>
      <w:sz w:val="28"/>
    </w:rPr>
  </w:style>
  <w:style w:type="character" w:styleId="37" w:customStyle="1">
    <w:name w:val="見出し章 (文字)"/>
    <w:basedOn w:val="19"/>
    <w:next w:val="37"/>
    <w:link w:val="35"/>
    <w:uiPriority w:val="0"/>
    <w:rPr>
      <w:rFonts w:ascii="メイリオ" w:hAnsi="メイリオ" w:eastAsia="メイリオ"/>
      <w:b w:val="1"/>
      <w:sz w:val="32"/>
    </w:rPr>
  </w:style>
  <w:style w:type="character" w:styleId="38" w:customStyle="1">
    <w:name w:val="見出し項 (文字)"/>
    <w:basedOn w:val="19"/>
    <w:next w:val="38"/>
    <w:link w:val="36"/>
    <w:uiPriority w:val="0"/>
    <w:rPr>
      <w:rFonts w:ascii="メイリオ" w:hAnsi="メイリオ" w:eastAsia="メイリオ"/>
      <w:sz w:val="28"/>
    </w:rPr>
  </w:style>
  <w:style w:type="paragraph" w:styleId="39" w:customStyle="1">
    <w:name w:val="見出し（）"/>
    <w:basedOn w:val="1"/>
    <w:next w:val="39"/>
    <w:link w:val="40"/>
    <w:uiPriority w:val="0"/>
    <w:qFormat/>
    <w:pPr>
      <w:spacing w:line="440" w:lineRule="exact"/>
      <w:ind w:left="220" w:leftChars="100"/>
    </w:pPr>
    <w:rPr>
      <w:rFonts w:ascii="メイリオ" w:hAnsi="メイリオ" w:eastAsia="メイリオ"/>
    </w:rPr>
  </w:style>
  <w:style w:type="character" w:styleId="40" w:customStyle="1">
    <w:name w:val="見出し（） (文字)"/>
    <w:basedOn w:val="19"/>
    <w:next w:val="40"/>
    <w:link w:val="39"/>
    <w:uiPriority w:val="0"/>
    <w:rPr>
      <w:rFonts w:ascii="メイリオ" w:hAnsi="メイリオ" w:eastAsia="メイリオ"/>
      <w:sz w:val="24"/>
    </w:rPr>
  </w:style>
  <w:style w:type="paragraph" w:styleId="41" w:customStyle="1">
    <w:name w:val="基本"/>
    <w:basedOn w:val="0"/>
    <w:next w:val="41"/>
    <w:link w:val="42"/>
    <w:uiPriority w:val="0"/>
    <w:qFormat/>
    <w:pPr>
      <w:spacing w:line="380" w:lineRule="exact"/>
    </w:pPr>
  </w:style>
  <w:style w:type="character" w:styleId="42" w:customStyle="1">
    <w:name w:val="基本 (文字)"/>
    <w:basedOn w:val="10"/>
    <w:next w:val="42"/>
    <w:link w:val="41"/>
    <w:uiPriority w:val="0"/>
    <w:rPr>
      <w:rFonts w:ascii="BIZ UDゴシック" w:hAnsi="BIZ UDゴシック" w:eastAsia="BIZ UDゴシック"/>
      <w:sz w:val="22"/>
    </w:rPr>
  </w:style>
  <w:style w:type="character" w:styleId="43" w:customStyle="1">
    <w:name w:val="リスト段落 (文字)"/>
    <w:next w:val="43"/>
    <w:link w:val="34"/>
    <w:uiPriority w:val="0"/>
    <w:rPr>
      <w:rFonts w:ascii="HG丸ｺﾞｼｯｸM-PRO" w:hAnsi="HG丸ｺﾞｼｯｸM-PRO" w:eastAsia="HG丸ｺﾞｼｯｸM-PRO"/>
      <w:sz w:val="22"/>
    </w:rPr>
  </w:style>
  <w:style w:type="paragraph" w:styleId="44" w:customStyle="1">
    <w:name w:val="箇条書き3"/>
    <w:basedOn w:val="34"/>
    <w:next w:val="44"/>
    <w:link w:val="45"/>
    <w:uiPriority w:val="0"/>
    <w:qFormat/>
    <w:pPr>
      <w:numPr>
        <w:ilvl w:val="3"/>
        <w:numId w:val="1"/>
      </w:numPr>
      <w:autoSpaceDE w:val="0"/>
      <w:autoSpaceDN w:val="0"/>
      <w:spacing w:line="380" w:lineRule="exact"/>
      <w:ind w:left="1102" w:leftChars="300" w:hanging="442"/>
    </w:pPr>
    <w:rPr>
      <w:rFonts w:ascii="BIZ UDゴシック" w:hAnsi="BIZ UDゴシック" w:eastAsia="BIZ UDゴシック"/>
    </w:rPr>
  </w:style>
  <w:style w:type="character" w:styleId="45" w:customStyle="1">
    <w:name w:val="箇条書き3 (文字)"/>
    <w:basedOn w:val="43"/>
    <w:next w:val="45"/>
    <w:link w:val="44"/>
    <w:uiPriority w:val="0"/>
    <w:rPr>
      <w:rFonts w:ascii="BIZ UDゴシック" w:hAnsi="BIZ UDゴシック" w:eastAsia="BIZ UDゴシック"/>
      <w:sz w:val="22"/>
    </w:rPr>
  </w:style>
  <w:style w:type="paragraph" w:styleId="46" w:customStyle="1">
    <w:name w:val="箇条書き2"/>
    <w:basedOn w:val="44"/>
    <w:next w:val="46"/>
    <w:link w:val="47"/>
    <w:uiPriority w:val="0"/>
    <w:qFormat/>
    <w:pPr>
      <w:ind w:left="882" w:leftChars="200"/>
    </w:pPr>
  </w:style>
  <w:style w:type="character" w:styleId="47" w:customStyle="1">
    <w:name w:val="箇条書き2 (文字)"/>
    <w:basedOn w:val="45"/>
    <w:next w:val="47"/>
    <w:link w:val="46"/>
    <w:uiPriority w:val="0"/>
    <w:rPr>
      <w:rFonts w:ascii="BIZ UDゴシック" w:hAnsi="BIZ UDゴシック" w:eastAsia="BIZ UDゴシック"/>
      <w:sz w:val="22"/>
    </w:rPr>
  </w:style>
  <w:style w:type="paragraph" w:styleId="48" w:customStyle="1">
    <w:name w:val="箇条書き1"/>
    <w:basedOn w:val="46"/>
    <w:next w:val="48"/>
    <w:link w:val="49"/>
    <w:uiPriority w:val="0"/>
    <w:qFormat/>
    <w:pPr>
      <w:ind w:left="662" w:leftChars="100"/>
    </w:pPr>
  </w:style>
  <w:style w:type="character" w:styleId="49" w:customStyle="1">
    <w:name w:val="箇条書き1 (文字)"/>
    <w:basedOn w:val="47"/>
    <w:next w:val="49"/>
    <w:link w:val="48"/>
    <w:uiPriority w:val="0"/>
    <w:rPr>
      <w:rFonts w:ascii="BIZ UDゴシック" w:hAnsi="BIZ UDゴシック" w:eastAsia="BIZ UDゴシック"/>
      <w:sz w:val="22"/>
    </w:rPr>
  </w:style>
  <w:style w:type="paragraph" w:styleId="50" w:customStyle="1">
    <w:name w:val="現状と課題"/>
    <w:basedOn w:val="28"/>
    <w:next w:val="50"/>
    <w:link w:val="51"/>
    <w:uiPriority w:val="0"/>
    <w:qFormat/>
    <w:pPr>
      <w:spacing w:before="111" w:beforeLines="30" w:beforeAutospacing="0" w:after="111" w:afterLines="30" w:afterAutospacing="0"/>
      <w:ind w:left="220" w:leftChars="100" w:firstLine="0" w:firstLineChars="0"/>
    </w:pPr>
    <w:rPr>
      <w:color w:val="5B9BD5" w:themeColor="accent5"/>
    </w:rPr>
  </w:style>
  <w:style w:type="character" w:styleId="51" w:customStyle="1">
    <w:name w:val="現状と課題 (文字)"/>
    <w:basedOn w:val="29"/>
    <w:next w:val="51"/>
    <w:link w:val="50"/>
    <w:uiPriority w:val="0"/>
    <w:rPr>
      <w:rFonts w:ascii="BIZ UDゴシック" w:hAnsi="BIZ UDゴシック" w:eastAsia="BIZ UDゴシック"/>
      <w:color w:val="5B9BD5" w:themeColor="accent5"/>
      <w:sz w:val="22"/>
    </w:rPr>
  </w:style>
  <w:style w:type="paragraph" w:styleId="52" w:customStyle="1">
    <w:name w:val="施策内容"/>
    <w:basedOn w:val="24"/>
    <w:next w:val="52"/>
    <w:link w:val="53"/>
    <w:uiPriority w:val="0"/>
    <w:qFormat/>
    <w:pPr>
      <w:ind w:left="0" w:leftChars="0"/>
    </w:pPr>
  </w:style>
  <w:style w:type="character" w:styleId="53" w:customStyle="1">
    <w:name w:val="施策内容 (文字)"/>
    <w:basedOn w:val="25"/>
    <w:next w:val="53"/>
    <w:link w:val="52"/>
    <w:uiPriority w:val="0"/>
    <w:rPr>
      <w:rFonts w:ascii="BIZ UDゴシック" w:hAnsi="BIZ UDゴシック" w:eastAsia="BIZ UDゴシック"/>
      <w:sz w:val="22"/>
    </w:rPr>
  </w:style>
  <w:style w:type="character" w:styleId="54" w:customStyle="1">
    <w:name w:val="見出し 2 (文字)"/>
    <w:basedOn w:val="10"/>
    <w:next w:val="54"/>
    <w:link w:val="2"/>
    <w:uiPriority w:val="0"/>
    <w:rPr>
      <w:rFonts w:asciiTheme="majorHAnsi" w:hAnsiTheme="majorHAnsi" w:eastAsiaTheme="majorEastAsia"/>
      <w:sz w:val="22"/>
    </w:rPr>
  </w:style>
  <w:style w:type="paragraph" w:styleId="55">
    <w:name w:val="Date"/>
    <w:basedOn w:val="0"/>
    <w:next w:val="0"/>
    <w:link w:val="56"/>
    <w:uiPriority w:val="0"/>
    <w:rPr>
      <w:rFonts w:ascii="HG丸ｺﾞｼｯｸM-PRO" w:hAnsi="HG丸ｺﾞｼｯｸM-PRO" w:eastAsia="HG丸ｺﾞｼｯｸM-PRO"/>
    </w:rPr>
  </w:style>
  <w:style w:type="character" w:styleId="56" w:customStyle="1">
    <w:name w:val="日付 (文字)"/>
    <w:basedOn w:val="10"/>
    <w:next w:val="56"/>
    <w:link w:val="55"/>
    <w:uiPriority w:val="0"/>
    <w:rPr>
      <w:rFonts w:ascii="HG丸ｺﾞｼｯｸM-PRO" w:hAnsi="HG丸ｺﾞｼｯｸM-PRO" w:eastAsia="HG丸ｺﾞｼｯｸM-PRO"/>
      <w:sz w:val="22"/>
    </w:rPr>
  </w:style>
  <w:style w:type="character" w:styleId="57">
    <w:name w:val="Hyperlink"/>
    <w:basedOn w:val="10"/>
    <w:next w:val="57"/>
    <w:link w:val="0"/>
    <w:uiPriority w:val="0"/>
    <w:rPr>
      <w:color w:val="0563C1" w:themeColor="hyperlink"/>
      <w:u w:val="single" w:color="auto"/>
    </w:rPr>
  </w:style>
  <w:style w:type="paragraph" w:styleId="58">
    <w:name w:val="No Spacing"/>
    <w:next w:val="58"/>
    <w:link w:val="59"/>
    <w:uiPriority w:val="0"/>
    <w:qFormat/>
    <w:rPr>
      <w:kern w:val="0"/>
      <w:sz w:val="22"/>
    </w:rPr>
  </w:style>
  <w:style w:type="character" w:styleId="59" w:customStyle="1">
    <w:name w:val="行間詰め (文字)"/>
    <w:basedOn w:val="10"/>
    <w:next w:val="59"/>
    <w:link w:val="58"/>
    <w:uiPriority w:val="0"/>
    <w:rPr>
      <w:kern w:val="0"/>
      <w:sz w:val="22"/>
    </w:rPr>
  </w:style>
  <w:style w:type="paragraph" w:styleId="60">
    <w:name w:val="Balloon Text"/>
    <w:basedOn w:val="0"/>
    <w:next w:val="60"/>
    <w:link w:val="61"/>
    <w:uiPriority w:val="0"/>
    <w:semiHidden/>
    <w:rPr>
      <w:rFonts w:asciiTheme="majorHAnsi" w:hAnsiTheme="majorHAnsi" w:eastAsiaTheme="majorEastAsia"/>
      <w:sz w:val="18"/>
    </w:rPr>
  </w:style>
  <w:style w:type="character" w:styleId="61" w:customStyle="1">
    <w:name w:val="吹き出し (文字)"/>
    <w:basedOn w:val="10"/>
    <w:next w:val="61"/>
    <w:link w:val="60"/>
    <w:uiPriority w:val="0"/>
    <w:rPr>
      <w:rFonts w:asciiTheme="majorHAnsi" w:hAnsiTheme="majorHAnsi" w:eastAsiaTheme="majorEastAsia"/>
      <w:sz w:val="18"/>
    </w:rPr>
  </w:style>
  <w:style w:type="character" w:styleId="62">
    <w:name w:val="annotation reference"/>
    <w:basedOn w:val="10"/>
    <w:next w:val="62"/>
    <w:link w:val="0"/>
    <w:uiPriority w:val="0"/>
    <w:semiHidden/>
    <w:rPr>
      <w:sz w:val="18"/>
    </w:rPr>
  </w:style>
  <w:style w:type="paragraph" w:styleId="63">
    <w:name w:val="annotation text"/>
    <w:basedOn w:val="0"/>
    <w:next w:val="63"/>
    <w:link w:val="64"/>
    <w:uiPriority w:val="0"/>
    <w:semiHidden/>
    <w:pPr>
      <w:jc w:val="left"/>
    </w:pPr>
    <w:rPr>
      <w:rFonts w:ascii="HG丸ｺﾞｼｯｸM-PRO" w:hAnsi="HG丸ｺﾞｼｯｸM-PRO" w:eastAsia="HG丸ｺﾞｼｯｸM-PRO"/>
    </w:rPr>
  </w:style>
  <w:style w:type="character" w:styleId="64" w:customStyle="1">
    <w:name w:val="コメント文字列 (文字)"/>
    <w:basedOn w:val="10"/>
    <w:next w:val="64"/>
    <w:link w:val="63"/>
    <w:uiPriority w:val="0"/>
    <w:rPr>
      <w:rFonts w:ascii="HG丸ｺﾞｼｯｸM-PRO" w:hAnsi="HG丸ｺﾞｼｯｸM-PRO" w:eastAsia="HG丸ｺﾞｼｯｸM-PRO"/>
      <w:sz w:val="22"/>
    </w:rPr>
  </w:style>
  <w:style w:type="paragraph" w:styleId="65">
    <w:name w:val="annotation subject"/>
    <w:basedOn w:val="63"/>
    <w:next w:val="63"/>
    <w:link w:val="66"/>
    <w:uiPriority w:val="0"/>
    <w:semiHidden/>
    <w:rPr>
      <w:b w:val="1"/>
    </w:rPr>
  </w:style>
  <w:style w:type="character" w:styleId="66" w:customStyle="1">
    <w:name w:val="コメント内容 (文字)"/>
    <w:basedOn w:val="64"/>
    <w:next w:val="66"/>
    <w:link w:val="65"/>
    <w:uiPriority w:val="0"/>
    <w:rPr>
      <w:rFonts w:ascii="HG丸ｺﾞｼｯｸM-PRO" w:hAnsi="HG丸ｺﾞｼｯｸM-PRO" w:eastAsia="HG丸ｺﾞｼｯｸM-PRO"/>
      <w:b w:val="1"/>
      <w:sz w:val="22"/>
    </w:rPr>
  </w:style>
  <w:style w:type="paragraph" w:styleId="67">
    <w:name w:val="Normal (Web)"/>
    <w:basedOn w:val="0"/>
    <w:next w:val="67"/>
    <w:link w:val="0"/>
    <w:uiPriority w:val="0"/>
    <w:qFormat/>
    <w:pPr>
      <w:widowControl w:val="1"/>
      <w:spacing w:before="100" w:beforeLines="0" w:beforeAutospacing="1" w:after="100" w:afterLines="0" w:afterAutospacing="1"/>
      <w:jc w:val="left"/>
    </w:pPr>
    <w:rPr>
      <w:rFonts w:ascii="ＭＳ Ｐゴシック" w:hAnsi="ＭＳ Ｐゴシック" w:eastAsia="ＭＳ Ｐゴシック"/>
      <w:kern w:val="0"/>
      <w:sz w:val="24"/>
    </w:rPr>
  </w:style>
  <w:style w:type="character" w:styleId="68">
    <w:name w:val="footnote reference"/>
    <w:basedOn w:val="10"/>
    <w:next w:val="68"/>
    <w:link w:val="0"/>
    <w:uiPriority w:val="0"/>
    <w:semiHidden/>
    <w:rPr>
      <w:vertAlign w:val="superscript"/>
    </w:rPr>
  </w:style>
  <w:style w:type="character" w:styleId="69">
    <w:name w:val="endnote reference"/>
    <w:basedOn w:val="10"/>
    <w:next w:val="69"/>
    <w:link w:val="0"/>
    <w:uiPriority w:val="0"/>
    <w:semiHidden/>
    <w:rPr>
      <w:vertAlign w:val="superscript"/>
    </w:rPr>
  </w:style>
  <w:style w:type="paragraph" w:styleId="70">
    <w:name w:val="Closing"/>
    <w:basedOn w:val="0"/>
    <w:next w:val="70"/>
    <w:link w:val="71"/>
    <w:uiPriority w:val="0"/>
    <w:qFormat/>
    <w:pPr>
      <w:jc w:val="right"/>
    </w:pPr>
    <w:rPr>
      <w:rFonts w:ascii="ＭＳ Ｐゴシック" w:hAnsi="ＭＳ Ｐゴシック" w:eastAsia="ＭＳ Ｐゴシック"/>
      <w:color w:val="000000"/>
      <w:kern w:val="0"/>
      <w:sz w:val="20"/>
    </w:rPr>
  </w:style>
  <w:style w:type="character" w:styleId="71" w:customStyle="1">
    <w:name w:val="結語 (文字)"/>
    <w:basedOn w:val="10"/>
    <w:next w:val="71"/>
    <w:link w:val="70"/>
    <w:uiPriority w:val="0"/>
    <w:rPr>
      <w:rFonts w:ascii="ＭＳ Ｐゴシック" w:hAnsi="ＭＳ Ｐゴシック" w:eastAsia="ＭＳ Ｐゴシック"/>
      <w:color w:val="000000"/>
      <w:kern w:val="0"/>
      <w:sz w:val="20"/>
    </w:rPr>
  </w:style>
  <w:style w:type="paragraph" w:styleId="72" w:customStyle="1">
    <w:name w:val="標準２"/>
    <w:basedOn w:val="0"/>
    <w:next w:val="72"/>
    <w:link w:val="0"/>
    <w:uiPriority w:val="0"/>
    <w:pPr>
      <w:autoSpaceDE w:val="0"/>
      <w:autoSpaceDN w:val="0"/>
      <w:ind w:left="100" w:leftChars="100"/>
    </w:pPr>
    <w:rPr>
      <w:rFonts w:ascii="ＭＳ 明朝" w:hAnsi="ＭＳ 明朝" w:eastAsia="ＭＳ 明朝"/>
      <w:kern w:val="0"/>
      <w:sz w:val="24"/>
    </w:rPr>
  </w:style>
  <w:style w:type="paragraph" w:styleId="73">
    <w:name w:val="Plain Text"/>
    <w:basedOn w:val="0"/>
    <w:next w:val="73"/>
    <w:link w:val="74"/>
    <w:uiPriority w:val="0"/>
    <w:pPr>
      <w:jc w:val="left"/>
    </w:pPr>
    <w:rPr>
      <w:rFonts w:ascii="ＭＳ ゴシック" w:hAnsi="ＭＳ ゴシック" w:eastAsia="ＭＳ ゴシック"/>
      <w:sz w:val="20"/>
    </w:rPr>
  </w:style>
  <w:style w:type="character" w:styleId="74" w:customStyle="1">
    <w:name w:val="書式なし (文字)"/>
    <w:basedOn w:val="10"/>
    <w:next w:val="74"/>
    <w:link w:val="73"/>
    <w:uiPriority w:val="0"/>
    <w:rPr>
      <w:rFonts w:ascii="ＭＳ ゴシック" w:hAnsi="ＭＳ ゴシック" w:eastAsia="ＭＳ ゴシック"/>
      <w:sz w:val="20"/>
    </w:rPr>
  </w:style>
  <w:style w:type="paragraph" w:styleId="75">
    <w:name w:val="TOC Heading"/>
    <w:basedOn w:val="1"/>
    <w:next w:val="0"/>
    <w:link w:val="0"/>
    <w:uiPriority w:val="0"/>
    <w:qFormat/>
    <w:pPr>
      <w:keepLines w:val="1"/>
      <w:widowControl w:val="1"/>
      <w:spacing w:before="240" w:beforeLines="0" w:beforeAutospacing="0" w:line="259" w:lineRule="auto"/>
      <w:jc w:val="left"/>
      <w:outlineLvl w:val="9"/>
    </w:pPr>
    <w:rPr>
      <w:color w:val="2F5395" w:themeColor="accent1" w:themeShade="BF"/>
      <w:kern w:val="0"/>
      <w:sz w:val="32"/>
    </w:rPr>
  </w:style>
  <w:style w:type="paragraph" w:styleId="76">
    <w:name w:val="toc 1"/>
    <w:basedOn w:val="0"/>
    <w:next w:val="0"/>
    <w:link w:val="0"/>
    <w:uiPriority w:val="0"/>
  </w:style>
  <w:style w:type="paragraph" w:styleId="77" w:customStyle="1">
    <w:name w:val="①"/>
    <w:basedOn w:val="34"/>
    <w:next w:val="77"/>
    <w:link w:val="78"/>
    <w:uiPriority w:val="0"/>
    <w:qFormat/>
    <w:pPr>
      <w:spacing w:line="380" w:lineRule="exact"/>
      <w:ind w:left="440" w:leftChars="200"/>
    </w:pPr>
    <w:rPr>
      <w:rFonts w:ascii="BIZ UDPゴシック" w:hAnsi="BIZ UDPゴシック" w:eastAsia="BIZ UDPゴシック"/>
      <w:color w:val="000000" w:themeColor="text1"/>
    </w:rPr>
  </w:style>
  <w:style w:type="character" w:styleId="78" w:customStyle="1">
    <w:name w:val="① (文字)"/>
    <w:basedOn w:val="43"/>
    <w:next w:val="78"/>
    <w:link w:val="77"/>
    <w:uiPriority w:val="0"/>
    <w:rPr>
      <w:rFonts w:ascii="BIZ UDPゴシック" w:hAnsi="BIZ UDPゴシック" w:eastAsia="BIZ UDPゴシック"/>
      <w:color w:val="000000" w:themeColor="text1"/>
      <w:sz w:val="22"/>
    </w:rPr>
  </w:style>
  <w:style w:type="paragraph" w:styleId="79" w:customStyle="1">
    <w:name w:val="図表"/>
    <w:basedOn w:val="0"/>
    <w:next w:val="79"/>
    <w:link w:val="80"/>
    <w:uiPriority w:val="0"/>
    <w:qFormat/>
    <w:pPr>
      <w:autoSpaceDE w:val="0"/>
      <w:autoSpaceDN w:val="0"/>
      <w:spacing w:before="185" w:beforeLines="50" w:beforeAutospacing="0" w:line="380" w:lineRule="exact"/>
      <w:ind w:left="425" w:leftChars="193"/>
      <w:jc w:val="center"/>
    </w:pPr>
    <w:rPr>
      <w:rFonts w:ascii="BIZ UDPゴシック" w:hAnsi="BIZ UDPゴシック" w:eastAsia="BIZ UDPゴシック"/>
      <w:color w:val="000000" w:themeColor="text1"/>
      <w:sz w:val="21"/>
    </w:rPr>
  </w:style>
  <w:style w:type="character" w:styleId="80" w:customStyle="1">
    <w:name w:val="図表 (文字)"/>
    <w:basedOn w:val="10"/>
    <w:next w:val="80"/>
    <w:link w:val="79"/>
    <w:uiPriority w:val="0"/>
    <w:rPr>
      <w:rFonts w:ascii="BIZ UDPゴシック" w:hAnsi="BIZ UDPゴシック" w:eastAsia="BIZ UDPゴシック"/>
      <w:color w:val="000000" w:themeColor="text1"/>
    </w:rPr>
  </w:style>
  <w:style w:type="table" w:styleId="81">
    <w:name w:val="Table Grid"/>
    <w:basedOn w:val="11"/>
    <w:next w:val="81"/>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82" w:customStyle="1">
    <w:name w:val="表 (格子)6"/>
    <w:basedOn w:val="11"/>
    <w:next w:val="82"/>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83" w:customStyle="1">
    <w:name w:val="表 (格子)1"/>
    <w:basedOn w:val="11"/>
    <w:next w:val="83"/>
    <w:link w:val="0"/>
    <w:uiPriority w:val="0"/>
    <w:rPr>
      <w:rFonts w:eastAsia="ＭＳ 明朝"/>
      <w:kern w:val="0"/>
      <w:sz w:val="20"/>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84" w:customStyle="1">
    <w:name w:val="表 (格子)2"/>
    <w:basedOn w:val="11"/>
    <w:next w:val="84"/>
    <w:link w:val="0"/>
    <w:uiPriority w:val="0"/>
    <w:rPr>
      <w:rFonts w:eastAsia="ＭＳ 明朝"/>
      <w:kern w:val="0"/>
      <w:sz w:val="20"/>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85" w:customStyle="1">
    <w:name w:val="表 (格子)3"/>
    <w:basedOn w:val="11"/>
    <w:next w:val="85"/>
    <w:link w:val="0"/>
    <w:uiPriority w:val="0"/>
    <w:rPr>
      <w:rFonts w:eastAsia="ＭＳ 明朝"/>
      <w:kern w:val="0"/>
      <w:sz w:val="20"/>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86" w:customStyle="1">
    <w:name w:val="表 (格子)4"/>
    <w:basedOn w:val="11"/>
    <w:next w:val="86"/>
    <w:link w:val="0"/>
    <w:uiPriority w:val="0"/>
    <w:rPr>
      <w:rFonts w:eastAsia="ＭＳ 明朝"/>
      <w:kern w:val="0"/>
      <w:sz w:val="20"/>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87" w:customStyle="1">
    <w:name w:val="表 (格子)5"/>
    <w:basedOn w:val="11"/>
    <w:next w:val="87"/>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88" w:customStyle="1">
    <w:name w:val="表 (格子)7"/>
    <w:basedOn w:val="11"/>
    <w:next w:val="88"/>
    <w:link w:val="0"/>
    <w:uiPriority w:val="0"/>
    <w:pPr>
      <w:widowControl w:val="0"/>
      <w:jc w:val="both"/>
    </w:pPr>
    <w:rPr>
      <w:rFonts w:eastAsia="ＭＳ 明朝"/>
      <w:kern w:val="0"/>
      <w:sz w:val="20"/>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89" w:customStyle="1">
    <w:name w:val="人件費1"/>
    <w:basedOn w:val="11"/>
    <w:next w:val="89"/>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90" w:customStyle="1">
    <w:name w:val="表（シンプル 1）"/>
    <w:basedOn w:val="11"/>
    <w:next w:val="90"/>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91" w:customStyle="1">
    <w:name w:val="テーマの表  2（シンプル1-2）"/>
    <w:basedOn w:val="11"/>
    <w:next w:val="91"/>
    <w:link w:val="0"/>
    <w:uiPriority w:val="0"/>
    <w:tblPr>
      <w:tblStyleRowBandSize w:val="1"/>
      <w:tblStyleColBandSize w:val="1"/>
      <w:tblBorders>
        <w:top w:val="single" w:color="8EA9DB" w:themeColor="accent1" w:themeTint="99" w:sz="6" w:space="0"/>
        <w:left w:val="single" w:color="8EA9DB" w:themeColor="accent1" w:themeTint="99" w:sz="6" w:space="0"/>
        <w:bottom w:val="single" w:color="8EA9DB" w:themeColor="accent1" w:themeTint="99" w:sz="6" w:space="0"/>
        <w:right w:val="single" w:color="8EA9DB" w:themeColor="accent1" w:themeTint="99" w:sz="6" w:space="0"/>
        <w:insideH w:val="single" w:color="8EA9DB" w:themeColor="accent1" w:themeTint="99" w:sz="6" w:space="0"/>
        <w:insideV w:val="single" w:color="8EA9DB" w:themeColor="accent1" w:themeTint="99" w:sz="6" w:space="0"/>
      </w:tblBorders>
    </w:tblPr>
    <w:trPr/>
    <w:tcPr/>
    <w:tblStylePr w:type="band2Horz">
      <w:tblPr/>
      <w:trPr/>
      <w:tcPr>
        <w:tcBorders>
          <w:top w:val="single" w:color="8EA9DB" w:themeColor="accent1" w:themeTint="99" w:sz="6" w:space="0"/>
          <w:bottom w:val="single" w:color="8EA9DB" w:themeColor="accent1" w:themeTint="99" w:sz="6" w:space="0"/>
          <w:left w:val="single" w:color="8EA9DB" w:themeColor="accent1" w:themeTint="99" w:sz="6" w:space="0"/>
          <w:right w:val="single" w:color="8EA9DB" w:themeColor="accent1" w:themeTint="99" w:sz="6" w:space="0"/>
          <w:insideH w:val="single" w:color="8EA9DB" w:themeColor="accent1" w:themeTint="99" w:sz="6" w:space="0"/>
          <w:insideV w:val="single" w:color="8EA9DB" w:themeColor="accent1" w:themeTint="99" w:sz="6" w:space="0"/>
          <w:tl2br w:val="nil"/>
          <w:tr2bl w:val="nil"/>
        </w:tcBorders>
        <w:shd w:val="pct50" w:themeColor="accent1" w:themeTint="33" w:themeShade="FF" w:fill="auto"/>
      </w:tcPr>
    </w:tblStylePr>
    <w:tblStylePr w:type="band2Vert">
      <w:tblPr/>
      <w:trPr/>
      <w:tcPr>
        <w:tcBorders>
          <w:top w:val="single" w:color="8EA9DB" w:themeColor="accent1" w:themeTint="99" w:sz="6" w:space="0"/>
          <w:bottom w:val="single" w:color="8EA9DB" w:themeColor="accent1" w:themeTint="99" w:sz="6" w:space="0"/>
          <w:left w:val="single" w:color="8EA9DB" w:themeColor="accent1" w:themeTint="99" w:sz="6" w:space="0"/>
          <w:right w:val="single" w:color="8EA9DB" w:themeColor="accent1" w:themeTint="99" w:sz="6" w:space="0"/>
          <w:insideH w:val="single" w:color="8EA9DB" w:themeColor="accent1" w:themeTint="99" w:sz="6" w:space="0"/>
          <w:insideV w:val="single" w:color="8EA9DB" w:themeColor="accent1" w:themeTint="99" w:sz="6" w:space="0"/>
          <w:tl2br w:val="nil"/>
          <w:tr2bl w:val="nil"/>
        </w:tcBorders>
        <w:shd w:val="pct50" w:themeColor="accent1" w:themeTint="33" w:themeShade="FF" w:fill="auto"/>
      </w:tcPr>
    </w:tblStylePr>
    <w:tblStylePr w:type="lastCol">
      <w:rPr>
        <w:b w:val="1"/>
      </w:rPr>
      <w:tblPr/>
      <w:trPr/>
      <w:tcPr/>
    </w:tblStylePr>
    <w:tblStylePr w:type="firstCol">
      <w:tblPr/>
      <w:trPr/>
      <w:tcPr>
        <w:shd w:val="clear" w:color="auto" w:themeFill="accent1" w:themeFillTint="33" w:themeFillShade="FF"/>
      </w:tcPr>
    </w:tblStylePr>
    <w:tblStylePr w:type="lastRow">
      <w:rPr>
        <w:b w:val="1"/>
      </w:rPr>
      <w:tblPr/>
      <w:trPr/>
      <w:tcPr/>
    </w:tblStylePr>
    <w:tblStylePr w:type="firstRow">
      <w:rPr>
        <w:b w:val="1"/>
      </w:rPr>
      <w:tblPr/>
      <w:trPr/>
      <w:tcPr>
        <w:shd w:val="clear" w:color="auto" w:themeFill="accent1" w:themeFillTint="66" w:themeFillShade="FF"/>
      </w:tcPr>
    </w:tblStyle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image" Target="media/image1.emf" /><Relationship Id="rId9" Type="http://schemas.openxmlformats.org/officeDocument/2006/relationships/image" Target="media/image2.emf" /><Relationship Id="rId10" Type="http://schemas.openxmlformats.org/officeDocument/2006/relationships/image" Target="media/image3.emf" /><Relationship Id="rId11" Type="http://schemas.openxmlformats.org/officeDocument/2006/relationships/image" Target="media/image4.emf" /><Relationship Id="rId12" Type="http://schemas.openxmlformats.org/officeDocument/2006/relationships/image" Target="media/image5.emf" /><Relationship Id="rId13" Type="http://schemas.openxmlformats.org/officeDocument/2006/relationships/image" Target="media/image6.emf" /><Relationship Id="rId14" Type="http://schemas.openxmlformats.org/officeDocument/2006/relationships/image" Target="media/image7.emf" /><Relationship Id="rId15" Type="http://schemas.openxmlformats.org/officeDocument/2006/relationships/image" Target="media/image8.emf" /><Relationship Id="rId16" Type="http://schemas.openxmlformats.org/officeDocument/2006/relationships/image" Target="media/image9.emf" /><Relationship Id="rId17" Type="http://schemas.openxmlformats.org/officeDocument/2006/relationships/image" Target="media/image10.emf" /><Relationship Id="rId18" Type="http://schemas.openxmlformats.org/officeDocument/2006/relationships/image" Target="media/image11.emf" /><Relationship Id="rId19" Type="http://schemas.openxmlformats.org/officeDocument/2006/relationships/image" Target="media/image12.emf" /><Relationship Id="rId20" Type="http://schemas.openxmlformats.org/officeDocument/2006/relationships/image" Target="media/image13.emf" /><Relationship Id="rId21" Type="http://schemas.openxmlformats.org/officeDocument/2006/relationships/image" Target="media/image14.emf" /><Relationship Id="rId22" Type="http://schemas.openxmlformats.org/officeDocument/2006/relationships/image" Target="media/image15.emf" /><Relationship Id="rId23" Type="http://schemas.openxmlformats.org/officeDocument/2006/relationships/image" Target="media/image16.emf"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emf" /><Relationship Id="rId27" Type="http://schemas.openxmlformats.org/officeDocument/2006/relationships/image" Target="media/image20.emf" /><Relationship Id="rId28" Type="http://schemas.openxmlformats.org/officeDocument/2006/relationships/image" Target="media/image21.png" /><Relationship Id="rId29" Type="http://schemas.openxmlformats.org/officeDocument/2006/relationships/image" Target="media/image22.emf" /><Relationship Id="rId30" Type="http://schemas.openxmlformats.org/officeDocument/2006/relationships/image" Target="media/image23.emf" /><Relationship Id="rId31" Type="http://schemas.openxmlformats.org/officeDocument/2006/relationships/image" Target="media/image24.png" /><Relationship Id="rId32" Type="http://schemas.openxmlformats.org/officeDocument/2006/relationships/image" Target="media/image25.emf" /><Relationship Id="rId33" Type="http://schemas.openxmlformats.org/officeDocument/2006/relationships/image" Target="media/image26.emf" /><Relationship Id="rId34" Type="http://schemas.openxmlformats.org/officeDocument/2006/relationships/image" Target="media/image27.png" /><Relationship Id="rId35" Type="http://schemas.openxmlformats.org/officeDocument/2006/relationships/image" Target="media/image28.emf" /><Relationship Id="rId36" Type="http://schemas.openxmlformats.org/officeDocument/2006/relationships/image" Target="media/image29.emf" /><Relationship Id="rId37" Type="http://schemas.openxmlformats.org/officeDocument/2006/relationships/image" Target="media/image30.png" /><Relationship Id="rId38" Type="http://schemas.openxmlformats.org/officeDocument/2006/relationships/image" Target="media/image31.emf" /><Relationship Id="rId39" Type="http://schemas.openxmlformats.org/officeDocument/2006/relationships/image" Target="media/image32.emf" /><Relationship Id="rId40" Type="http://schemas.openxmlformats.org/officeDocument/2006/relationships/image" Target="media/image33.png" /><Relationship Id="rId41" Type="http://schemas.openxmlformats.org/officeDocument/2006/relationships/image" Target="media/image34.emf" /><Relationship Id="rId42" Type="http://schemas.openxmlformats.org/officeDocument/2006/relationships/image" Target="media/image35.emf" /><Relationship Id="rId43" Type="http://schemas.openxmlformats.org/officeDocument/2006/relationships/image" Target="media/image36.png" /><Relationship Id="rId44" Type="http://schemas.openxmlformats.org/officeDocument/2006/relationships/image" Target="media/image37.emf" /><Relationship Id="rId45" Type="http://schemas.openxmlformats.org/officeDocument/2006/relationships/image" Target="media/image38.emf" /><Relationship Id="rId46" Type="http://schemas.openxmlformats.org/officeDocument/2006/relationships/image" Target="media/image39.emf" /><Relationship Id="rId47" Type="http://schemas.openxmlformats.org/officeDocument/2006/relationships/image" Target="media/image40.emf" /><Relationship Id="rId48" Type="http://schemas.openxmlformats.org/officeDocument/2006/relationships/image" Target="media/image41.emf" /><Relationship Id="rId49" Type="http://schemas.openxmlformats.org/officeDocument/2006/relationships/image" Target="media/image42.emf" /><Relationship Id="rId50" Type="http://schemas.openxmlformats.org/officeDocument/2006/relationships/image" Target="media/image43.emf" /><Relationship Id="rId51" Type="http://schemas.openxmlformats.org/officeDocument/2006/relationships/image" Target="media/image44.emf" /><Relationship Id="rId52" Type="http://schemas.openxmlformats.org/officeDocument/2006/relationships/image" Target="media/image45.emf" /><Relationship Id="rId53" Type="http://schemas.openxmlformats.org/officeDocument/2006/relationships/image" Target="media/image46.emf" /><Relationship Id="rId54" Type="http://schemas.openxmlformats.org/officeDocument/2006/relationships/image" Target="media/image47.emf" /><Relationship Id="rId55" Type="http://schemas.openxmlformats.org/officeDocument/2006/relationships/image" Target="media/image48.emf" /><Relationship Id="rId56" Type="http://schemas.openxmlformats.org/officeDocument/2006/relationships/image" Target="media/image49.emf" /><Relationship Id="rId57" Type="http://schemas.openxmlformats.org/officeDocument/2006/relationships/image" Target="media/image50.emf" /><Relationship Id="rId58" Type="http://schemas.openxmlformats.org/officeDocument/2006/relationships/image" Target="media/image51.emf" /><Relationship Id="rId59" Type="http://schemas.openxmlformats.org/officeDocument/2006/relationships/image" Target="media/image52.emf" /><Relationship Id="rId60" Type="http://schemas.openxmlformats.org/officeDocument/2006/relationships/image" Target="media/image53.emf" /><Relationship Id="rId61" Type="http://schemas.openxmlformats.org/officeDocument/2006/relationships/image" Target="media/image54.emf" /><Relationship Id="rId62" Type="http://schemas.openxmlformats.org/officeDocument/2006/relationships/image" Target="media/image55.emf" /><Relationship Id="rId63" Type="http://schemas.openxmlformats.org/officeDocument/2006/relationships/image" Target="media/image56.emf" /><Relationship Id="rId64" Type="http://schemas.openxmlformats.org/officeDocument/2006/relationships/image" Target="media/image57.emf" /><Relationship Id="rId65" Type="http://schemas.openxmlformats.org/officeDocument/2006/relationships/image" Target="media/image58.emf" /><Relationship Id="rId66" Type="http://schemas.openxmlformats.org/officeDocument/2006/relationships/image" Target="media/image59.emf" /><Relationship Id="rId67" Type="http://schemas.openxmlformats.org/officeDocument/2006/relationships/image" Target="media/image60.emf" /><Relationship Id="rId68" Type="http://schemas.openxmlformats.org/officeDocument/2006/relationships/image" Target="media/image61.emf" /><Relationship Id="rId69" Type="http://schemas.openxmlformats.org/officeDocument/2006/relationships/image" Target="media/image62.emf" /><Relationship Id="rId70" Type="http://schemas.openxmlformats.org/officeDocument/2006/relationships/image" Target="media/image63.emf" /><Relationship Id="rId71" Type="http://schemas.openxmlformats.org/officeDocument/2006/relationships/image" Target="media/image64.emf" /><Relationship Id="rId72" Type="http://schemas.openxmlformats.org/officeDocument/2006/relationships/image" Target="media/image65.emf" /><Relationship Id="rId73" Type="http://schemas.openxmlformats.org/officeDocument/2006/relationships/image" Target="media/image66.emf" /><Relationship Id="rId74" Type="http://schemas.openxmlformats.org/officeDocument/2006/relationships/image" Target="media/image67.emf" /><Relationship Id="rId75" Type="http://schemas.openxmlformats.org/officeDocument/2006/relationships/image" Target="media/image68.emf" /><Relationship Id="rId76" Type="http://schemas.openxmlformats.org/officeDocument/2006/relationships/image" Target="media/image69.emf" /><Relationship Id="rId77" Type="http://schemas.openxmlformats.org/officeDocument/2006/relationships/image" Target="media/image70.emf" /><Relationship Id="rId78" Type="http://schemas.openxmlformats.org/officeDocument/2006/relationships/image" Target="media/image71.emf" /><Relationship Id="rId79" Type="http://schemas.openxmlformats.org/officeDocument/2006/relationships/image" Target="media/image72.emf" /><Relationship Id="rId80" Type="http://schemas.openxmlformats.org/officeDocument/2006/relationships/image" Target="media/image73.emf" /><Relationship Id="rId81" Type="http://schemas.openxmlformats.org/officeDocument/2006/relationships/image" Target="media/image74.emf" /><Relationship Id="rId82" Type="http://schemas.openxmlformats.org/officeDocument/2006/relationships/image" Target="media/image75.emf" /><Relationship Id="rId83" Type="http://schemas.openxmlformats.org/officeDocument/2006/relationships/image" Target="media/image76.emf" /><Relationship Id="rId84" Type="http://schemas.openxmlformats.org/officeDocument/2006/relationships/image" Target="media/image77.emf" /><Relationship Id="rId85" Type="http://schemas.openxmlformats.org/officeDocument/2006/relationships/image" Target="media/image78.emf" /><Relationship Id="rId86" Type="http://schemas.openxmlformats.org/officeDocument/2006/relationships/image" Target="media/image79.emf" /><Relationship Id="rId87" Type="http://schemas.openxmlformats.org/officeDocument/2006/relationships/image" Target="media/image80.emf" /><Relationship Id="rId88" Type="http://schemas.openxmlformats.org/officeDocument/2006/relationships/image" Target="media/image81.emf" /><Relationship Id="rId89" Type="http://schemas.openxmlformats.org/officeDocument/2006/relationships/image" Target="media/image82.emf" /><Relationship Id="rId90" Type="http://schemas.openxmlformats.org/officeDocument/2006/relationships/image" Target="media/image83.emf" /><Relationship Id="rId91" Type="http://schemas.openxmlformats.org/officeDocument/2006/relationships/image" Target="media/image84.emf" /><Relationship Id="rId92" Type="http://schemas.openxmlformats.org/officeDocument/2006/relationships/image" Target="media/image85.emf" /><Relationship Id="rId93" Type="http://schemas.openxmlformats.org/officeDocument/2006/relationships/image" Target="media/image86.emf" /><Relationship Id="rId94" Type="http://schemas.openxmlformats.org/officeDocument/2006/relationships/image" Target="media/image87.jpg" /><Relationship Id="rId95" Type="http://schemas.openxmlformats.org/officeDocument/2006/relationships/image" Target="media/image88.jpg" /><Relationship Id="rId96" Type="http://schemas.openxmlformats.org/officeDocument/2006/relationships/image" Target="media/image89.jpg" /><Relationship Id="rId97" Type="http://schemas.openxmlformats.org/officeDocument/2006/relationships/image" Target="media/image90.jpg" /><Relationship Id="rId98" Type="http://schemas.openxmlformats.org/officeDocument/2006/relationships/image" Target="media/image91.emf" /><Relationship Id="rId99" Type="http://schemas.openxmlformats.org/officeDocument/2006/relationships/image" Target="media/image92.emf" /><Relationship Id="rId100" Type="http://schemas.openxmlformats.org/officeDocument/2006/relationships/image" Target="media/image93.emf" /><Relationship Id="rId101"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1729</TotalTime>
  <Pages>130</Pages>
  <Words>4371</Words>
  <Characters>70710</Characters>
  <Application>JUST Note</Application>
  <Lines>747837</Lines>
  <Paragraphs>5062</Paragraphs>
  <CharactersWithSpaces>71454</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三村 絵里</dc:creator>
  <cp:lastModifiedBy>Ohkubo Masahiro</cp:lastModifiedBy>
  <cp:lastPrinted>2023-11-30T01:51:57Z</cp:lastPrinted>
  <dcterms:created xsi:type="dcterms:W3CDTF">2023-11-01T05:05:00Z</dcterms:created>
  <dcterms:modified xsi:type="dcterms:W3CDTF">2023-11-30T00:13:47Z</dcterms:modified>
  <cp:revision>230</cp:revision>
</cp:coreProperties>
</file>