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pPr>
      <w:r>
        <w:rPr>
          <w:rFonts w:hint="eastAsia" w:ascii="ＭＳ 明朝" w:hAnsi="ＭＳ 明朝" w:eastAsia="ＭＳ 明朝"/>
          <w:kern w:val="2"/>
          <w:sz w:val="24"/>
        </w:rPr>
        <w:t>様式第１号（第８条関係）</w:t>
      </w:r>
    </w:p>
    <w:p>
      <w:pPr>
        <w:pStyle w:val="0"/>
        <w:kinsoku w:val="0"/>
        <w:overflowPunct w:val="0"/>
        <w:autoSpaceDE w:val="0"/>
        <w:autoSpaceDN w:val="0"/>
        <w:jc w:val="both"/>
      </w:pPr>
    </w:p>
    <w:p>
      <w:pPr>
        <w:pStyle w:val="0"/>
        <w:kinsoku w:val="0"/>
        <w:wordWrap w:val="0"/>
        <w:overflowPunct w:val="0"/>
        <w:autoSpaceDE w:val="0"/>
        <w:autoSpaceDN w:val="0"/>
        <w:jc w:val="right"/>
      </w:pPr>
      <w:r>
        <w:rPr>
          <w:rFonts w:hint="eastAsia" w:ascii="ＭＳ 明朝" w:hAnsi="ＭＳ 明朝" w:eastAsia="ＭＳ 明朝"/>
          <w:kern w:val="2"/>
          <w:sz w:val="24"/>
        </w:rPr>
        <w:t>年　　月　　日</w:t>
      </w:r>
    </w:p>
    <w:p>
      <w:pPr>
        <w:pStyle w:val="0"/>
        <w:kinsoku w:val="0"/>
        <w:overflowPunct w:val="0"/>
        <w:autoSpaceDE w:val="0"/>
        <w:autoSpaceDN w:val="0"/>
        <w:jc w:val="both"/>
      </w:pPr>
    </w:p>
    <w:p>
      <w:pPr>
        <w:pStyle w:val="0"/>
        <w:kinsoku w:val="0"/>
        <w:overflowPunct w:val="0"/>
        <w:autoSpaceDE w:val="0"/>
        <w:autoSpaceDN w:val="0"/>
        <w:jc w:val="both"/>
      </w:pPr>
      <w:r>
        <w:rPr>
          <w:rFonts w:hint="eastAsia" w:ascii="ＭＳ 明朝" w:hAnsi="ＭＳ 明朝" w:eastAsia="ＭＳ 明朝"/>
          <w:kern w:val="2"/>
          <w:sz w:val="24"/>
        </w:rPr>
        <w:t>廿日市市長　様</w:t>
      </w:r>
    </w:p>
    <w:p>
      <w:pPr>
        <w:pStyle w:val="0"/>
        <w:kinsoku w:val="0"/>
        <w:overflowPunct w:val="0"/>
        <w:autoSpaceDE w:val="0"/>
        <w:autoSpaceDN w:val="0"/>
        <w:jc w:val="both"/>
      </w:pPr>
      <w:r>
        <w:rPr>
          <w:rFonts w:hint="eastAsia" w:ascii="ＭＳ 明朝" w:hAnsi="ＭＳ 明朝" w:eastAsia="ＭＳ 明朝"/>
          <w:spacing w:val="40"/>
          <w:kern w:val="2"/>
          <w:sz w:val="24"/>
          <w:fitText w:val="1200" w:id="1"/>
        </w:rPr>
        <w:t>建築主</w:t>
      </w:r>
      <w:r>
        <w:rPr>
          <w:rFonts w:hint="eastAsia" w:ascii="ＭＳ 明朝" w:hAnsi="ＭＳ 明朝" w:eastAsia="ＭＳ 明朝"/>
          <w:kern w:val="2"/>
          <w:sz w:val="24"/>
          <w:fitText w:val="1200" w:id="1"/>
        </w:rPr>
        <w:t>事</w:t>
      </w:r>
      <w:r>
        <w:rPr>
          <w:rFonts w:hint="eastAsia" w:ascii="ＭＳ 明朝" w:hAnsi="ＭＳ 明朝" w:eastAsia="ＭＳ 明朝"/>
          <w:kern w:val="2"/>
          <w:sz w:val="24"/>
        </w:rPr>
        <w:t>　様</w:t>
      </w:r>
    </w:p>
    <w:p>
      <w:pPr>
        <w:pStyle w:val="0"/>
        <w:kinsoku w:val="0"/>
        <w:overflowPunct w:val="0"/>
        <w:autoSpaceDE w:val="0"/>
        <w:autoSpaceDN w:val="0"/>
        <w:jc w:val="both"/>
      </w:pPr>
    </w:p>
    <w:p>
      <w:pPr>
        <w:pStyle w:val="0"/>
        <w:kinsoku w:val="0"/>
        <w:overflowPunct w:val="0"/>
        <w:autoSpaceDE w:val="0"/>
        <w:autoSpaceDN w:val="0"/>
        <w:ind w:left="3840" w:leftChars="0" w:firstLine="0" w:firstLineChars="0"/>
        <w:jc w:val="both"/>
      </w:pPr>
      <w:r>
        <w:rPr>
          <w:rFonts w:hint="eastAsia" w:ascii="ＭＳ 明朝" w:hAnsi="ＭＳ 明朝" w:eastAsia="ＭＳ 明朝"/>
          <w:kern w:val="2"/>
          <w:sz w:val="24"/>
        </w:rPr>
        <w:t>設置者　住所　〒</w:t>
      </w:r>
    </w:p>
    <w:p>
      <w:pPr>
        <w:pStyle w:val="0"/>
        <w:kinsoku w:val="0"/>
        <w:overflowPunct w:val="0"/>
        <w:autoSpaceDE w:val="0"/>
        <w:autoSpaceDN w:val="0"/>
        <w:ind w:left="5220"/>
        <w:jc w:val="both"/>
      </w:pPr>
    </w:p>
    <w:p>
      <w:pPr>
        <w:pStyle w:val="0"/>
        <w:tabs>
          <w:tab w:val="left" w:leader="none" w:pos="6300"/>
        </w:tabs>
        <w:kinsoku w:val="0"/>
        <w:overflowPunct w:val="0"/>
        <w:autoSpaceDE w:val="0"/>
        <w:autoSpaceDN w:val="0"/>
        <w:spacing w:after="60" w:afterLines="0" w:afterAutospacing="0"/>
        <w:ind w:left="3840" w:leftChars="0" w:firstLine="0" w:firstLineChars="0"/>
        <w:jc w:val="both"/>
      </w:pPr>
      <w:r>
        <w:rPr>
          <w:rFonts w:hint="eastAsia" w:ascii="ＭＳ 明朝" w:hAnsi="ＭＳ 明朝" w:eastAsia="ＭＳ 明朝"/>
          <w:kern w:val="2"/>
          <w:sz w:val="24"/>
        </w:rPr>
        <w:t>　　　　氏名　　　　　　　　　　　　　　　　</w:t>
      </w:r>
      <w:r>
        <w:rPr>
          <w:rFonts w:hint="eastAsia"/>
        </w:rPr>
        <w:fldChar w:fldCharType="begin"/>
      </w:r>
      <w:r>
        <w:rPr>
          <w:rFonts w:hint="eastAsia"/>
        </w:rPr>
        <w:instrText>eq \o\ac(</w:instrText>
      </w:r>
      <w:r>
        <w:rPr>
          <w:rFonts w:hint="eastAsia" w:ascii="ＭＳ 明朝" w:hAnsi="ＭＳ 明朝" w:eastAsia="ＭＳ 明朝"/>
          <w:kern w:val="2"/>
          <w:sz w:val="24"/>
        </w:rPr>
        <w:instrText>○</w:instrText>
      </w:r>
      <w:r>
        <w:rPr>
          <w:rFonts w:hint="eastAsia"/>
        </w:rPr>
        <w:instrText>,</w:instrText>
      </w:r>
      <w:r>
        <w:rPr>
          <w:rFonts w:hint="eastAsia" w:ascii="ＭＳ 明朝" w:hAnsi="ＭＳ 明朝" w:eastAsia="ＭＳ 明朝"/>
          <w:kern w:val="2"/>
          <w:position w:val="2"/>
          <w:sz w:val="16"/>
        </w:rPr>
        <w:instrText>印</w:instrText>
      </w:r>
      <w:r>
        <w:rPr>
          <w:rFonts w:hint="eastAsia"/>
        </w:rPr>
        <w:instrText>)</w:instrText>
      </w:r>
      <w:r>
        <w:rPr>
          <w:rFonts w:hint="eastAsia"/>
        </w:rPr>
        <w:fldChar w:fldCharType="end"/>
      </w:r>
    </w:p>
    <w:p>
      <w:pPr>
        <w:pStyle w:val="0"/>
        <w:tabs>
          <w:tab w:val="left" w:leader="none" w:pos="6300"/>
        </w:tabs>
        <w:kinsoku w:val="0"/>
        <w:overflowPunct w:val="0"/>
        <w:autoSpaceDE w:val="0"/>
        <w:autoSpaceDN w:val="0"/>
        <w:spacing w:after="60" w:afterLines="0" w:afterAutospacing="0"/>
        <w:ind w:left="3840" w:leftChars="0" w:firstLine="0" w:firstLineChars="0"/>
        <w:jc w:val="both"/>
      </w:pPr>
      <w:r>
        <w:rPr>
          <w:rFonts w:hint="eastAsia"/>
        </w:rPr>
        <mc:AlternateContent>
          <mc:Choice Requires="wps">
            <w:drawing>
              <wp:anchor simplePos="0" relativeHeight="2" behindDoc="0" locked="0" layoutInCell="1" hidden="0" allowOverlap="1">
                <wp:simplePos x="0" y="0"/>
                <wp:positionH relativeFrom="column">
                  <wp:posOffset>3322320</wp:posOffset>
                </wp:positionH>
                <wp:positionV relativeFrom="paragraph">
                  <wp:posOffset>234315</wp:posOffset>
                </wp:positionV>
                <wp:extent cx="2628900" cy="3962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628900" cy="396240"/>
                        </a:xfrm>
                        <a:prstGeom prst="bracketPair">
                          <a:avLst>
                            <a:gd name="adj" fmla="val 7403"/>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18.45pt;mso-position-vertical-relative:text;mso-position-horizontal-relative:text;position:absolute;height:31.2pt;width:207pt;margin-left:261.60000000000002pt;z-index:2;" o:allowincell="t" filled="f" stroked="t" strokecolor="#000000" strokeweight="0.75pt" o:spt="185" type="#_x0000_t185" adj="1599">
                <v:fill/>
                <v:stroke filltype="solid"/>
                <v:textbox style="layout-flow:horizontal;"/>
                <v:imagedata o:title=""/>
                <w10:wrap type="none" anchorx="text" anchory="text"/>
              </v:shape>
            </w:pict>
          </mc:Fallback>
        </mc:AlternateContent>
      </w:r>
      <w:bookmarkStart w:id="0" w:name="_GoBack"/>
      <w:bookmarkEnd w:id="0"/>
    </w:p>
    <w:tbl>
      <w:tblPr>
        <w:tblStyle w:val="11"/>
        <w:tblW w:w="9821" w:type="dxa"/>
        <w:tblInd w:w="0" w:type="dxa"/>
        <w:tblLayout w:type="fixed"/>
        <w:tblCellMar>
          <w:top w:w="0" w:type="dxa"/>
          <w:left w:w="108" w:type="dxa"/>
          <w:bottom w:w="0" w:type="dxa"/>
          <w:right w:w="108" w:type="dxa"/>
        </w:tblCellMar>
        <w:tblLook w:firstRow="1" w:lastRow="0" w:firstColumn="1" w:lastColumn="0" w:noHBand="0" w:noVBand="1" w:val="04A0"/>
      </w:tblPr>
      <w:tblGrid>
        <w:gridCol w:w="5400"/>
        <w:gridCol w:w="4017"/>
        <w:gridCol w:w="404"/>
      </w:tblGrid>
      <w:tr>
        <w:trPr/>
        <w:tc>
          <w:tcPr>
            <w:tcW w:w="5400" w:type="dxa"/>
            <w:tcBorders>
              <w:top w:val="nil"/>
              <w:left w:val="nil"/>
              <w:bottom w:val="nil"/>
              <w:right w:val="nil"/>
              <w:tl2br w:val="none" w:color="auto" w:sz="0" w:space="0"/>
              <w:tr2bl w:val="none" w:color="auto" w:sz="0" w:space="0"/>
            </w:tcBorders>
            <w:vAlign w:val="top"/>
          </w:tcPr>
          <w:p>
            <w:pPr>
              <w:pStyle w:val="0"/>
              <w:kinsoku w:val="0"/>
              <w:overflowPunct w:val="0"/>
              <w:autoSpaceDE w:val="0"/>
              <w:autoSpaceDN w:val="0"/>
              <w:ind w:right="396"/>
              <w:jc w:val="both"/>
              <w:rPr>
                <w:sz w:val="21"/>
              </w:rPr>
            </w:pPr>
          </w:p>
        </w:tc>
        <w:tc>
          <w:tcPr>
            <w:tcW w:w="4017" w:type="dxa"/>
            <w:tcBorders>
              <w:top w:val="nil"/>
              <w:left w:val="nil"/>
              <w:bottom w:val="nil"/>
              <w:right w:val="nil"/>
              <w:tl2br w:val="none" w:color="auto" w:sz="0" w:space="0"/>
              <w:tr2bl w:val="none" w:color="auto" w:sz="0" w:space="0"/>
            </w:tcBorders>
            <w:vAlign w:val="top"/>
          </w:tcPr>
          <w:p>
            <w:pPr>
              <w:pStyle w:val="0"/>
              <w:kinsoku w:val="0"/>
              <w:overflowPunct w:val="0"/>
              <w:autoSpaceDE w:val="0"/>
              <w:autoSpaceDN w:val="0"/>
              <w:jc w:val="left"/>
              <w:rPr>
                <w:sz w:val="21"/>
              </w:rPr>
            </w:pPr>
            <w:r>
              <w:rPr>
                <w:rFonts w:hint="eastAsia" w:ascii="ＭＳ 明朝" w:hAnsi="ＭＳ 明朝" w:eastAsia="ＭＳ 明朝"/>
                <w:kern w:val="2"/>
                <w:sz w:val="21"/>
              </w:rPr>
              <w:t>法人にあっては主たる事務所の所在地、名称及び代表者の氏名</w:t>
            </w:r>
          </w:p>
        </w:tc>
        <w:tc>
          <w:tcPr>
            <w:tcW w:w="404" w:type="dxa"/>
            <w:tcBorders>
              <w:top w:val="nil"/>
              <w:left w:val="nil"/>
              <w:bottom w:val="nil"/>
              <w:right w:val="nil"/>
              <w:tl2br w:val="none" w:color="auto" w:sz="0" w:space="0"/>
              <w:tr2bl w:val="none" w:color="auto" w:sz="0" w:space="0"/>
            </w:tcBorders>
            <w:vAlign w:val="top"/>
          </w:tcPr>
          <w:p>
            <w:pPr>
              <w:pStyle w:val="0"/>
              <w:kinsoku w:val="0"/>
              <w:overflowPunct w:val="0"/>
              <w:autoSpaceDE w:val="0"/>
              <w:autoSpaceDN w:val="0"/>
              <w:jc w:val="both"/>
              <w:rPr>
                <w:sz w:val="21"/>
              </w:rPr>
            </w:pPr>
          </w:p>
        </w:tc>
      </w:tr>
    </w:tbl>
    <w:p>
      <w:pPr>
        <w:pStyle w:val="0"/>
        <w:tabs>
          <w:tab w:val="left" w:leader="none" w:pos="6300"/>
        </w:tabs>
        <w:kinsoku w:val="0"/>
        <w:overflowPunct w:val="0"/>
        <w:autoSpaceDE w:val="0"/>
        <w:autoSpaceDN w:val="0"/>
        <w:ind w:left="5220"/>
        <w:jc w:val="both"/>
      </w:pPr>
    </w:p>
    <w:p>
      <w:pPr>
        <w:pStyle w:val="0"/>
        <w:tabs>
          <w:tab w:val="left" w:leader="none" w:pos="6300"/>
        </w:tabs>
        <w:kinsoku w:val="0"/>
        <w:overflowPunct w:val="0"/>
        <w:autoSpaceDE w:val="0"/>
        <w:autoSpaceDN w:val="0"/>
        <w:jc w:val="center"/>
      </w:pPr>
      <w:r>
        <w:rPr>
          <w:rFonts w:hint="eastAsia" w:ascii="ＭＳ 明朝" w:hAnsi="ＭＳ 明朝" w:eastAsia="ＭＳ 明朝"/>
          <w:spacing w:val="120"/>
          <w:kern w:val="2"/>
          <w:sz w:val="24"/>
        </w:rPr>
        <w:t>誓約</w:t>
      </w:r>
      <w:r>
        <w:rPr>
          <w:rFonts w:hint="eastAsia" w:ascii="ＭＳ 明朝" w:hAnsi="ＭＳ 明朝" w:eastAsia="ＭＳ 明朝"/>
          <w:kern w:val="2"/>
          <w:sz w:val="24"/>
        </w:rPr>
        <w:t>書</w:t>
      </w:r>
    </w:p>
    <w:p>
      <w:pPr>
        <w:pStyle w:val="0"/>
        <w:tabs>
          <w:tab w:val="left" w:leader="none" w:pos="6300"/>
        </w:tabs>
        <w:kinsoku w:val="0"/>
        <w:overflowPunct w:val="0"/>
        <w:autoSpaceDE w:val="0"/>
        <w:autoSpaceDN w:val="0"/>
        <w:jc w:val="both"/>
      </w:pPr>
    </w:p>
    <w:p>
      <w:pPr>
        <w:pStyle w:val="0"/>
        <w:tabs>
          <w:tab w:val="left" w:leader="none" w:pos="6300"/>
        </w:tabs>
        <w:kinsoku w:val="0"/>
        <w:overflowPunct w:val="0"/>
        <w:autoSpaceDE w:val="0"/>
        <w:autoSpaceDN w:val="0"/>
        <w:ind w:firstLine="180"/>
        <w:jc w:val="both"/>
      </w:pPr>
      <w:r>
        <w:rPr>
          <w:rFonts w:hint="eastAsia" w:ascii="ＭＳ 明朝" w:hAnsi="ＭＳ 明朝" w:eastAsia="ＭＳ 明朝"/>
          <w:kern w:val="2"/>
          <w:sz w:val="24"/>
        </w:rPr>
        <w:t>この度、私が設置する浄化槽については、生活環境の保全及び公衆衛生の向上のため、浄化槽関係法令及び廿日市市浄化槽取扱指導要綱を遵守するとともに、放流先等の関係者との間に紛争が生じないように努め、紛争が生じた場合は、責任をもって解決し、万全の措置をとることを誓約します。</w:t>
      </w:r>
    </w:p>
    <w:p>
      <w:pPr>
        <w:pStyle w:val="0"/>
        <w:tabs>
          <w:tab w:val="left" w:leader="none" w:pos="6300"/>
        </w:tabs>
        <w:kinsoku w:val="0"/>
        <w:overflowPunct w:val="0"/>
        <w:autoSpaceDE w:val="0"/>
        <w:autoSpaceDN w:val="0"/>
        <w:jc w:val="both"/>
      </w:pPr>
    </w:p>
    <w:p>
      <w:pPr>
        <w:pStyle w:val="0"/>
        <w:tabs>
          <w:tab w:val="left" w:leader="none" w:pos="6300"/>
        </w:tabs>
        <w:ind w:firstLine="180"/>
        <w:jc w:val="both"/>
      </w:pPr>
      <w:r>
        <w:rPr>
          <w:rFonts w:hint="eastAsia" w:ascii="ＭＳ 明朝" w:hAnsi="ＭＳ 明朝" w:eastAsia="ＭＳ 明朝"/>
          <w:kern w:val="2"/>
          <w:sz w:val="24"/>
        </w:rPr>
        <w:t>【浄化槽法抜粋】</w:t>
      </w:r>
    </w:p>
    <w:p>
      <w:pPr>
        <w:pStyle w:val="0"/>
        <w:tabs>
          <w:tab w:val="left" w:leader="none" w:pos="6300"/>
        </w:tabs>
        <w:jc w:val="both"/>
      </w:pPr>
      <w:r>
        <w:rPr>
          <w:rFonts w:ascii="ＭＳ 明朝" w:hAnsi="ＭＳ 明朝" w:eastAsia="ＭＳ 明朝"/>
          <w:kern w:val="2"/>
          <w:sz w:val="24"/>
        </w:rPr>
        <mc:AlternateContent>
          <mc:Choice Requires="wps">
            <w:drawing>
              <wp:anchor simplePos="0" relativeHeight="3" behindDoc="0" locked="0" layoutInCell="0" hidden="0" allowOverlap="1">
                <wp:simplePos x="0" y="0"/>
                <wp:positionH relativeFrom="column">
                  <wp:posOffset>226695</wp:posOffset>
                </wp:positionH>
                <wp:positionV relativeFrom="paragraph">
                  <wp:posOffset>0</wp:posOffset>
                </wp:positionV>
                <wp:extent cx="5743575" cy="274764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5743575" cy="2747645"/>
                        </a:xfrm>
                        <a:prstGeom prst="rect"/>
                        <a:noFill/>
                        <a:ln w="9525">
                          <a:solidFill>
                            <a:sysClr val="windowText" lastClr="000000"/>
                          </a:solidFill>
                          <a:miter/>
                        </a:ln>
                      </wps:spPr>
                      <wps:txbx>
                        <w:txbxContent>
                          <w:p>
                            <w:pPr>
                              <w:pStyle w:val="0"/>
                              <w:snapToGrid w:val="0"/>
                              <w:jc w:val="both"/>
                              <w:rPr>
                                <w:rFonts w:hint="default"/>
                                <w:sz w:val="20"/>
                              </w:rPr>
                            </w:pPr>
                            <w:r>
                              <w:rPr>
                                <w:rFonts w:hint="eastAsia" w:ascii="ＭＳ 明朝" w:hAnsi="ＭＳ 明朝" w:eastAsia="ＭＳ 明朝"/>
                                <w:kern w:val="2"/>
                                <w:sz w:val="20"/>
                              </w:rPr>
                              <w:t>（設置後等の水質検査）</w:t>
                            </w:r>
                          </w:p>
                          <w:p>
                            <w:pPr>
                              <w:pStyle w:val="0"/>
                              <w:snapToGrid w:val="0"/>
                              <w:ind w:left="200" w:hanging="200"/>
                              <w:jc w:val="both"/>
                              <w:rPr>
                                <w:sz w:val="20"/>
                              </w:rPr>
                            </w:pPr>
                            <w:r>
                              <w:rPr>
                                <w:rFonts w:hint="eastAsia" w:ascii="ＭＳ 明朝" w:hAnsi="ＭＳ 明朝" w:eastAsia="ＭＳ 明朝"/>
                                <w:kern w:val="2"/>
                                <w:sz w:val="20"/>
                              </w:rPr>
                              <w:t>第７条　新たに設置され、又はその構造若しくは規模の変更をされた浄化槽については、環境省令で定める期間内に、環境省令で定めるところにより、当該浄化槽の所有者、占有者その他の者で当該浄化槽の管理について権原を有するもの（以下「浄化槽管理者」という。）は、都道府県知事が第５７条第１項の規定により指定する者（以下「指定検査機関」という。）の行う水質に関する検査を受けなければならない。</w:t>
                            </w:r>
                          </w:p>
                          <w:p>
                            <w:pPr>
                              <w:pStyle w:val="0"/>
                              <w:snapToGrid w:val="0"/>
                              <w:jc w:val="both"/>
                              <w:rPr>
                                <w:color w:val="FF0000"/>
                                <w:sz w:val="20"/>
                                <w:u w:val="single"/>
                              </w:rPr>
                            </w:pPr>
                          </w:p>
                          <w:p>
                            <w:pPr>
                              <w:pStyle w:val="0"/>
                              <w:snapToGrid w:val="0"/>
                              <w:jc w:val="both"/>
                              <w:rPr>
                                <w:sz w:val="20"/>
                              </w:rPr>
                            </w:pPr>
                            <w:r>
                              <w:rPr>
                                <w:rFonts w:hint="eastAsia" w:ascii="ＭＳ 明朝" w:hAnsi="ＭＳ 明朝" w:eastAsia="ＭＳ 明朝"/>
                                <w:kern w:val="2"/>
                                <w:sz w:val="20"/>
                              </w:rPr>
                              <w:t>（浄化槽管理者の義務）</w:t>
                            </w:r>
                          </w:p>
                          <w:p>
                            <w:pPr>
                              <w:pStyle w:val="0"/>
                              <w:snapToGrid w:val="0"/>
                              <w:ind w:left="200" w:hanging="200"/>
                              <w:jc w:val="both"/>
                              <w:rPr>
                                <w:sz w:val="20"/>
                              </w:rPr>
                            </w:pPr>
                            <w:r>
                              <w:rPr>
                                <w:rFonts w:hint="eastAsia" w:ascii="ＭＳ 明朝" w:hAnsi="ＭＳ 明朝" w:eastAsia="ＭＳ 明朝"/>
                                <w:kern w:val="2"/>
                                <w:sz w:val="20"/>
                              </w:rPr>
                              <w:t>第１０条　浄化槽管理者は、環境省令で定めるところにより、毎年１回（環境省令で定める場合にあっては、環境省令で定める回数）、浄化槽の保守点検及び浄化槽の清掃をしなければならない。</w:t>
                            </w:r>
                          </w:p>
                          <w:p>
                            <w:pPr>
                              <w:pStyle w:val="0"/>
                              <w:snapToGrid w:val="0"/>
                              <w:jc w:val="both"/>
                              <w:rPr>
                                <w:color w:val="FF0000"/>
                                <w:sz w:val="20"/>
                                <w:u w:val="single"/>
                              </w:rPr>
                            </w:pPr>
                          </w:p>
                          <w:p>
                            <w:pPr>
                              <w:pStyle w:val="0"/>
                              <w:snapToGrid w:val="0"/>
                              <w:jc w:val="both"/>
                              <w:rPr>
                                <w:rFonts w:hint="default"/>
                                <w:sz w:val="20"/>
                              </w:rPr>
                            </w:pPr>
                            <w:r>
                              <w:rPr>
                                <w:rFonts w:hint="eastAsia" w:ascii="ＭＳ 明朝" w:hAnsi="ＭＳ 明朝" w:eastAsia="ＭＳ 明朝"/>
                                <w:kern w:val="2"/>
                                <w:sz w:val="20"/>
                              </w:rPr>
                              <w:t>（定期検査）</w:t>
                            </w:r>
                          </w:p>
                          <w:p>
                            <w:pPr>
                              <w:pStyle w:val="0"/>
                              <w:snapToGrid w:val="0"/>
                              <w:ind w:left="200" w:hanging="200"/>
                              <w:jc w:val="both"/>
                              <w:rPr>
                                <w:sz w:val="20"/>
                              </w:rPr>
                            </w:pPr>
                            <w:r>
                              <w:rPr>
                                <w:rFonts w:hint="eastAsia" w:ascii="ＭＳ 明朝" w:hAnsi="ＭＳ 明朝" w:eastAsia="ＭＳ 明朝"/>
                                <w:kern w:val="2"/>
                                <w:sz w:val="20"/>
                              </w:rPr>
                              <w:t>第１１条　浄化槽管理者は、環境省令で定めるところにより、毎年１回（環境省令で定める浄化槽については、環境省令で定める回数）、指定検査機関の行う水質に関する検査を受けなければならない。</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_x0000_s1027" style="margin-top:0pt;mso-position-vertical-relative:text;mso-position-horizontal-relative:text;position:absolute;height:216.35pt;width:452.25pt;margin-left:17.850000000000001pt;z-index:3;" o:allowincell="f" filled="f" stroked="t" strokecolor="#000000" strokeweight="0.75pt" o:spt="202" type="#_x0000_t202">
                <v:fill/>
                <v:stroke filltype="solid"/>
                <v:textbox style="layout-flow:horizontal;">
                  <w:txbxContent>
                    <w:p>
                      <w:pPr>
                        <w:pStyle w:val="0"/>
                        <w:snapToGrid w:val="0"/>
                        <w:jc w:val="both"/>
                        <w:rPr>
                          <w:rFonts w:hint="default"/>
                          <w:sz w:val="20"/>
                        </w:rPr>
                      </w:pPr>
                      <w:r>
                        <w:rPr>
                          <w:rFonts w:hint="eastAsia" w:ascii="ＭＳ 明朝" w:hAnsi="ＭＳ 明朝" w:eastAsia="ＭＳ 明朝"/>
                          <w:kern w:val="2"/>
                          <w:sz w:val="20"/>
                        </w:rPr>
                        <w:t>（設置後等の水質検査）</w:t>
                      </w:r>
                    </w:p>
                    <w:p>
                      <w:pPr>
                        <w:pStyle w:val="0"/>
                        <w:snapToGrid w:val="0"/>
                        <w:ind w:left="200" w:hanging="200"/>
                        <w:jc w:val="both"/>
                        <w:rPr>
                          <w:sz w:val="20"/>
                        </w:rPr>
                      </w:pPr>
                      <w:r>
                        <w:rPr>
                          <w:rFonts w:hint="eastAsia" w:ascii="ＭＳ 明朝" w:hAnsi="ＭＳ 明朝" w:eastAsia="ＭＳ 明朝"/>
                          <w:kern w:val="2"/>
                          <w:sz w:val="20"/>
                        </w:rPr>
                        <w:t>第７条　新たに設置され、又はその構造若しくは規模の変更をされた浄化槽については、環境省令で定める期間内に、環境省令で定めるところにより、当該浄化槽の所有者、占有者その他の者で当該浄化槽の管理について権原を有するもの（以下「浄化槽管理者」という。）は、都道府県知事が第５７条第１項の規定により指定する者（以下「指定検査機関」という。）の行う水質に関する検査を受けなければならない。</w:t>
                      </w:r>
                    </w:p>
                    <w:p>
                      <w:pPr>
                        <w:pStyle w:val="0"/>
                        <w:snapToGrid w:val="0"/>
                        <w:jc w:val="both"/>
                        <w:rPr>
                          <w:color w:val="FF0000"/>
                          <w:sz w:val="20"/>
                          <w:u w:val="single"/>
                        </w:rPr>
                      </w:pPr>
                    </w:p>
                    <w:p>
                      <w:pPr>
                        <w:pStyle w:val="0"/>
                        <w:snapToGrid w:val="0"/>
                        <w:jc w:val="both"/>
                        <w:rPr>
                          <w:sz w:val="20"/>
                        </w:rPr>
                      </w:pPr>
                      <w:r>
                        <w:rPr>
                          <w:rFonts w:hint="eastAsia" w:ascii="ＭＳ 明朝" w:hAnsi="ＭＳ 明朝" w:eastAsia="ＭＳ 明朝"/>
                          <w:kern w:val="2"/>
                          <w:sz w:val="20"/>
                        </w:rPr>
                        <w:t>（浄化槽管理者の義務）</w:t>
                      </w:r>
                    </w:p>
                    <w:p>
                      <w:pPr>
                        <w:pStyle w:val="0"/>
                        <w:snapToGrid w:val="0"/>
                        <w:ind w:left="200" w:hanging="200"/>
                        <w:jc w:val="both"/>
                        <w:rPr>
                          <w:sz w:val="20"/>
                        </w:rPr>
                      </w:pPr>
                      <w:r>
                        <w:rPr>
                          <w:rFonts w:hint="eastAsia" w:ascii="ＭＳ 明朝" w:hAnsi="ＭＳ 明朝" w:eastAsia="ＭＳ 明朝"/>
                          <w:kern w:val="2"/>
                          <w:sz w:val="20"/>
                        </w:rPr>
                        <w:t>第１０条　浄化槽管理者は、環境省令で定めるところにより、毎年１回（環境省令で定める場合にあっては、環境省令で定める回数）、浄化槽の保守点検及び浄化槽の清掃をしなければならない。</w:t>
                      </w:r>
                    </w:p>
                    <w:p>
                      <w:pPr>
                        <w:pStyle w:val="0"/>
                        <w:snapToGrid w:val="0"/>
                        <w:jc w:val="both"/>
                        <w:rPr>
                          <w:color w:val="FF0000"/>
                          <w:sz w:val="20"/>
                          <w:u w:val="single"/>
                        </w:rPr>
                      </w:pPr>
                    </w:p>
                    <w:p>
                      <w:pPr>
                        <w:pStyle w:val="0"/>
                        <w:snapToGrid w:val="0"/>
                        <w:jc w:val="both"/>
                        <w:rPr>
                          <w:rFonts w:hint="default"/>
                          <w:sz w:val="20"/>
                        </w:rPr>
                      </w:pPr>
                      <w:r>
                        <w:rPr>
                          <w:rFonts w:hint="eastAsia" w:ascii="ＭＳ 明朝" w:hAnsi="ＭＳ 明朝" w:eastAsia="ＭＳ 明朝"/>
                          <w:kern w:val="2"/>
                          <w:sz w:val="20"/>
                        </w:rPr>
                        <w:t>（定期検査）</w:t>
                      </w:r>
                    </w:p>
                    <w:p>
                      <w:pPr>
                        <w:pStyle w:val="0"/>
                        <w:snapToGrid w:val="0"/>
                        <w:ind w:left="200" w:hanging="200"/>
                        <w:jc w:val="both"/>
                        <w:rPr>
                          <w:sz w:val="20"/>
                        </w:rPr>
                      </w:pPr>
                      <w:r>
                        <w:rPr>
                          <w:rFonts w:hint="eastAsia" w:ascii="ＭＳ 明朝" w:hAnsi="ＭＳ 明朝" w:eastAsia="ＭＳ 明朝"/>
                          <w:kern w:val="2"/>
                          <w:sz w:val="20"/>
                        </w:rPr>
                        <w:t>第１１条　浄化槽管理者は、環境省令で定めるところにより、毎年１回（環境省令で定める浄化槽については、環境省令で定める回数）、指定検査機関の行う水質に関する検査を受けなければならない。</w:t>
                      </w:r>
                    </w:p>
                  </w:txbxContent>
                </v:textbox>
                <v:imagedata o:title=""/>
                <w10:wrap type="none" anchorx="text" anchory="text"/>
              </v:shape>
            </w:pict>
          </mc:Fallback>
        </mc:AlternateContent>
      </w:r>
    </w:p>
    <w:p>
      <w:pPr>
        <w:pStyle w:val="0"/>
        <w:tabs>
          <w:tab w:val="left" w:leader="none" w:pos="6300"/>
        </w:tabs>
        <w:jc w:val="both"/>
      </w:pPr>
    </w:p>
    <w:p>
      <w:pPr>
        <w:pStyle w:val="0"/>
        <w:tabs>
          <w:tab w:val="left" w:leader="none" w:pos="6300"/>
        </w:tabs>
        <w:jc w:val="both"/>
      </w:pPr>
    </w:p>
    <w:p>
      <w:pPr>
        <w:pStyle w:val="0"/>
        <w:tabs>
          <w:tab w:val="left" w:leader="none" w:pos="6300"/>
        </w:tabs>
        <w:jc w:val="both"/>
      </w:pPr>
    </w:p>
    <w:p>
      <w:pPr>
        <w:pStyle w:val="0"/>
        <w:tabs>
          <w:tab w:val="left" w:leader="none" w:pos="6300"/>
        </w:tabs>
        <w:jc w:val="both"/>
      </w:pPr>
    </w:p>
    <w:p>
      <w:pPr>
        <w:pStyle w:val="0"/>
        <w:tabs>
          <w:tab w:val="left" w:leader="none" w:pos="6300"/>
        </w:tabs>
        <w:jc w:val="both"/>
      </w:pPr>
    </w:p>
    <w:p>
      <w:pPr>
        <w:pStyle w:val="0"/>
        <w:tabs>
          <w:tab w:val="left" w:leader="none" w:pos="6300"/>
        </w:tabs>
        <w:jc w:val="both"/>
      </w:pPr>
    </w:p>
    <w:p>
      <w:pPr>
        <w:pStyle w:val="0"/>
        <w:tabs>
          <w:tab w:val="left" w:leader="none" w:pos="6300"/>
        </w:tabs>
        <w:jc w:val="both"/>
      </w:pPr>
    </w:p>
    <w:p>
      <w:pPr>
        <w:pStyle w:val="0"/>
        <w:tabs>
          <w:tab w:val="left" w:leader="none" w:pos="6300"/>
        </w:tabs>
        <w:jc w:val="both"/>
      </w:pPr>
    </w:p>
    <w:p>
      <w:pPr>
        <w:pStyle w:val="0"/>
        <w:tabs>
          <w:tab w:val="left" w:leader="none" w:pos="6300"/>
        </w:tabs>
        <w:jc w:val="both"/>
      </w:pPr>
    </w:p>
    <w:p>
      <w:pPr>
        <w:pStyle w:val="0"/>
        <w:tabs>
          <w:tab w:val="left" w:leader="none" w:pos="6300"/>
        </w:tabs>
        <w:jc w:val="both"/>
      </w:pPr>
    </w:p>
    <w:p>
      <w:pPr>
        <w:pStyle w:val="0"/>
        <w:tabs>
          <w:tab w:val="left" w:leader="none" w:pos="6300"/>
        </w:tabs>
        <w:jc w:val="both"/>
      </w:pPr>
    </w:p>
    <w:p>
      <w:pPr>
        <w:pStyle w:val="0"/>
        <w:tabs>
          <w:tab w:val="left" w:leader="none" w:pos="6300"/>
        </w:tabs>
        <w:jc w:val="both"/>
      </w:pPr>
    </w:p>
    <w:p>
      <w:pPr>
        <w:pStyle w:val="0"/>
        <w:tabs>
          <w:tab w:val="left" w:leader="none" w:pos="6300"/>
        </w:tabs>
        <w:jc w:val="both"/>
      </w:pPr>
    </w:p>
    <w:p>
      <w:pPr>
        <w:pStyle w:val="0"/>
        <w:tabs>
          <w:tab w:val="left" w:leader="none" w:pos="6300"/>
        </w:tabs>
        <w:jc w:val="both"/>
      </w:pPr>
    </w:p>
    <w:p>
      <w:pPr>
        <w:pStyle w:val="0"/>
        <w:tabs>
          <w:tab w:val="left" w:leader="none" w:pos="6300"/>
        </w:tabs>
        <w:jc w:val="both"/>
      </w:pPr>
    </w:p>
    <w:p>
      <w:pPr>
        <w:pStyle w:val="0"/>
        <w:tabs>
          <w:tab w:val="left" w:leader="none" w:pos="6300"/>
        </w:tabs>
        <w:jc w:val="both"/>
      </w:pPr>
    </w:p>
    <w:p>
      <w:pPr>
        <w:pStyle w:val="0"/>
        <w:tabs>
          <w:tab w:val="left" w:leader="none" w:pos="6300"/>
        </w:tabs>
        <w:jc w:val="both"/>
      </w:pPr>
    </w:p>
    <w:p>
      <w:pPr>
        <w:pStyle w:val="0"/>
        <w:tabs>
          <w:tab w:val="left" w:leader="none" w:pos="6300"/>
        </w:tabs>
        <w:jc w:val="both"/>
      </w:pPr>
    </w:p>
    <w:p>
      <w:pPr>
        <w:pStyle w:val="0"/>
        <w:tabs>
          <w:tab w:val="left" w:leader="none" w:pos="6300"/>
        </w:tabs>
        <w:kinsoku w:val="0"/>
        <w:overflowPunct w:val="0"/>
        <w:autoSpaceDE w:val="0"/>
        <w:autoSpaceDN w:val="0"/>
        <w:jc w:val="both"/>
        <w:rPr>
          <w:sz w:val="21"/>
        </w:rPr>
      </w:pPr>
      <w:r>
        <w:rPr>
          <w:rFonts w:hint="eastAsia" w:ascii="ＭＳ 明朝" w:hAnsi="ＭＳ 明朝" w:eastAsia="ＭＳ 明朝"/>
          <w:kern w:val="2"/>
          <w:sz w:val="21"/>
        </w:rPr>
        <w:t>注：用紙の大きさは、日本産業規格Ａ列４とすること。</w:t>
      </w:r>
    </w:p>
    <w:sectPr>
      <w:pgSz w:w="11891" w:h="16838"/>
      <w:pgMar w:top="1134" w:right="1134" w:bottom="1134" w:left="1134" w:header="720" w:footer="720" w:gutter="0"/>
      <w:cols w:space="720"/>
      <w:textDirection w:val="lrTb"/>
      <w:docGrid w:type="linesAndChar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2"/>
  <w:drawingGridHorizontalSpacing w:val="120"/>
  <w:drawingGridVerticalSpacing w:val="173"/>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tabs>
        <w:tab w:val="left" w:leader="none" w:pos="6300"/>
      </w:tabs>
      <w:ind w:firstLine="180"/>
    </w:pPr>
  </w:style>
  <w:style w:type="character" w:styleId="16" w:customStyle="1">
    <w:name w:val="本文インデント (文字)"/>
    <w:basedOn w:val="10"/>
    <w:next w:val="16"/>
    <w:link w:val="15"/>
    <w:uiPriority w:val="0"/>
    <w:qFormat/>
    <w:rPr>
      <w:rFonts w:ascii="ＭＳ 明朝" w:hAnsi="ＭＳ 明朝"/>
      <w:kern w:val="2"/>
      <w:sz w:val="24"/>
    </w:rPr>
  </w:style>
  <w:style w:type="paragraph" w:styleId="17">
    <w:name w:val="Body Text"/>
    <w:basedOn w:val="0"/>
    <w:next w:val="17"/>
    <w:link w:val="18"/>
    <w:uiPriority w:val="0"/>
  </w:style>
  <w:style w:type="character" w:styleId="18" w:customStyle="1">
    <w:name w:val="本文 (文字)"/>
    <w:basedOn w:val="10"/>
    <w:next w:val="18"/>
    <w:link w:val="17"/>
    <w:uiPriority w:val="0"/>
    <w:qFormat/>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rPr>
      <w:rFonts w:ascii="Century" w:hAnsi="Century"/>
      <w:sz w:val="21"/>
    </w:rPr>
  </w:style>
  <w:style w:type="character" w:styleId="20" w:customStyle="1">
    <w:name w:val="フッター (文字)"/>
    <w:basedOn w:val="10"/>
    <w:next w:val="20"/>
    <w:link w:val="19"/>
    <w:uiPriority w:val="0"/>
    <w:qFormat/>
    <w:rPr>
      <w:rFonts w:ascii="ＭＳ 明朝" w:hAnsi="ＭＳ 明朝"/>
      <w:kern w:val="2"/>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rPr>
      <w:rFonts w:ascii="ＭＳ 明朝" w:hAnsi="ＭＳ 明朝"/>
      <w:kern w:val="2"/>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232</Characters>
  <Application>JUST Note</Application>
  <Lines>44</Lines>
  <Paragraphs>11</Paragraphs>
  <CharactersWithSpaces>260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Kaneshiro Masatoshi</cp:lastModifiedBy>
  <dcterms:created xsi:type="dcterms:W3CDTF">2020-10-27T10:00:00Z</dcterms:created>
  <dcterms:modified xsi:type="dcterms:W3CDTF">2023-10-27T05:09:12Z</dcterms:modified>
  <cp:revision>5</cp:revision>
</cp:coreProperties>
</file>