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color w:val="FF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廿日市市経営管理実施権の</w:t>
      </w:r>
      <w:r>
        <w:rPr>
          <w:rFonts w:hint="default" w:ascii="ＭＳ 明朝" w:hAnsi="ＭＳ 明朝"/>
          <w:color w:val="000000"/>
          <w:sz w:val="24"/>
        </w:rPr>
        <w:t>設定</w:t>
      </w:r>
      <w:r>
        <w:rPr>
          <w:rFonts w:hint="eastAsia" w:ascii="ＭＳ 明朝" w:hAnsi="ＭＳ 明朝"/>
          <w:color w:val="000000"/>
          <w:sz w:val="24"/>
        </w:rPr>
        <w:t>を</w:t>
      </w:r>
      <w:r>
        <w:rPr>
          <w:rFonts w:hint="default" w:ascii="ＭＳ 明朝" w:hAnsi="ＭＳ 明朝"/>
          <w:color w:val="000000"/>
          <w:sz w:val="24"/>
        </w:rPr>
        <w:t>受ける民間事業者の</w:t>
      </w:r>
      <w:r>
        <w:rPr>
          <w:rFonts w:hint="eastAsia" w:ascii="ＭＳ 明朝" w:hAnsi="ＭＳ 明朝"/>
          <w:color w:val="000000"/>
          <w:sz w:val="24"/>
        </w:rPr>
        <w:t>選定に</w:t>
      </w:r>
      <w:r>
        <w:rPr>
          <w:rFonts w:hint="default" w:ascii="ＭＳ 明朝" w:hAnsi="ＭＳ 明朝"/>
          <w:color w:val="000000"/>
          <w:sz w:val="24"/>
        </w:rPr>
        <w:t>かかる審査</w:t>
      </w:r>
      <w:r>
        <w:rPr>
          <w:rFonts w:hint="eastAsia" w:ascii="ＭＳ 明朝" w:hAnsi="ＭＳ 明朝"/>
          <w:color w:val="000000"/>
          <w:sz w:val="24"/>
        </w:rPr>
        <w:t>方法</w:t>
      </w:r>
      <w:r>
        <w:rPr>
          <w:rFonts w:hint="default" w:ascii="ＭＳ 明朝" w:hAnsi="ＭＳ 明朝"/>
          <w:color w:val="000000"/>
          <w:sz w:val="24"/>
        </w:rPr>
        <w:t>及び基準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１　審査方法</w:t>
      </w:r>
    </w:p>
    <w:p>
      <w:pPr>
        <w:pStyle w:val="0"/>
        <w:ind w:left="440" w:hanging="440" w:hangingChars="200"/>
        <w:jc w:val="lef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（１）民間事業者が</w:t>
      </w:r>
      <w:r>
        <w:rPr>
          <w:rFonts w:hint="default" w:ascii="ＭＳ 明朝" w:hAnsi="ＭＳ 明朝"/>
          <w:color w:val="000000"/>
          <w:sz w:val="22"/>
        </w:rPr>
        <w:t>提出した企画提案書について、</w:t>
      </w:r>
      <w:r>
        <w:rPr>
          <w:rFonts w:hint="eastAsia" w:ascii="ＭＳ 明朝" w:hAnsi="ＭＳ 明朝"/>
          <w:color w:val="000000"/>
          <w:sz w:val="22"/>
        </w:rPr>
        <w:t>経営管理実施権の設定を</w:t>
      </w:r>
      <w:r>
        <w:rPr>
          <w:rFonts w:hint="default" w:ascii="ＭＳ 明朝" w:hAnsi="ＭＳ 明朝"/>
          <w:color w:val="000000"/>
          <w:sz w:val="22"/>
        </w:rPr>
        <w:t>受ける民間事業者</w:t>
      </w:r>
      <w:r>
        <w:rPr>
          <w:rFonts w:hint="eastAsia" w:ascii="ＭＳ 明朝" w:hAnsi="ＭＳ 明朝"/>
          <w:color w:val="000000"/>
          <w:sz w:val="22"/>
        </w:rPr>
        <w:t>の</w:t>
      </w:r>
      <w:r>
        <w:rPr>
          <w:rFonts w:hint="default" w:ascii="ＭＳ 明朝" w:hAnsi="ＭＳ 明朝"/>
          <w:color w:val="000000"/>
          <w:sz w:val="22"/>
        </w:rPr>
        <w:t>選定委員会</w:t>
      </w:r>
      <w:r>
        <w:rPr>
          <w:rFonts w:hint="eastAsia" w:ascii="ＭＳ 明朝" w:hAnsi="ＭＳ 明朝"/>
          <w:color w:val="000000"/>
          <w:sz w:val="22"/>
        </w:rPr>
        <w:t>が</w:t>
      </w:r>
      <w:r>
        <w:rPr>
          <w:rFonts w:hint="default" w:ascii="ＭＳ 明朝" w:hAnsi="ＭＳ 明朝"/>
          <w:color w:val="000000"/>
          <w:sz w:val="22"/>
        </w:rPr>
        <w:t>書類審査を行います</w:t>
      </w:r>
      <w:r>
        <w:rPr>
          <w:rFonts w:hint="eastAsia" w:ascii="ＭＳ 明朝" w:hAnsi="ＭＳ 明朝"/>
          <w:color w:val="000000"/>
          <w:sz w:val="22"/>
        </w:rPr>
        <w:t>。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（２）審査事項は、次のとおりとします。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①</w:t>
      </w:r>
      <w:r>
        <w:rPr>
          <w:rFonts w:hint="eastAsia" w:ascii="ＭＳ 明朝" w:hAnsi="ＭＳ 明朝"/>
          <w:color w:val="000000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森林所有者に</w:t>
      </w:r>
      <w:r>
        <w:rPr>
          <w:rFonts w:hint="default" w:ascii="ＭＳ 明朝" w:hAnsi="ＭＳ 明朝"/>
          <w:sz w:val="22"/>
        </w:rPr>
        <w:t>支払う金額</w:t>
      </w:r>
      <w:r>
        <w:rPr>
          <w:rFonts w:hint="eastAsia" w:ascii="ＭＳ 明朝" w:hAnsi="ＭＳ 明朝"/>
          <w:color w:val="000000"/>
          <w:sz w:val="22"/>
        </w:rPr>
        <w:t>　　②</w:t>
      </w:r>
      <w:r>
        <w:rPr>
          <w:rFonts w:hint="eastAsia" w:ascii="ＭＳ 明朝" w:hAnsi="ＭＳ 明朝"/>
          <w:color w:val="000000"/>
          <w:sz w:val="22"/>
        </w:rPr>
        <w:t xml:space="preserve"> </w:t>
      </w:r>
      <w:r>
        <w:rPr>
          <w:rFonts w:hint="eastAsia" w:ascii="ＭＳ 明朝" w:hAnsi="ＭＳ 明朝"/>
          <w:color w:val="000000"/>
          <w:sz w:val="22"/>
        </w:rPr>
        <w:t>木材販売収益</w:t>
      </w:r>
      <w:r>
        <w:rPr>
          <w:rFonts w:hint="default" w:ascii="ＭＳ 明朝" w:hAnsi="ＭＳ 明朝"/>
          <w:color w:val="000000"/>
          <w:sz w:val="22"/>
        </w:rPr>
        <w:t>の</w:t>
      </w:r>
      <w:r>
        <w:rPr>
          <w:rFonts w:hint="eastAsia" w:ascii="ＭＳ 明朝" w:hAnsi="ＭＳ 明朝"/>
          <w:color w:val="000000"/>
          <w:sz w:val="22"/>
        </w:rPr>
        <w:t>安定</w:t>
      </w:r>
      <w:r>
        <w:rPr>
          <w:rFonts w:hint="default" w:ascii="ＭＳ 明朝" w:hAnsi="ＭＳ 明朝"/>
          <w:color w:val="000000"/>
          <w:sz w:val="22"/>
        </w:rPr>
        <w:t>・向上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③</w:t>
      </w:r>
      <w:r>
        <w:rPr>
          <w:rFonts w:hint="eastAsia" w:ascii="ＭＳ 明朝" w:hAnsi="ＭＳ 明朝"/>
          <w:color w:val="000000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森林経営計画の作成予定</w:t>
      </w:r>
      <w:r>
        <w:rPr>
          <w:rFonts w:hint="eastAsia" w:ascii="ＭＳ 明朝" w:hAnsi="ＭＳ 明朝"/>
          <w:color w:val="000000"/>
          <w:sz w:val="22"/>
        </w:rPr>
        <w:t>　　④</w:t>
      </w:r>
      <w:r>
        <w:rPr>
          <w:rFonts w:hint="eastAsia" w:ascii="ＭＳ 明朝" w:hAnsi="ＭＳ 明朝"/>
          <w:color w:val="000000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経営管理の</w:t>
      </w:r>
      <w:r>
        <w:rPr>
          <w:rFonts w:hint="default" w:ascii="ＭＳ 明朝" w:hAnsi="ＭＳ 明朝"/>
          <w:sz w:val="22"/>
        </w:rPr>
        <w:t>着実な実施</w:t>
      </w:r>
    </w:p>
    <w:p>
      <w:pPr>
        <w:pStyle w:val="0"/>
        <w:jc w:val="lef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⑤</w:t>
      </w:r>
      <w:r>
        <w:rPr>
          <w:rFonts w:hint="eastAsia" w:ascii="ＭＳ 明朝" w:hAnsi="ＭＳ 明朝"/>
          <w:color w:val="000000"/>
          <w:sz w:val="22"/>
        </w:rPr>
        <w:t xml:space="preserve"> </w:t>
      </w:r>
      <w:r>
        <w:rPr>
          <w:rFonts w:hint="eastAsia" w:ascii="ＭＳ 明朝" w:hAnsi="ＭＳ 明朝"/>
          <w:color w:val="000000"/>
          <w:sz w:val="22"/>
        </w:rPr>
        <w:t>地域への</w:t>
      </w:r>
      <w:r>
        <w:rPr>
          <w:rFonts w:hint="default" w:ascii="ＭＳ 明朝" w:hAnsi="ＭＳ 明朝"/>
          <w:color w:val="000000"/>
          <w:sz w:val="22"/>
        </w:rPr>
        <w:t>貢献度</w:t>
      </w:r>
      <w:r>
        <w:rPr>
          <w:rFonts w:hint="eastAsia" w:ascii="ＭＳ 明朝" w:hAnsi="ＭＳ 明朝"/>
          <w:color w:val="000000"/>
          <w:sz w:val="22"/>
        </w:rPr>
        <w:t>　　　　　　⑥</w:t>
      </w:r>
      <w:r>
        <w:rPr>
          <w:rFonts w:hint="eastAsia" w:ascii="ＭＳ 明朝" w:hAnsi="ＭＳ 明朝"/>
          <w:color w:val="000000"/>
          <w:sz w:val="22"/>
        </w:rPr>
        <w:t xml:space="preserve"> </w:t>
      </w:r>
      <w:r>
        <w:rPr>
          <w:rFonts w:hint="eastAsia" w:ascii="ＭＳ 明朝" w:hAnsi="ＭＳ 明朝"/>
          <w:color w:val="000000"/>
          <w:sz w:val="22"/>
        </w:rPr>
        <w:t>技術的な</w:t>
      </w:r>
      <w:r>
        <w:rPr>
          <w:rFonts w:hint="default" w:ascii="ＭＳ 明朝" w:hAnsi="ＭＳ 明朝"/>
          <w:color w:val="000000"/>
          <w:sz w:val="22"/>
        </w:rPr>
        <w:t>提案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２　審査基準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企画提案書の審査については、選定委員会を開催して提案内容を審査することによって行います。評価にあたっては前述の審査事項に基づき、次の表に示す各項目の基準点の合計を採点し、最も合計点が高い者を採用事業者として決定します。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tbl>
      <w:tblPr>
        <w:tblStyle w:val="11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1843"/>
        <w:gridCol w:w="1276"/>
        <w:gridCol w:w="1275"/>
        <w:gridCol w:w="993"/>
        <w:gridCol w:w="1275"/>
        <w:gridCol w:w="1417"/>
      </w:tblGrid>
      <w:tr>
        <w:trPr/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審査事項</w:t>
            </w:r>
          </w:p>
        </w:tc>
        <w:tc>
          <w:tcPr>
            <w:tcW w:w="6236" w:type="dxa"/>
            <w:gridSpan w:val="5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審査基準点</w:t>
            </w:r>
          </w:p>
        </w:tc>
      </w:tr>
      <w:tr>
        <w:trPr>
          <w:trHeight w:val="737" w:hRule="atLeast"/>
        </w:trPr>
        <w:tc>
          <w:tcPr>
            <w:tcW w:w="3114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極めて</w:t>
            </w:r>
            <w:r>
              <w:rPr>
                <w:rFonts w:hint="default" w:ascii="ＭＳ 明朝" w:hAnsi="ＭＳ 明朝"/>
                <w:sz w:val="22"/>
              </w:rPr>
              <w:t>優れている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優れている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普通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やや</w:t>
            </w:r>
            <w:r>
              <w:rPr>
                <w:rFonts w:hint="default" w:ascii="ＭＳ 明朝" w:hAnsi="ＭＳ 明朝"/>
                <w:sz w:val="22"/>
              </w:rPr>
              <w:t>劣っている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劣っている</w:t>
            </w:r>
          </w:p>
        </w:tc>
      </w:tr>
      <w:tr>
        <w:trPr>
          <w:trHeight w:val="564" w:hRule="atLeast"/>
        </w:trPr>
        <w:tc>
          <w:tcPr>
            <w:tcW w:w="127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①森林所有者への支払い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１５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１２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９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６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</w:tr>
      <w:tr>
        <w:trPr>
          <w:trHeight w:val="716" w:hRule="atLeast"/>
        </w:trPr>
        <w:tc>
          <w:tcPr>
            <w:tcW w:w="127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分配の算定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方法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</w:tr>
      <w:tr>
        <w:trPr>
          <w:trHeight w:val="540" w:hRule="atLeast"/>
        </w:trPr>
        <w:tc>
          <w:tcPr>
            <w:tcW w:w="311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②木材販売収益の</w:t>
            </w:r>
            <w:r>
              <w:rPr>
                <w:rFonts w:hint="default" w:ascii="ＭＳ 明朝" w:hAnsi="ＭＳ 明朝"/>
              </w:rPr>
              <w:t>安定・向上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１０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６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</w:tr>
      <w:tr>
        <w:trPr/>
        <w:tc>
          <w:tcPr>
            <w:tcW w:w="311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</w:rPr>
              <w:t>③森林経営計画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000000" w:themeColor="text1"/>
              </w:rPr>
              <w:t>の</w:t>
            </w:r>
            <w:r>
              <w:rPr>
                <w:rFonts w:hint="default" w:ascii="ＭＳ 明朝" w:hAnsi="ＭＳ 明朝"/>
                <w:color w:val="000000" w:themeColor="text1"/>
              </w:rPr>
              <w:t>作成予定の有無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１０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６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</w:tr>
      <w:tr>
        <w:trPr/>
        <w:tc>
          <w:tcPr>
            <w:tcW w:w="127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④経営管理の着実な実施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実施権を希望する対象面積・期間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１５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１２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９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６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</w:tr>
      <w:tr>
        <w:trPr>
          <w:trHeight w:val="512" w:hRule="atLeast"/>
        </w:trPr>
        <w:tc>
          <w:tcPr>
            <w:tcW w:w="127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実施体制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</w:tr>
      <w:tr>
        <w:trPr>
          <w:trHeight w:val="548" w:hRule="atLeast"/>
        </w:trPr>
        <w:tc>
          <w:tcPr>
            <w:tcW w:w="127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</w:tr>
      <w:tr>
        <w:trPr>
          <w:trHeight w:val="940" w:hRule="atLeast"/>
        </w:trPr>
        <w:tc>
          <w:tcPr>
            <w:tcW w:w="127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⑤地域への</w:t>
            </w:r>
            <w:r>
              <w:rPr>
                <w:rFonts w:hint="default" w:ascii="ＭＳ 明朝" w:hAnsi="ＭＳ 明朝"/>
                <w:sz w:val="22"/>
              </w:rPr>
              <w:t>貢献度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地元住民の</w:t>
            </w:r>
            <w:r>
              <w:rPr>
                <w:rFonts w:hint="default" w:ascii="ＭＳ 明朝" w:hAnsi="ＭＳ 明朝"/>
              </w:rPr>
              <w:t>雇用</w:t>
            </w:r>
            <w:r>
              <w:rPr>
                <w:rFonts w:hint="eastAsia" w:ascii="ＭＳ 明朝" w:hAnsi="ＭＳ 明朝"/>
              </w:rPr>
              <w:t>や地域活動等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２０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１６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１２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</w:tr>
      <w:tr>
        <w:trPr>
          <w:trHeight w:val="660" w:hRule="atLeast"/>
        </w:trPr>
        <w:tc>
          <w:tcPr>
            <w:tcW w:w="3114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⑥技術的な</w:t>
            </w:r>
            <w:r>
              <w:rPr>
                <w:rFonts w:hint="default" w:ascii="ＭＳ 明朝" w:hAnsi="ＭＳ 明朝"/>
                <w:sz w:val="22"/>
              </w:rPr>
              <w:t>提案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１５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１２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９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６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</w:t>
            </w:r>
            <w:r>
              <w:rPr>
                <w:rFonts w:hint="default" w:ascii="ＭＳ 明朝" w:hAnsi="ＭＳ 明朝"/>
                <w:sz w:val="22"/>
              </w:rPr>
              <w:t>点</w:t>
            </w:r>
          </w:p>
        </w:tc>
      </w:tr>
    </w:tbl>
    <w:p>
      <w:pPr>
        <w:pStyle w:val="0"/>
        <w:rPr>
          <w:rFonts w:hint="default" w:ascii="ＭＳ 明朝" w:hAnsi="ＭＳ 明朝"/>
          <w:color w:val="000000"/>
          <w:sz w:val="22"/>
        </w:rPr>
      </w:pPr>
    </w:p>
    <w:sectPr>
      <w:pgSz w:w="11906" w:h="16838"/>
      <w:pgMar w:top="1259" w:right="1021" w:bottom="720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9"/>
    <w:uiPriority w:val="0"/>
    <w:qFormat/>
    <w:pPr>
      <w:keepNext w:val="1"/>
      <w:overflowPunct w:val="0"/>
      <w:textAlignment w:val="baseline"/>
      <w:outlineLvl w:val="0"/>
    </w:pPr>
    <w:rPr>
      <w:rFonts w:ascii="Arial" w:hAnsi="Arial" w:eastAsia="ＭＳ ゴシック"/>
      <w:kern w:val="0"/>
      <w:sz w:val="22"/>
    </w:rPr>
  </w:style>
  <w:style w:type="paragraph" w:styleId="2">
    <w:name w:val="heading 2"/>
    <w:basedOn w:val="0"/>
    <w:next w:val="0"/>
    <w:link w:val="20"/>
    <w:uiPriority w:val="0"/>
    <w:qFormat/>
    <w:pPr>
      <w:keepNext w:val="1"/>
      <w:overflowPunct w:val="0"/>
      <w:textAlignment w:val="baseline"/>
      <w:outlineLvl w:val="1"/>
    </w:pPr>
    <w:rPr>
      <w:rFonts w:ascii="Arial" w:hAnsi="Arial" w:eastAsia="ＭＳ ゴシック"/>
      <w:kern w:val="0"/>
      <w:sz w:val="20"/>
    </w:rPr>
  </w:style>
  <w:style w:type="paragraph" w:styleId="3">
    <w:name w:val="heading 3"/>
    <w:basedOn w:val="0"/>
    <w:next w:val="0"/>
    <w:link w:val="21"/>
    <w:uiPriority w:val="0"/>
    <w:qFormat/>
    <w:pPr>
      <w:keepNext w:val="1"/>
      <w:overflowPunct w:val="0"/>
      <w:ind w:left="400" w:leftChars="400"/>
      <w:textAlignment w:val="baseline"/>
      <w:outlineLvl w:val="2"/>
    </w:pPr>
    <w:rPr>
      <w:rFonts w:ascii="Arial" w:hAnsi="Arial" w:eastAsia="ＭＳ ゴシック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 w:customStyle="1">
    <w:name w:val="見出し 1 (文字)"/>
    <w:basedOn w:val="10"/>
    <w:next w:val="19"/>
    <w:link w:val="1"/>
    <w:uiPriority w:val="0"/>
    <w:rPr>
      <w:rFonts w:ascii="Arial" w:hAnsi="Arial" w:eastAsia="ＭＳ ゴシック"/>
      <w:sz w:val="22"/>
    </w:rPr>
  </w:style>
  <w:style w:type="character" w:styleId="20" w:customStyle="1">
    <w:name w:val="見出し 2 (文字)"/>
    <w:basedOn w:val="10"/>
    <w:next w:val="20"/>
    <w:link w:val="2"/>
    <w:uiPriority w:val="0"/>
    <w:rPr>
      <w:rFonts w:ascii="Arial" w:hAnsi="Arial" w:eastAsia="ＭＳ ゴシック"/>
    </w:rPr>
  </w:style>
  <w:style w:type="character" w:styleId="21" w:customStyle="1">
    <w:name w:val="見出し 3 (文字)"/>
    <w:basedOn w:val="10"/>
    <w:next w:val="21"/>
    <w:link w:val="3"/>
    <w:uiPriority w:val="0"/>
    <w:rPr>
      <w:rFonts w:ascii="Arial" w:hAnsi="Arial" w:eastAsia="ＭＳ ゴシック"/>
    </w:rPr>
  </w:style>
  <w:style w:type="paragraph" w:styleId="22">
    <w:name w:val="Note Heading"/>
    <w:basedOn w:val="0"/>
    <w:next w:val="0"/>
    <w:link w:val="23"/>
    <w:uiPriority w:val="0"/>
    <w:pPr>
      <w:overflowPunct w:val="0"/>
      <w:jc w:val="center"/>
      <w:textAlignment w:val="baseline"/>
    </w:pPr>
    <w:rPr>
      <w:rFonts w:ascii="ＭＳ 明朝" w:hAnsi="ＭＳ 明朝"/>
      <w:kern w:val="0"/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2"/>
    </w:rPr>
  </w:style>
  <w:style w:type="paragraph" w:styleId="24">
    <w:name w:val="Closing"/>
    <w:basedOn w:val="0"/>
    <w:next w:val="24"/>
    <w:link w:val="25"/>
    <w:uiPriority w:val="0"/>
    <w:pPr>
      <w:overflowPunct w:val="0"/>
      <w:jc w:val="right"/>
      <w:textAlignment w:val="baseline"/>
    </w:pPr>
    <w:rPr>
      <w:rFonts w:ascii="ＭＳ 明朝" w:hAnsi="ＭＳ 明朝"/>
      <w:kern w:val="0"/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2"/>
    </w:rPr>
  </w:style>
  <w:style w:type="paragraph" w:styleId="26">
    <w:name w:val="Balloon Text"/>
    <w:basedOn w:val="0"/>
    <w:next w:val="26"/>
    <w:link w:val="27"/>
    <w:uiPriority w:val="0"/>
    <w:semiHidden/>
    <w:pPr>
      <w:overflowPunct w:val="0"/>
      <w:textAlignment w:val="baseline"/>
    </w:pPr>
    <w:rPr>
      <w:rFonts w:ascii="Arial" w:hAnsi="Arial" w:eastAsia="ＭＳ ゴシック"/>
      <w:kern w:val="0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="Arial" w:hAnsi="Arial" w:eastAsia="ＭＳ ゴシック"/>
      <w:sz w:val="18"/>
    </w:rPr>
  </w:style>
  <w:style w:type="paragraph" w:styleId="28">
    <w:name w:val="toc 1"/>
    <w:basedOn w:val="0"/>
    <w:next w:val="0"/>
    <w:link w:val="0"/>
    <w:uiPriority w:val="0"/>
    <w:pPr>
      <w:overflowPunct w:val="0"/>
      <w:textAlignment w:val="baseline"/>
    </w:pPr>
    <w:rPr>
      <w:rFonts w:ascii="ＭＳ 明朝" w:hAnsi="ＭＳ 明朝"/>
      <w:kern w:val="0"/>
      <w:sz w:val="20"/>
    </w:rPr>
  </w:style>
  <w:style w:type="character" w:styleId="29">
    <w:name w:val="Hyperlink"/>
    <w:next w:val="29"/>
    <w:link w:val="0"/>
    <w:uiPriority w:val="0"/>
    <w:rPr>
      <w:color w:val="0563C1"/>
      <w:u w:val="single" w:color="auto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31">
    <w:name w:val="Date"/>
    <w:basedOn w:val="0"/>
    <w:next w:val="0"/>
    <w:link w:val="32"/>
    <w:uiPriority w:val="0"/>
    <w:rPr>
      <w:sz w:val="22"/>
    </w:rPr>
  </w:style>
  <w:style w:type="character" w:styleId="32" w:customStyle="1">
    <w:name w:val="日付 (文字)"/>
    <w:basedOn w:val="10"/>
    <w:next w:val="32"/>
    <w:link w:val="31"/>
    <w:uiPriority w:val="0"/>
    <w:rPr>
      <w:kern w:val="2"/>
      <w:sz w:val="22"/>
    </w:rPr>
  </w:style>
  <w:style w:type="paragraph" w:styleId="33">
    <w:name w:val="List Paragraph"/>
    <w:basedOn w:val="0"/>
    <w:next w:val="33"/>
    <w:link w:val="0"/>
    <w:uiPriority w:val="0"/>
    <w:qFormat/>
    <w:pPr>
      <w:ind w:left="840" w:leftChars="400"/>
    </w:pPr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rPr>
      <w:rFonts w:ascii="ＭＳ 明朝" w:hAnsi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1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543</Characters>
  <Application>JUST Note</Application>
  <Lines>155</Lines>
  <Paragraphs>74</Paragraphs>
  <Company>Microsoft</Company>
  <CharactersWithSpaces>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土地基本台帳と地図情報管理の必要性</dc:title>
  <dc:creator>公社</dc:creator>
  <cp:lastModifiedBy>Mori Akihiro</cp:lastModifiedBy>
  <cp:lastPrinted>2022-09-06T08:45:00Z</cp:lastPrinted>
  <dcterms:created xsi:type="dcterms:W3CDTF">2022-11-01T05:31:00Z</dcterms:created>
  <dcterms:modified xsi:type="dcterms:W3CDTF">2022-11-01T05:31:22Z</dcterms:modified>
  <cp:revision>2</cp:revision>
</cp:coreProperties>
</file>